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5.wmf" ContentType="image/x-wmf"/>
  <Override PartName="/word/media/image1.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0"/>
        <w:keepNext w:val="true"/>
        <w:spacing w:before="120" w:after="0"/>
        <w:ind w:left="4536" w:hanging="0"/>
        <w:rPr/>
      </w:pPr>
      <w:r>
        <w:rPr/>
        <w:t>«УТВЕРЖДАЮ»</w:t>
      </w:r>
    </w:p>
    <w:p>
      <w:pPr>
        <w:pStyle w:val="Style30"/>
        <w:keepNext w:val="true"/>
        <w:ind w:left="4536" w:hanging="0"/>
        <w:rPr/>
      </w:pPr>
      <w:r>
        <w:rPr/>
        <w:t>Председатель закупочной комиссии</w:t>
      </w:r>
    </w:p>
    <w:p>
      <w:pPr>
        <w:pStyle w:val="Style30"/>
        <w:keepNext w:val="true"/>
        <w:ind w:left="4536" w:hanging="0"/>
        <w:rPr>
          <w:rStyle w:val="Style8"/>
          <w:rFonts w:eastAsia="Calibri" w:cs="" w:cstheme="minorBidi" w:eastAsiaTheme="minorHAnsi"/>
          <w:i w:val="false"/>
          <w:i w:val="false"/>
          <w:iCs w:val="false"/>
          <w:color w:val="000000"/>
          <w:kern w:val="0"/>
          <w:sz w:val="26"/>
          <w:szCs w:val="22"/>
          <w:shd w:fill="auto" w:val="clear"/>
          <w:lang w:val="ru-RU" w:eastAsia="en-US" w:bidi="ar-SA"/>
        </w:rPr>
      </w:pPr>
      <w:r>
        <w:rPr/>
        <w:t xml:space="preserve">___________________ </w:t>
      </w:r>
    </w:p>
    <w:p>
      <w:pPr>
        <w:pStyle w:val="Style30"/>
        <w:keepNext w:val="true"/>
        <w:ind w:left="4536" w:hanging="0"/>
        <w:rPr/>
      </w:pPr>
      <w:r>
        <w:rPr/>
        <w:t>«____» ___________________ 2026 год</w:t>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на выполнение работ</w:t>
      </w:r>
    </w:p>
    <w:p>
      <w:pPr>
        <w:pStyle w:val="Style30"/>
        <w:spacing w:before="240" w:after="0"/>
        <w:jc w:val="center"/>
        <w:rPr/>
      </w:pPr>
      <w:r>
        <w:rPr>
          <w:rStyle w:val="Style8"/>
          <w:b/>
          <w:bCs/>
          <w:i/>
          <w:iCs/>
          <w:shd w:fill="auto" w:val="clear"/>
        </w:rPr>
        <w:t>«ОКПД2 42.22.22.140 Выполнение работ по ремонту на объектах: ВЛ 35 кВ Серышево-Арга, ВЛ 35 кВ Томь-Бочкаревка, ВЛ 35 кВ Державинка-Верное, ВЛ 35 кВ Серышево-Верное, ВЛ 35 кВ Серышево-Казанка структурного подразделения "Западные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rStyle w:val="Style8"/>
        </w:rPr>
      </w:pPr>
      <w:r>
        <w:rPr>
          <w:rStyle w:val="Style8"/>
          <w:b/>
          <w:bCs/>
          <w:i/>
          <w:iCs/>
          <w:shd w:fill="auto" w:val="clear"/>
        </w:rPr>
        <w:t>(Лот № 17201-РЕМ ПРОД-2027-ДРСК-АЭС)</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Пункт,3,[РГ] Пункт,3,[РГ]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Подпункт,4,УРОВЕНЬ_-,5,УРОВЕНЬ_-,5,УРОВЕНЬ_-,5,УРОВЕНЬ_-,5,УРОВЕНЬ_-,5,УРОВЕНЬ_-,5,УРОВЕНЬ_-,5,УРОВЕНЬ_-,5,УРОВЕНЬ_-,5,УРОВЕНЬ_-,5,УРОВЕНЬ_-,5,УРОВЕНЬ_-,5,[РГ]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7670"/>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7672"/>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966"/>
        <w:gridCol w:w="5820"/>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6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2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20" w:type="dxa"/>
            <w:tcBorders/>
          </w:tcPr>
          <w:p>
            <w:pPr>
              <w:pStyle w:val="Style30"/>
              <w:widowControl w:val="false"/>
              <w:suppressAutoHyphens w:val="true"/>
              <w:spacing w:before="60" w:after="60"/>
              <w:rPr/>
            </w:pPr>
            <w:r>
              <w:rPr>
                <w:rStyle w:val="Style8"/>
                <w:rFonts w:eastAsia="Calibri" w:cs=""/>
                <w:b/>
                <w:bCs/>
                <w:i/>
                <w:iCs/>
                <w:kern w:val="0"/>
                <w:sz w:val="26"/>
                <w:szCs w:val="22"/>
                <w:shd w:fill="auto" w:val="clear"/>
                <w:lang w:val="ru-RU" w:eastAsia="en-US" w:bidi="ar-SA"/>
              </w:rPr>
              <w:t>Лот № 17201-РЕМ ПРОД-2027-ДРСК-АЭС</w:t>
            </w:r>
          </w:p>
          <w:p>
            <w:pPr>
              <w:pStyle w:val="Style30"/>
              <w:widowControl w:val="false"/>
              <w:suppressAutoHyphens w:val="true"/>
              <w:spacing w:before="60" w:after="60"/>
              <w:rPr/>
            </w:pPr>
            <w:r>
              <w:rPr>
                <w:rStyle w:val="Style8"/>
                <w:rFonts w:eastAsia="Calibri" w:cs=""/>
                <w:b/>
                <w:bCs/>
                <w:i/>
                <w:iCs/>
                <w:kern w:val="0"/>
                <w:sz w:val="26"/>
                <w:szCs w:val="22"/>
                <w:shd w:fill="auto" w:val="clear"/>
                <w:lang w:val="ru-RU" w:eastAsia="en-US" w:bidi="ar-SA"/>
              </w:rPr>
              <w:t>«ОКПД2 42.22.22.140 Выполнение работ по ремонту на объектах: ВЛ 35 кВ Серышево-Арга, ВЛ 35 кВ Томь-Бочкаревка, ВЛ 35 кВ Державинка-Верное, ВЛ 35 кВ Серышево-Верное, ВЛ 35 кВ Серышево-Казанка структурного подразделения "Западные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20" w:type="dxa"/>
            <w:tcBorders/>
          </w:tcPr>
          <w:p>
            <w:pPr>
              <w:pStyle w:val="Style30"/>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20" w:type="dxa"/>
            <w:tcBorders/>
          </w:tcPr>
          <w:p>
            <w:pPr>
              <w:pStyle w:val="Style30"/>
              <w:widowControl w:val="false"/>
              <w:suppressAutoHyphens w:val="true"/>
              <w:spacing w:before="60" w:after="60"/>
              <w:rPr/>
            </w:pPr>
            <w:r>
              <w:rPr>
                <w:rStyle w:val="Style8"/>
                <w:rFonts w:eastAsia="Calibri" w:cs=""/>
                <w:i w:val="false"/>
                <w:iCs w:val="false"/>
                <w:kern w:val="0"/>
                <w:sz w:val="26"/>
                <w:szCs w:val="26"/>
                <w:shd w:fill="auto" w:val="clear"/>
                <w:lang w:val="ru-RU" w:eastAsia="en-US" w:bidi="ar-SA"/>
              </w:rPr>
              <w:t xml:space="preserve">Электронная площадка: Электронная торговая площадка: АО «Российский аукционный дом» (РАД) на Интернет-сайте </w:t>
            </w:r>
            <w:hyperlink r:id="rId2">
              <w:r>
                <w:rPr>
                  <w:rStyle w:val="Hyperlink"/>
                  <w:rFonts w:eastAsia="Calibri" w:cs=""/>
                  <w:kern w:val="0"/>
                  <w:sz w:val="26"/>
                  <w:szCs w:val="26"/>
                  <w:lang w:val="ru-RU" w:eastAsia="en-US" w:bidi="ar-SA"/>
                </w:rPr>
                <w:t>https://tender.lot-online.ru</w:t>
              </w:r>
            </w:hyperlink>
            <w:r>
              <w:rPr>
                <w:rStyle w:val="Style8"/>
                <w:rFonts w:eastAsia="Calibri" w:cs="" w:cstheme="minorBidi" w:eastAsiaTheme="minorHAnsi"/>
                <w:i w:val="false"/>
                <w:iCs w:val="false"/>
                <w:kern w:val="0"/>
                <w:sz w:val="26"/>
                <w:szCs w:val="26"/>
                <w:shd w:fill="auto" w:val="clear"/>
                <w:lang w:val="ru-RU" w:eastAsia="en-US" w:bidi="ar-SA"/>
              </w:rPr>
              <w:t xml:space="preserve">_Регламент ЭП, в соответствии с которым проводится закупка, размещен по адресу: </w:t>
            </w:r>
            <w:r>
              <w:rPr>
                <w:rStyle w:val="Hyperlink"/>
                <w:rFonts w:eastAsia="Calibri" w:cs="" w:cstheme="minorBidi" w:eastAsiaTheme="minorHAnsi"/>
                <w:i w:val="false"/>
                <w:iCs w:val="false"/>
                <w:kern w:val="0"/>
                <w:sz w:val="26"/>
                <w:szCs w:val="26"/>
                <w:shd w:fill="auto" w:val="clear"/>
                <w:lang w:val="ru-RU" w:eastAsia="en-US" w:bidi="ar-SA"/>
              </w:rPr>
              <w:t xml:space="preserve"> </w:t>
            </w:r>
            <w:r>
              <w:rPr>
                <w:rStyle w:val="Hyperlink"/>
                <w:rFonts w:eastAsia="Calibri" w:cs=""/>
                <w:b w:val="false"/>
                <w:i w:val="false"/>
                <w:iCs w:val="false"/>
                <w:kern w:val="0"/>
                <w:sz w:val="26"/>
                <w:szCs w:val="26"/>
                <w:shd w:fill="auto" w:val="clear"/>
                <w:lang w:val="ru-RU" w:eastAsia="en-US" w:bidi="ar-SA"/>
              </w:rPr>
              <w:t>https://gz.lot-online.ru/documentation</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20" w:type="dxa"/>
            <w:tcBorders/>
          </w:tcPr>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Наименование (полное и сокращенное): Акционерное общество «Дальневосточная распределительная сетевая компания» (далее – АО «ДРСК»)</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Место нахождения: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Почтовый адрес: 675004Амурская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 xml:space="preserve">Адрес электронной почты: </w:t>
            </w:r>
            <w:hyperlink r:id="rId3">
              <w:r>
                <w:rPr>
                  <w:rStyle w:val="Hyperlink"/>
                  <w:rFonts w:eastAsia="Calibri" w:cs=""/>
                  <w:b w:val="false"/>
                  <w:i w:val="false"/>
                  <w:iCs w:val="false"/>
                  <w:kern w:val="0"/>
                  <w:sz w:val="26"/>
                  <w:szCs w:val="26"/>
                  <w:lang w:val="ru-RU" w:eastAsia="en-US" w:bidi="ar-SA"/>
                </w:rPr>
                <w:t>doc@drsk.ru</w:t>
              </w:r>
            </w:hyperlink>
          </w:p>
          <w:p>
            <w:pPr>
              <w:pStyle w:val="Tableheader"/>
              <w:widowControl w:val="false"/>
              <w:suppressAutoHyphens w:val="true"/>
              <w:spacing w:before="120" w:after="120"/>
              <w:jc w:val="both"/>
              <w:rPr/>
            </w:pPr>
            <w:r>
              <w:rPr>
                <w:rFonts w:eastAsia="Calibri" w:cs=""/>
                <w:b w:val="false"/>
                <w:i w:val="false"/>
                <w:iCs w:val="false"/>
                <w:kern w:val="0"/>
                <w:sz w:val="26"/>
                <w:szCs w:val="26"/>
                <w:lang w:val="ru-RU" w:eastAsia="en-US" w:bidi="ar-SA"/>
              </w:rPr>
              <w:t>Контактный телефон: (4162) 39-73-83</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20" w:type="dxa"/>
            <w:tcBorders/>
          </w:tcPr>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Наименование (полное и сокращенное): Акционерное общество «Дальневосточная распределительная сетевая компания» (далее – АО «ДРСК»)</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Место нахождения: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Почтовый адрес: 675004 Амурская обл., г. Благовещенск, ул. Шевченко, 32</w:t>
            </w:r>
          </w:p>
          <w:p>
            <w:pPr>
              <w:pStyle w:val="Tableheader"/>
              <w:widowControl w:val="false"/>
              <w:suppressAutoHyphens w:val="true"/>
              <w:spacing w:before="0" w:after="60"/>
              <w:jc w:val="both"/>
              <w:rPr/>
            </w:pPr>
            <w:r>
              <w:rPr>
                <w:rFonts w:eastAsia="Calibri" w:cs=""/>
                <w:b w:val="false"/>
                <w:i w:val="false"/>
                <w:iCs w:val="false"/>
                <w:kern w:val="0"/>
                <w:sz w:val="26"/>
                <w:szCs w:val="26"/>
                <w:lang w:val="ru-RU" w:eastAsia="en-US" w:bidi="ar-SA"/>
              </w:rPr>
              <w:t xml:space="preserve">Адрес электронной почты: </w:t>
            </w:r>
            <w:hyperlink r:id="rId4">
              <w:r>
                <w:rPr>
                  <w:rStyle w:val="Hyperlink"/>
                  <w:rFonts w:eastAsia="Calibri" w:cs=""/>
                  <w:b w:val="false"/>
                  <w:i w:val="false"/>
                  <w:iCs w:val="false"/>
                  <w:kern w:val="0"/>
                  <w:sz w:val="26"/>
                  <w:szCs w:val="26"/>
                  <w:lang w:val="ru-RU" w:eastAsia="en-US" w:bidi="ar-SA"/>
                </w:rPr>
                <w:t>doc@drsk.ru</w:t>
              </w:r>
            </w:hyperlink>
          </w:p>
          <w:p>
            <w:pPr>
              <w:pStyle w:val="Tableheader"/>
              <w:widowControl w:val="false"/>
              <w:suppressAutoHyphens w:val="true"/>
              <w:spacing w:before="120" w:after="120"/>
              <w:jc w:val="both"/>
              <w:rPr/>
            </w:pPr>
            <w:r>
              <w:rPr>
                <w:rFonts w:eastAsia="Calibri" w:cs=""/>
                <w:b w:val="false"/>
                <w:i w:val="false"/>
                <w:iCs w:val="false"/>
                <w:kern w:val="0"/>
                <w:sz w:val="26"/>
                <w:szCs w:val="26"/>
                <w:lang w:val="ru-RU" w:eastAsia="en-US" w:bidi="ar-SA"/>
              </w:rPr>
              <w:t>Контактный телефон: (4162) 39-73-83</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20" w:type="dxa"/>
            <w:tcBorders/>
          </w:tcPr>
          <w:p>
            <w:pPr>
              <w:pStyle w:val="Tableheader"/>
              <w:widowControl w:val="false"/>
              <w:suppressAutoHyphens w:val="true"/>
              <w:spacing w:lineRule="auto" w:line="240" w:before="0" w:after="0"/>
              <w:jc w:val="both"/>
              <w:rPr/>
            </w:pPr>
            <w:r>
              <w:rPr>
                <w:b w:val="false"/>
                <w:sz w:val="26"/>
                <w:szCs w:val="26"/>
              </w:rPr>
              <w:t>Контактное лицо (Ф.И.О.): Чуясова Елена Геннадьевна</w:t>
            </w:r>
          </w:p>
          <w:p>
            <w:pPr>
              <w:pStyle w:val="Normal"/>
              <w:widowControl w:val="false"/>
              <w:tabs>
                <w:tab w:val="clear" w:pos="708"/>
                <w:tab w:val="left" w:pos="426" w:leader="none"/>
              </w:tabs>
              <w:suppressAutoHyphens w:val="true"/>
              <w:spacing w:lineRule="auto" w:line="240" w:before="0" w:after="0"/>
              <w:jc w:val="both"/>
              <w:rPr/>
            </w:pPr>
            <w:r>
              <w:rPr/>
              <w:t>Контактный телефон: (4162) 397-268</w:t>
            </w:r>
          </w:p>
          <w:p>
            <w:pPr>
              <w:pStyle w:val="Normal"/>
              <w:widowControl w:val="false"/>
              <w:tabs>
                <w:tab w:val="clear" w:pos="708"/>
                <w:tab w:val="left" w:pos="426" w:leader="none"/>
              </w:tabs>
              <w:suppressAutoHyphens w:val="true"/>
              <w:spacing w:lineRule="auto" w:line="240" w:before="120" w:after="120"/>
              <w:jc w:val="both"/>
              <w:rPr/>
            </w:pPr>
            <w:r>
              <w:rPr>
                <w:rStyle w:val="Hyperlink"/>
                <w:rFonts w:eastAsia="Calibri" w:cs=""/>
                <w:b w:val="false"/>
                <w:i w:val="false"/>
                <w:iCs w:val="false"/>
                <w:kern w:val="0"/>
                <w:sz w:val="26"/>
                <w:szCs w:val="26"/>
                <w:lang w:val="ru-RU" w:eastAsia="en-US" w:bidi="ar-SA"/>
              </w:rPr>
              <w:t>Адрес электронной почты: chuyasova-eg@drsk.ru</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сентября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НМЦ составляет </w:t>
            </w:r>
            <w:r>
              <w:rPr>
                <w:rFonts w:eastAsia="Calibri" w:cs=""/>
                <w:b/>
                <w:bCs/>
                <w:i/>
                <w:iCs/>
                <w:kern w:val="0"/>
                <w:sz w:val="26"/>
                <w:szCs w:val="22"/>
                <w:lang w:val="ru-RU" w:eastAsia="en-US" w:bidi="ar-SA"/>
              </w:rPr>
              <w:t>3 476 386,44</w:t>
            </w:r>
            <w:r>
              <w:rPr>
                <w:rFonts w:eastAsia="Calibri" w:cs=""/>
                <w:kern w:val="0"/>
                <w:sz w:val="26"/>
                <w:szCs w:val="22"/>
                <w:lang w:val="ru-RU" w:eastAsia="en-US" w:bidi="ar-SA"/>
              </w:rPr>
              <w:t> руб., без учета НДС.</w:t>
            </w:r>
          </w:p>
          <w:p>
            <w:pPr>
              <w:pStyle w:val="Style30"/>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0"/>
              <w:widowControl w:val="false"/>
              <w:suppressAutoHyphens w:val="true"/>
              <w:spacing w:before="60" w:after="60"/>
              <w:rPr/>
            </w:pPr>
            <w:r>
              <w:rPr>
                <w:rStyle w:val="Style8"/>
                <w:rFonts w:eastAsia="Calibri" w:c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20" w:type="dxa"/>
            <w:tcBorders/>
          </w:tcPr>
          <w:p>
            <w:pPr>
              <w:pStyle w:val="Style30"/>
              <w:widowControl w:val="false"/>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сентября 2026 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«13»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«13»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1.2.17</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«21» октября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«02» ноября 2026 г.</w:t>
            </w:r>
          </w:p>
          <w:p>
            <w:pPr>
              <w:pStyle w:val="Style30"/>
              <w:widowControl w:val="false"/>
              <w:suppressAutoHyphens w:val="true"/>
              <w:spacing w:before="60" w:after="60"/>
              <w:rPr>
                <w:rStyle w:val="Style8"/>
                <w:rFonts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«03» ноября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20" w:type="dxa"/>
            <w:tcBorders/>
          </w:tcPr>
          <w:p>
            <w:pPr>
              <w:pStyle w:val="Style30"/>
              <w:widowControl w:val="false"/>
              <w:suppressAutoHyphens w:val="true"/>
              <w:spacing w:before="60" w:after="60"/>
              <w:rPr>
                <w:rStyle w:val="Style8"/>
              </w:rPr>
            </w:pPr>
            <w:r>
              <w:rPr/>
            </w:r>
          </w:p>
          <w:p>
            <w:pPr>
              <w:pStyle w:val="Style30"/>
              <w:keepNext w:val="true"/>
              <w:widowControl w:val="false"/>
              <w:suppressAutoHyphens w:val="true"/>
              <w:spacing w:before="60" w:after="60"/>
              <w:rPr>
                <w:rFonts w:eastAsia="Calibri"/>
                <w:kern w:val="0"/>
                <w:sz w:val="26"/>
                <w:szCs w:val="22"/>
                <w:lang w:val="ru-RU" w:eastAsia="en-US" w:bidi="ar-SA"/>
              </w:rPr>
            </w:pPr>
            <w:r>
              <w:rPr>
                <w:rFonts w:eastAsia="Calibri"/>
                <w:kern w:val="0"/>
                <w:sz w:val="26"/>
                <w:szCs w:val="22"/>
                <w:lang w:val="ru-RU" w:eastAsia="en-US" w:bidi="ar-SA"/>
              </w:rPr>
              <w:t>Контактное лицо (Ф.И.О.): Ярый Виталий Сергеевич</w:t>
            </w:r>
          </w:p>
          <w:p>
            <w:pPr>
              <w:pStyle w:val="Style30"/>
              <w:widowControl w:val="false"/>
              <w:suppressAutoHyphens w:val="true"/>
              <w:spacing w:before="60" w:after="60"/>
              <w:rPr>
                <w:rFonts w:eastAsia="Calibri"/>
                <w:kern w:val="0"/>
                <w:sz w:val="26"/>
                <w:szCs w:val="22"/>
                <w:lang w:val="ru-RU" w:eastAsia="en-US" w:bidi="ar-SA"/>
              </w:rPr>
            </w:pPr>
            <w:r>
              <w:rPr>
                <w:rFonts w:eastAsia="Calibri"/>
                <w:kern w:val="0"/>
                <w:sz w:val="26"/>
                <w:szCs w:val="22"/>
                <w:lang w:val="ru-RU" w:eastAsia="en-US" w:bidi="ar-SA"/>
              </w:rPr>
              <w:t>Тел. 7(4162) 397-325</w:t>
            </w:r>
          </w:p>
          <w:p>
            <w:pPr>
              <w:pStyle w:val="Style30"/>
              <w:keepNext w:val="true"/>
              <w:widowControl w:val="false"/>
              <w:suppressAutoHyphens w:val="true"/>
              <w:spacing w:before="60" w:after="60"/>
              <w:rPr>
                <w:rFonts w:ascii="Times New Roman" w:hAnsi="Times New Roman" w:eastAsia="Calibri"/>
                <w:kern w:val="0"/>
                <w:sz w:val="26"/>
                <w:szCs w:val="22"/>
                <w:lang w:val="ru-RU" w:eastAsia="en-US" w:bidi="ar-SA"/>
              </w:rPr>
            </w:pPr>
            <w:r>
              <w:rPr>
                <w:rFonts w:eastAsia="Calibri" w:cs=""/>
                <w:kern w:val="0"/>
                <w:sz w:val="26"/>
                <w:szCs w:val="22"/>
                <w:lang w:val="ru-RU" w:eastAsia="en-US" w:bidi="ar-SA"/>
              </w:rPr>
              <w:t xml:space="preserve">Почтовый адрес: </w:t>
            </w:r>
            <w:r>
              <w:rPr>
                <w:rFonts w:eastAsia="Calibri" w:cs=""/>
                <w:kern w:val="0"/>
                <w:sz w:val="24"/>
                <w:szCs w:val="22"/>
                <w:lang w:val="ru-RU" w:eastAsia="en-US" w:bidi="ar-SA"/>
              </w:rPr>
              <w:t>675004, г. Благовещенск, ул. Шевченко, 32, каб. 214.</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Корпоративный сайт ПАО</w:t>
            </w:r>
            <w:r>
              <w:rPr>
                <w:rFonts w:eastAsia="Calibri" w:cs=""/>
                <w:kern w:val="0"/>
                <w:sz w:val="26"/>
                <w:szCs w:val="22"/>
                <w:lang w:val="en-US" w:eastAsia="en-US" w:bidi="ar-SA"/>
              </w:rPr>
              <w:t> </w:t>
            </w:r>
            <w:r>
              <w:rPr>
                <w:rFonts w:eastAsia="Calibri" w:cs=""/>
                <w:kern w:val="0"/>
                <w:sz w:val="26"/>
                <w:szCs w:val="22"/>
                <w:lang w:val="ru-RU" w:eastAsia="en-US" w:bidi="ar-SA"/>
              </w:rPr>
              <w:t>«РусГидро», через специально созданную учетную запись (подробный порядок содержится в разделе</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_Ref126142429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5</w:t>
            </w:r>
            <w:r>
              <w:rPr>
                <w:sz w:val="26"/>
                <w:kern w:val="0"/>
                <w:szCs w:val="22"/>
                <w:rFonts w:eastAsia="Calibri" w:cs=""/>
                <w:lang w:val="en-US"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66"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20"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tc>
      </w:tr>
    </w:tbl>
    <w:p>
      <w:pPr>
        <w:pStyle w:val="Style24"/>
        <w:rPr/>
      </w:pPr>
      <w:bookmarkStart w:id="58" w:name="_Ref125360073"/>
      <w:bookmarkStart w:id="59" w:name="_Ref125360337"/>
      <w:bookmarkStart w:id="60" w:name="_Toc2288776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Ref125363536"/>
      <w:bookmarkStart w:id="65" w:name="_Toc228877676"/>
      <w:r>
        <w:rPr/>
        <w:t>Обжалование</w:t>
      </w:r>
      <w:bookmarkEnd w:id="64"/>
      <w:bookmarkEnd w:id="65"/>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Ref125361210"/>
      <w:bookmarkStart w:id="71" w:name="_Toc228877679"/>
      <w:r>
        <w:rPr/>
        <w:t>Требования к Участникам</w:t>
      </w:r>
      <w:bookmarkEnd w:id="70"/>
      <w:bookmarkEnd w:id="71"/>
    </w:p>
    <w:p>
      <w:pPr>
        <w:pStyle w:val="Style25"/>
        <w:rPr/>
      </w:pPr>
      <w:bookmarkStart w:id="72" w:name="_Ref127524530"/>
      <w:bookmarkStart w:id="73" w:name="_Toc228877680"/>
      <w:r>
        <w:rPr/>
        <w:t>Общие требования к Участникам</w:t>
      </w:r>
      <w:bookmarkEnd w:id="72"/>
      <w:bookmarkEnd w:id="73"/>
    </w:p>
    <w:p>
      <w:pPr>
        <w:pStyle w:val="Style26"/>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6"/>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Ref125361702"/>
      <w:bookmarkStart w:id="79" w:name="_Toc228877681"/>
      <w:bookmarkStart w:id="80" w:name="_Toc224743781"/>
      <w:bookmarkStart w:id="81" w:name="_Toc224743782"/>
      <w:bookmarkStart w:id="82" w:name="_Toc224743783"/>
      <w:bookmarkStart w:id="83" w:name="_Toc224743784"/>
      <w:bookmarkStart w:id="84" w:name="_Toc224743785"/>
      <w:bookmarkStart w:id="85" w:name="_Toc224743786"/>
      <w:bookmarkStart w:id="86" w:name="_Toc224743787"/>
      <w:bookmarkStart w:id="87" w:name="_Toc224743788"/>
      <w:bookmarkStart w:id="88" w:name="_Toc224743789"/>
      <w:bookmarkStart w:id="89" w:name="_Toc224743790"/>
      <w:bookmarkStart w:id="90" w:name="_Toc224743791"/>
      <w:bookmarkStart w:id="91" w:name="_Toc224743792"/>
      <w:bookmarkStart w:id="92" w:name="_Toc224743793"/>
      <w:bookmarkStart w:id="93" w:name="_Toc224743794"/>
      <w:bookmarkStart w:id="94" w:name="_Toc224743795"/>
      <w:bookmarkStart w:id="95" w:name="_Toc224743796"/>
      <w:bookmarkStart w:id="96" w:name="_Toc224743797"/>
      <w:bookmarkStart w:id="97" w:name="_Toc224743798"/>
      <w:bookmarkStart w:id="98" w:name="_Toc224743799"/>
      <w:bookmarkStart w:id="99" w:name="_Toc224743800"/>
      <w:bookmarkStart w:id="100" w:name="_Toc224743801"/>
      <w:bookmarkStart w:id="101" w:name="_Ref125361969_Копия_1"/>
      <w:bookmarkStart w:id="102" w:name="_Ref125361976_Копия_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5"/>
          <w:footerReference w:type="default" r:id="rId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Ref125361211"/>
      <w:bookmarkStart w:id="106" w:name="_Ref125367098"/>
      <w:bookmarkStart w:id="107" w:name="_Ref125367107"/>
      <w:bookmarkStart w:id="108" w:name="_Ref125367974"/>
      <w:bookmarkStart w:id="109" w:name="_Toc228877682"/>
      <w:r>
        <w:rPr/>
        <w:t>Порядок проведения закупки</w:t>
      </w:r>
      <w:bookmarkEnd w:id="105"/>
      <w:bookmarkEnd w:id="106"/>
      <w:bookmarkEnd w:id="107"/>
      <w:bookmarkEnd w:id="108"/>
      <w:bookmarkEnd w:id="109"/>
    </w:p>
    <w:p>
      <w:pPr>
        <w:pStyle w:val="Style25"/>
        <w:rPr/>
      </w:pPr>
      <w:bookmarkStart w:id="110" w:name="_Ref126141932"/>
      <w:bookmarkStart w:id="111" w:name="_Toc228877683"/>
      <w:r>
        <w:rPr/>
        <w:t>Общий порядок проведения закупки</w:t>
      </w:r>
      <w:bookmarkEnd w:id="110"/>
      <w:bookmarkEnd w:id="111"/>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7"/>
          <w:headerReference w:type="first" r:id="rId8"/>
          <w:footerReference w:type="default" r:id="rId9"/>
          <w:footerReference w:type="first" r:id="rId1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Ref130286532"/>
      <w:bookmarkStart w:id="113" w:name="_Toc228877684"/>
      <w:r>
        <w:rPr/>
        <w:t>Официальное размещение Извещения и Документации о закупке</w:t>
      </w:r>
      <w:bookmarkEnd w:id="112"/>
      <w:bookmarkEnd w:id="113"/>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Ref130281199"/>
      <w:bookmarkStart w:id="116" w:name="_Ref130394681"/>
      <w:bookmarkStart w:id="117" w:name="_Toc228877685"/>
      <w:r>
        <w:rPr/>
        <w:t>Подготовка заявки</w:t>
      </w:r>
      <w:bookmarkEnd w:id="115"/>
      <w:bookmarkEnd w:id="116"/>
      <w:bookmarkEnd w:id="117"/>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19" w:name="_Ref130394854"/>
      <w:bookmarkStart w:id="120"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0"/>
      <w:bookmarkStart w:id="122"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370398"/>
      <w:bookmarkStart w:id="124" w:name="_Ref125714384"/>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30394205"/>
      <w:bookmarkStart w:id="126" w:name="_Ref130394785"/>
      <w:bookmarkStart w:id="127" w:name="_Ref130394802"/>
      <w:bookmarkStart w:id="128" w:name="_Toc228877686"/>
      <w:bookmarkStart w:id="129" w:name="_Ref125361260"/>
      <w:bookmarkStart w:id="130" w:name="_Ref125362071"/>
      <w:bookmarkStart w:id="131" w:name="_Ref125366672"/>
      <w:r>
        <w:rPr/>
        <w:t>Разъяснение Документации о закупке</w:t>
      </w:r>
      <w:bookmarkEnd w:id="125"/>
      <w:bookmarkEnd w:id="126"/>
      <w:bookmarkEnd w:id="127"/>
      <w:bookmarkEnd w:id="128"/>
      <w:bookmarkEnd w:id="129"/>
      <w:bookmarkEnd w:id="130"/>
      <w:bookmarkEnd w:id="131"/>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Ref125362076"/>
      <w:bookmarkStart w:id="133" w:name="_Ref125363891"/>
      <w:bookmarkStart w:id="134" w:name="_Ref125364404"/>
      <w:bookmarkStart w:id="135" w:name="_Toc228877687"/>
      <w:r>
        <w:rPr/>
        <w:t>Изменения Извещения и (или) Документации о закупке</w:t>
      </w:r>
      <w:bookmarkEnd w:id="132"/>
      <w:bookmarkEnd w:id="133"/>
      <w:bookmarkEnd w:id="134"/>
      <w:bookmarkEnd w:id="135"/>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Ref125362119"/>
      <w:bookmarkStart w:id="138" w:name="_Toc228877688"/>
      <w:r>
        <w:rPr/>
        <w:t>Подача заявок и их прием</w:t>
      </w:r>
      <w:bookmarkEnd w:id="137"/>
      <w:bookmarkEnd w:id="138"/>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Ref125362130"/>
      <w:bookmarkStart w:id="141" w:name="_Ref125362192"/>
      <w:bookmarkStart w:id="142" w:name="_Ref125363819"/>
      <w:bookmarkStart w:id="143" w:name="_Ref125365136"/>
      <w:bookmarkStart w:id="144" w:name="_Toc228877689"/>
      <w:r>
        <w:rPr/>
        <w:t>Изменение и отзыв заявок</w:t>
      </w:r>
      <w:bookmarkEnd w:id="140"/>
      <w:bookmarkEnd w:id="141"/>
      <w:bookmarkEnd w:id="142"/>
      <w:bookmarkEnd w:id="143"/>
      <w:bookmarkEnd w:id="144"/>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Ref132816188"/>
      <w:bookmarkStart w:id="146" w:name="_Toc228877690"/>
      <w:r>
        <w:rPr/>
        <w:t>Открытие доступа к первым частям заявок</w:t>
      </w:r>
      <w:bookmarkEnd w:id="145"/>
      <w:bookmarkEnd w:id="146"/>
    </w:p>
    <w:p>
      <w:pPr>
        <w:pStyle w:val="Style26"/>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6"/>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Ref125362364"/>
      <w:bookmarkStart w:id="150" w:name="_Ref125366689"/>
      <w:bookmarkStart w:id="151" w:name="_Toc228877691"/>
      <w:r>
        <w:rPr/>
        <w:t>Рассмотрение первых частей заявок (отборочная стадия)</w:t>
      </w:r>
      <w:bookmarkEnd w:id="149"/>
      <w:bookmarkEnd w:id="150"/>
      <w:bookmarkEnd w:id="151"/>
    </w:p>
    <w:p>
      <w:pPr>
        <w:pStyle w:val="Style26"/>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6"/>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5"/>
        <w:rPr/>
      </w:pPr>
      <w:bookmarkStart w:id="153" w:name="_Ref132801184"/>
      <w:bookmarkStart w:id="154" w:name="_Toc228877692"/>
      <w:r>
        <w:rPr/>
        <w:t>Открытие доступа ко вторым частям заявок и ценовым предложениям</w:t>
      </w:r>
      <w:bookmarkEnd w:id="153"/>
      <w:bookmarkEnd w:id="154"/>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Ref132797154"/>
      <w:bookmarkStart w:id="156" w:name="_Toc228877693"/>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5"/>
        <w:rPr/>
      </w:pPr>
      <w:bookmarkStart w:id="159" w:name="_Ref125362381"/>
      <w:bookmarkStart w:id="160" w:name="_Ref125362425"/>
      <w:bookmarkStart w:id="161" w:name="_Ref125362464"/>
      <w:bookmarkStart w:id="162" w:name="_Ref125362610"/>
      <w:bookmarkStart w:id="163" w:name="_Toc228877694"/>
      <w:r>
        <w:rPr/>
        <w:t>Дополнительные запросы разъяснений заявок</w:t>
      </w:r>
      <w:bookmarkEnd w:id="159"/>
      <w:bookmarkEnd w:id="160"/>
      <w:bookmarkEnd w:id="161"/>
      <w:bookmarkEnd w:id="162"/>
      <w:bookmarkEnd w:id="163"/>
    </w:p>
    <w:p>
      <w:pPr>
        <w:pStyle w:val="Style26"/>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5"/>
        <w:rPr/>
      </w:pPr>
      <w:bookmarkStart w:id="167" w:name="_Ref125362626"/>
      <w:bookmarkStart w:id="168" w:name="_Ref125365335"/>
      <w:bookmarkStart w:id="169" w:name="_Ref125365519"/>
      <w:bookmarkStart w:id="170" w:name="_Ref125366534"/>
      <w:bookmarkStart w:id="171" w:name="_Ref125369041"/>
      <w:bookmarkStart w:id="172" w:name="_Ref125369308"/>
      <w:bookmarkStart w:id="173" w:name="_Toc228877695"/>
      <w:r>
        <w:rPr/>
        <w:t>Оценка и сопоставление заявок</w:t>
      </w:r>
      <w:bookmarkEnd w:id="167"/>
      <w:bookmarkEnd w:id="168"/>
      <w:bookmarkEnd w:id="169"/>
      <w:bookmarkEnd w:id="170"/>
      <w:bookmarkEnd w:id="171"/>
      <w:bookmarkEnd w:id="172"/>
      <w:bookmarkEnd w:id="173"/>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86219943"/>
      <w:bookmarkStart w:id="175" w:name="_Ref132816300"/>
      <w:bookmarkStart w:id="176" w:name="_Toc228877696"/>
      <w:bookmarkStart w:id="177" w:name="_Ref1309859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Ref125362658"/>
      <w:bookmarkStart w:id="185" w:name="_Ref125366091"/>
      <w:bookmarkStart w:id="186" w:name="_Ref125367242"/>
      <w:bookmarkStart w:id="187" w:name="_Toc228877698"/>
      <w:r>
        <w:rPr/>
        <w:t>Подведение итогов закупки (определение Победителя)</w:t>
      </w:r>
      <w:bookmarkEnd w:id="184"/>
      <w:bookmarkEnd w:id="185"/>
      <w:bookmarkEnd w:id="186"/>
      <w:bookmarkEnd w:id="187"/>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Ref125364149"/>
      <w:bookmarkStart w:id="190" w:name="_Ref125364187"/>
      <w:bookmarkStart w:id="191" w:name="_Ref125365305"/>
      <w:bookmarkStart w:id="192" w:name="_Ref125365570"/>
      <w:bookmarkStart w:id="193" w:name="_Ref125366631"/>
      <w:bookmarkStart w:id="194" w:name="_Ref125366796"/>
      <w:bookmarkStart w:id="195" w:name="_Toc228877699"/>
      <w:r>
        <w:rPr/>
        <w:t>Признание закупки несостоявшейся</w:t>
      </w:r>
      <w:bookmarkEnd w:id="189"/>
      <w:bookmarkEnd w:id="190"/>
      <w:bookmarkEnd w:id="191"/>
      <w:bookmarkEnd w:id="192"/>
      <w:bookmarkEnd w:id="193"/>
      <w:bookmarkEnd w:id="194"/>
      <w:bookmarkEnd w:id="195"/>
    </w:p>
    <w:p>
      <w:pPr>
        <w:pStyle w:val="Style26"/>
        <w:keepNext w:val="true"/>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Ref132816134"/>
      <w:bookmarkStart w:id="201" w:name="_Ref132816141"/>
      <w:bookmarkStart w:id="202" w:name="_Toc228877700"/>
      <w:bookmarkStart w:id="203" w:name="_Ref126141962"/>
      <w:bookmarkStart w:id="204" w:name="_Toc224743821"/>
      <w:bookmarkStart w:id="205" w:name="_Toc224743822"/>
      <w:bookmarkStart w:id="206" w:name="_Toc224743823"/>
      <w:bookmarkStart w:id="207" w:name="_Toc224743824"/>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Ref130455226"/>
      <w:bookmarkStart w:id="209" w:name="_Toc228877701"/>
      <w:r>
        <w:rPr/>
        <w:t>Особенности проведения закупки с необходимостью обеспечения заявки</w:t>
      </w:r>
      <w:bookmarkEnd w:id="208"/>
      <w:bookmarkEnd w:id="20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5"/>
        <w:rPr/>
      </w:pPr>
      <w:bookmarkStart w:id="212" w:name="_Ref149317181"/>
      <w:bookmarkStart w:id="213" w:name="_Toc228877702"/>
      <w:bookmarkStart w:id="214" w:name="_Ref130225422"/>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4"/>
        <w:rPr/>
      </w:pPr>
      <w:bookmarkStart w:id="215" w:name="_Ref126142429"/>
      <w:bookmarkStart w:id="216" w:name="_Ref130224037"/>
      <w:bookmarkStart w:id="217" w:name="_Toc228877704"/>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38341423"/>
      <w:bookmarkStart w:id="226" w:name="_Toc228877706"/>
      <w:bookmarkStart w:id="227" w:name="_Ref125366947"/>
      <w:bookmarkStart w:id="228" w:name="_Ref125368755"/>
      <w:r>
        <w:rPr/>
        <w:t>Заключение Договора</w:t>
      </w:r>
      <w:bookmarkEnd w:id="225"/>
      <w:bookmarkEnd w:id="226"/>
      <w:bookmarkEnd w:id="227"/>
      <w:bookmarkEnd w:id="228"/>
    </w:p>
    <w:p>
      <w:pPr>
        <w:pStyle w:val="Style26"/>
        <w:rPr/>
      </w:pPr>
      <w:bookmarkStart w:id="229" w:name="_Ref125362935"/>
      <w:bookmarkStart w:id="23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Ref125367068"/>
      <w:bookmarkStart w:id="239" w:name="_Toc228877707"/>
      <w:r>
        <w:rPr/>
        <w:t>Уклонение Победителя от заключения Договора</w:t>
      </w:r>
      <w:bookmarkEnd w:id="238"/>
      <w:bookmarkEnd w:id="239"/>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Ref125363016"/>
      <w:bookmarkStart w:id="241" w:name="_Ref125363023"/>
      <w:bookmarkStart w:id="242" w:name="_Ref125363034"/>
      <w:bookmarkStart w:id="243" w:name="_Ref125363600"/>
      <w:bookmarkStart w:id="244" w:name="_Ref125363752"/>
      <w:bookmarkStart w:id="245" w:name="_Ref125364088"/>
      <w:bookmarkStart w:id="246" w:name="_Ref125364201"/>
      <w:bookmarkStart w:id="247" w:name="_Ref125370732"/>
      <w:bookmarkStart w:id="248" w:name="_Ref125370741"/>
      <w:bookmarkStart w:id="249" w:name="_Ref125370746"/>
      <w:bookmarkStart w:id="250" w:name="_Ref125370750"/>
      <w:bookmarkStart w:id="251" w:name="_Ref125370843"/>
      <w:bookmarkStart w:id="252" w:name="Прил01_ТехТребования"/>
      <w:bookmarkStart w:id="253" w:name="_Toc228877708"/>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Ref125361746"/>
      <w:bookmarkStart w:id="256" w:name="_Ref125363040"/>
      <w:bookmarkStart w:id="257" w:name="_Ref125363605"/>
      <w:bookmarkStart w:id="258" w:name="_Ref125363759"/>
      <w:bookmarkStart w:id="259" w:name="_Ref125364081"/>
      <w:bookmarkStart w:id="260" w:name="_Ref125364206"/>
      <w:bookmarkStart w:id="261" w:name="_Ref125370754"/>
      <w:bookmarkStart w:id="262" w:name="Прил02_ПроектДоговора"/>
      <w:bookmarkStart w:id="263" w:name="_Toc228877710"/>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1" coordsize="21600,21600" o:spt="ole_rId1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 type="_x0000_tole_rId11" style="width:78.05pt;height:50.8pt;mso-wrap-distance-right:0pt" filled="f" o:ole="">
            <v:imagedata r:id="rId12" o:title=""/>
          </v:shape>
          <o:OLEObject Type="Embed" ProgID="Word.Document.12" ShapeID="ole_rId11" DrawAspect="Icon" ObjectID="_183486647" r:id="rId11"/>
        </w:object>
      </w:r>
    </w:p>
    <w:p>
      <w:pPr>
        <w:pStyle w:val="Style24"/>
        <w:rPr/>
      </w:pPr>
      <w:bookmarkStart w:id="266" w:name="_Ref125361494"/>
      <w:bookmarkStart w:id="267" w:name="_Ref125361908"/>
      <w:bookmarkStart w:id="268" w:name="_Ref125365476"/>
      <w:bookmarkStart w:id="269" w:name="_Ref125370013"/>
      <w:bookmarkStart w:id="270" w:name="Прил03_ТребованияУчастникам"/>
      <w:bookmarkStart w:id="271" w:name="_Toc228877712"/>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Ref125361435"/>
      <w:bookmarkStart w:id="275" w:name="_Ref125361590"/>
      <w:bookmarkStart w:id="276" w:name="_Ref125361617"/>
      <w:bookmarkStart w:id="277" w:name="_Ref125361832"/>
      <w:bookmarkStart w:id="278" w:name="_Ref125361846"/>
      <w:bookmarkStart w:id="279" w:name="_Ref125361926"/>
      <w:bookmarkStart w:id="280" w:name="_Ref125366879"/>
      <w:bookmarkStart w:id="281" w:name="_Ref125368812"/>
      <w:bookmarkStart w:id="282" w:name="_Ref125368895"/>
      <w:bookmarkStart w:id="283" w:name="_Ref125369088"/>
      <w:bookmarkStart w:id="284" w:name="_Ref125370058"/>
      <w:bookmarkStart w:id="285" w:name="_Ref125370064"/>
      <w:bookmarkStart w:id="286" w:name="_Ref125370071"/>
      <w:bookmarkStart w:id="287" w:name="_Toc228877714"/>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Ref125361442"/>
      <w:bookmarkStart w:id="299" w:name="_Ref125361633"/>
      <w:bookmarkStart w:id="300" w:name="_Ref125361671"/>
      <w:bookmarkStart w:id="301" w:name="_Ref125361869"/>
      <w:bookmarkStart w:id="302" w:name="_Ref125361937"/>
      <w:bookmarkStart w:id="303" w:name="_Ref125365459"/>
      <w:bookmarkStart w:id="304" w:name="_Ref125367521"/>
      <w:bookmarkStart w:id="305" w:name="_Ref125367539"/>
      <w:bookmarkStart w:id="306" w:name="_Ref125368818"/>
      <w:bookmarkStart w:id="307" w:name="_Ref125368901"/>
      <w:bookmarkStart w:id="308" w:name="_Ref125368916"/>
      <w:bookmarkStart w:id="309" w:name="_Ref125369099"/>
      <w:bookmarkStart w:id="310" w:name="_Ref125370079"/>
      <w:bookmarkStart w:id="311" w:name="_Ref125709153"/>
      <w:bookmarkStart w:id="312" w:name="_Ref125709250"/>
      <w:bookmarkStart w:id="313" w:name="_Ref125709401"/>
      <w:bookmarkStart w:id="314" w:name="_Ref125709888"/>
      <w:bookmarkStart w:id="315" w:name="_Toc228877715"/>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pStyle w:val="Style25"/>
        <w:spacing w:before="360" w:after="120"/>
        <w:rPr/>
      </w:pPr>
      <w:bookmarkStart w:id="316" w:name="_Ref125361823"/>
      <w:bookmarkStart w:id="317" w:name="_Ref125362031"/>
      <w:bookmarkStart w:id="318" w:name="_Ref125369117"/>
      <w:bookmarkStart w:id="319" w:name="_Ref125370173"/>
      <w:bookmarkStart w:id="320" w:name="_Ref125370180"/>
      <w:bookmarkStart w:id="321" w:name="_Ref125370209"/>
      <w:bookmarkStart w:id="322" w:name="_Ref125709777"/>
      <w:bookmarkStart w:id="323" w:name="_Ref125709973"/>
      <w:bookmarkStart w:id="324" w:name="_Toc228877716"/>
      <w:bookmarkStart w:id="325" w:name="_Toc224743841"/>
      <w:bookmarkStart w:id="326" w:name="_Toc224743846"/>
      <w:bookmarkStart w:id="327" w:name="_Toc224743850"/>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5"/>
        <w:rPr/>
      </w:pPr>
      <w:bookmarkStart w:id="340" w:name="_Ref130395470"/>
      <w:bookmarkStart w:id="341" w:name="_Toc228877721"/>
      <w:r>
        <w:rPr/>
        <w:t>Форма справки «Сведения о цепочке собственников, включая бенефициаров (в том числе конечных)»</w:t>
      </w:r>
      <w:bookmarkEnd w:id="340"/>
      <w:bookmarkEnd w:id="341"/>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1" coordsize="21600,21600" o:spt="ole_rId2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 type="_x0000_tole_rId21" style="width:75.65pt;height:48.4pt;mso-wrap-distance-right:0pt" filled="f" o:ole="">
            <v:imagedata r:id="rId22" o:title=""/>
          </v:shape>
          <o:OLEObject Type="Embed" ProgID="Word.Document.12" ShapeID="ole_rId21" DrawAspect="Icon" ObjectID="_893538160" r:id="rId21"/>
        </w:object>
      </w:r>
    </w:p>
    <w:p>
      <w:pPr>
        <w:pStyle w:val="Style25"/>
        <w:rPr/>
      </w:pPr>
      <w:bookmarkStart w:id="343" w:name="_Ref130395475"/>
      <w:bookmarkStart w:id="344" w:name="_Toc228877722"/>
      <w:r>
        <w:rPr/>
        <w:t>Форма «Заверение об обстоятельствах»</w:t>
      </w:r>
      <w:bookmarkEnd w:id="343"/>
      <w:bookmarkEnd w:id="344"/>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8.05pt;height:52.05pt;mso-wrap-distance-right:0pt;mso-wrap-distance-bottom:6pt" filled="f" o:ole="">
            <v:imagedata r:id="rId24" o:title=""/>
          </v:shape>
          <o:OLEObject Type="Embed" ProgID="Word.Document.12" ShapeID="ole_rId23" DrawAspect="Icon" ObjectID="_1508542958" r:id="rId23"/>
        </w:object>
      </w:r>
    </w:p>
    <w:p>
      <w:pPr>
        <w:pStyle w:val="Style24"/>
        <w:rPr/>
      </w:pPr>
      <w:bookmarkStart w:id="346" w:name="_Toc228877723"/>
      <w:bookmarkStart w:id="347" w:name="_Ref125362865"/>
      <w:bookmarkStart w:id="348" w:name="_Ref125362900"/>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5"/>
          <w:headerReference w:type="first" r:id="rId26"/>
          <w:footerReference w:type="default" r:id="rId27"/>
          <w:footerReference w:type="first" r:id="rId2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Ref125365264"/>
      <w:bookmarkStart w:id="360" w:name="_Toc228877725"/>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Toc228877728"/>
      <w:bookmarkStart w:id="364" w:name="_Hlk132891087"/>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28877731"/>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af9"/>
        <w:tblW w:w="14034" w:type="dxa"/>
        <w:jc w:val="left"/>
        <w:tblInd w:w="1129" w:type="dxa"/>
        <w:tblLayout w:type="fixed"/>
        <w:tblCellMar>
          <w:top w:w="55" w:type="dxa"/>
          <w:left w:w="57" w:type="dxa"/>
          <w:bottom w:w="55" w:type="dxa"/>
          <w:right w:w="57" w:type="dxa"/>
        </w:tblCellMar>
        <w:tblLook w:val="04a0" w:noVBand="1" w:noHBand="0" w:lastColumn="0" w:firstColumn="1" w:lastRow="0" w:firstRow="1"/>
      </w:tblPr>
      <w:tblGrid>
        <w:gridCol w:w="798"/>
        <w:gridCol w:w="2003"/>
        <w:gridCol w:w="1594"/>
        <w:gridCol w:w="1556"/>
        <w:gridCol w:w="1140"/>
        <w:gridCol w:w="1928"/>
        <w:gridCol w:w="5014"/>
      </w:tblGrid>
      <w:tr>
        <w:trPr>
          <w:cnfStyle w:val="100000000000" w:firstRow="1" w:lastRow="0" w:firstColumn="0" w:lastColumn="0" w:oddVBand="0" w:evenVBand="0" w:oddHBand="0" w:evenHBand="0" w:firstRowFirstColumn="0" w:firstRowLastColumn="0" w:lastRowFirstColumn="0" w:lastRowLastColumn="0"/>
        </w:trPr>
        <w:tc>
          <w:tcPr>
            <w:tcW w:w="798" w:type="dxa"/>
            <w:vMerge w:val="restart"/>
            <w:tcBorders>
              <w:right w:val="nil"/>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2003" w:type="dxa"/>
            <w:vMerge w:val="restart"/>
            <w:tcBorders>
              <w:right w:val="nil"/>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Вид критерия оценки / направление оценки заявок</w:t>
            </w:r>
          </w:p>
        </w:tc>
        <w:tc>
          <w:tcPr>
            <w:tcW w:w="3150" w:type="dxa"/>
            <w:gridSpan w:val="2"/>
            <w:tcBorders>
              <w:right w:val="nil"/>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Наименование критерия оценки</w:t>
            </w:r>
          </w:p>
        </w:tc>
        <w:tc>
          <w:tcPr>
            <w:tcW w:w="1140" w:type="dxa"/>
            <w:vMerge w:val="restart"/>
            <w:tcBorders>
              <w:right w:val="nil"/>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Значимость</w:t>
              <w:br/>
              <w:t>критерия оценки</w:t>
            </w:r>
          </w:p>
        </w:tc>
        <w:tc>
          <w:tcPr>
            <w:tcW w:w="1928" w:type="dxa"/>
            <w:vMerge w:val="restart"/>
            <w:tcBorders>
              <w:right w:val="nil"/>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Содержание частного критерия оценки</w:t>
            </w:r>
          </w:p>
        </w:tc>
        <w:tc>
          <w:tcPr>
            <w:tcW w:w="5014" w:type="dxa"/>
            <w:vMerge w:val="restart"/>
            <w:tcBorders/>
          </w:tcPr>
          <w:p>
            <w:pPr>
              <w:pStyle w:val="Style30"/>
              <w:keepNext w:val="true"/>
              <w:keepLines w:val="false"/>
              <w:widowControl w:val="false"/>
              <w:suppressAutoHyphens w:val="true"/>
              <w:spacing w:before="40" w:after="40"/>
              <w:jc w:val="center"/>
              <w:rPr>
                <w:sz w:val="18"/>
                <w:szCs w:val="18"/>
              </w:rPr>
            </w:pPr>
            <w:r>
              <w:rPr>
                <w:rFonts w:eastAsia="Calibri" w:cs=""/>
                <w:b/>
                <w:kern w:val="0"/>
                <w:sz w:val="18"/>
                <w:szCs w:val="18"/>
                <w:lang w:val="ru-RU" w:eastAsia="en-US" w:bidi="ar-SA"/>
              </w:rPr>
              <w:t>Расчет оценки предпочтительности заявки</w:t>
            </w:r>
          </w:p>
        </w:tc>
      </w:tr>
      <w:tr>
        <w:trPr/>
        <w:tc>
          <w:tcPr>
            <w:tcW w:w="798" w:type="dxa"/>
            <w:vMerge w:val="continue"/>
            <w:tcBorders>
              <w:top w:val="nil"/>
              <w:right w:val="nil"/>
            </w:tcBorders>
          </w:tcPr>
          <w:p>
            <w:pPr>
              <w:pStyle w:val="Style30"/>
              <w:widowControl w:val="false"/>
              <w:suppressAutoHyphens w:val="true"/>
              <w:spacing w:before="40" w:after="40"/>
              <w:jc w:val="center"/>
              <w:rPr>
                <w:sz w:val="18"/>
                <w:szCs w:val="18"/>
              </w:rPr>
            </w:pPr>
            <w:r>
              <w:rPr>
                <w:sz w:val="18"/>
                <w:szCs w:val="18"/>
              </w:rPr>
            </w:r>
          </w:p>
        </w:tc>
        <w:tc>
          <w:tcPr>
            <w:tcW w:w="2003" w:type="dxa"/>
            <w:vMerge w:val="continue"/>
            <w:tcBorders>
              <w:top w:val="nil"/>
              <w:right w:val="nil"/>
            </w:tcBorders>
          </w:tcPr>
          <w:p>
            <w:pPr>
              <w:pStyle w:val="Style30"/>
              <w:widowControl w:val="false"/>
              <w:suppressAutoHyphens w:val="true"/>
              <w:spacing w:before="40" w:after="40"/>
              <w:jc w:val="center"/>
              <w:rPr>
                <w:sz w:val="18"/>
                <w:szCs w:val="18"/>
              </w:rPr>
            </w:pPr>
            <w:r>
              <w:rPr>
                <w:sz w:val="18"/>
                <w:szCs w:val="18"/>
              </w:rPr>
            </w:r>
          </w:p>
        </w:tc>
        <w:tc>
          <w:tcPr>
            <w:tcW w:w="1594" w:type="dxa"/>
            <w:tcBorders>
              <w:top w:val="nil"/>
              <w:right w:val="nil"/>
            </w:tcBorders>
          </w:tcPr>
          <w:p>
            <w:pPr>
              <w:pStyle w:val="Style30"/>
              <w:widowControl w:val="false"/>
              <w:suppressAutoHyphens w:val="true"/>
              <w:spacing w:before="40" w:after="40"/>
              <w:jc w:val="center"/>
              <w:rPr>
                <w:sz w:val="18"/>
                <w:szCs w:val="18"/>
              </w:rPr>
            </w:pPr>
            <w:r>
              <w:rPr>
                <w:rFonts w:eastAsia="Calibri" w:cs=""/>
                <w:b/>
                <w:bCs/>
                <w:kern w:val="0"/>
                <w:sz w:val="18"/>
                <w:szCs w:val="18"/>
                <w:lang w:val="ru-RU" w:eastAsia="en-US" w:bidi="ar-SA"/>
              </w:rPr>
              <w:t>критерий оценки первого уровня</w:t>
            </w:r>
          </w:p>
        </w:tc>
        <w:tc>
          <w:tcPr>
            <w:tcW w:w="1556" w:type="dxa"/>
            <w:tcBorders>
              <w:top w:val="nil"/>
              <w:right w:val="nil"/>
            </w:tcBorders>
          </w:tcPr>
          <w:p>
            <w:pPr>
              <w:pStyle w:val="Style30"/>
              <w:widowControl w:val="false"/>
              <w:suppressAutoHyphens w:val="true"/>
              <w:spacing w:before="40" w:after="40"/>
              <w:jc w:val="center"/>
              <w:rPr>
                <w:sz w:val="18"/>
                <w:szCs w:val="18"/>
              </w:rPr>
            </w:pPr>
            <w:r>
              <w:rPr>
                <w:rFonts w:eastAsia="Calibri" w:cs=""/>
                <w:b/>
                <w:bCs/>
                <w:kern w:val="0"/>
                <w:sz w:val="18"/>
                <w:szCs w:val="18"/>
                <w:lang w:val="ru-RU" w:eastAsia="en-US" w:bidi="ar-SA"/>
              </w:rPr>
              <w:t>критерий оценки второго уровня</w:t>
            </w:r>
          </w:p>
        </w:tc>
        <w:tc>
          <w:tcPr>
            <w:tcW w:w="1140" w:type="dxa"/>
            <w:vMerge w:val="continue"/>
            <w:tcBorders>
              <w:top w:val="nil"/>
              <w:right w:val="nil"/>
            </w:tcBorders>
          </w:tcPr>
          <w:p>
            <w:pPr>
              <w:pStyle w:val="Style30"/>
              <w:widowControl w:val="false"/>
              <w:suppressAutoHyphens w:val="true"/>
              <w:spacing w:before="40" w:after="40"/>
              <w:jc w:val="center"/>
              <w:rPr>
                <w:sz w:val="18"/>
                <w:szCs w:val="18"/>
              </w:rPr>
            </w:pPr>
            <w:r>
              <w:rPr>
                <w:sz w:val="18"/>
                <w:szCs w:val="18"/>
              </w:rPr>
            </w:r>
          </w:p>
        </w:tc>
        <w:tc>
          <w:tcPr>
            <w:tcW w:w="1928" w:type="dxa"/>
            <w:vMerge w:val="continue"/>
            <w:tcBorders>
              <w:top w:val="nil"/>
              <w:right w:val="nil"/>
            </w:tcBorders>
          </w:tcPr>
          <w:p>
            <w:pPr>
              <w:pStyle w:val="Style30"/>
              <w:widowControl w:val="false"/>
              <w:suppressAutoHyphens w:val="true"/>
              <w:spacing w:before="40" w:after="40"/>
              <w:jc w:val="center"/>
              <w:rPr>
                <w:sz w:val="18"/>
                <w:szCs w:val="18"/>
              </w:rPr>
            </w:pPr>
            <w:r>
              <w:rPr>
                <w:sz w:val="18"/>
                <w:szCs w:val="18"/>
              </w:rPr>
            </w:r>
          </w:p>
        </w:tc>
        <w:tc>
          <w:tcPr>
            <w:tcW w:w="5014" w:type="dxa"/>
            <w:vMerge w:val="continue"/>
            <w:tcBorders>
              <w:top w:val="nil"/>
            </w:tcBorders>
          </w:tcPr>
          <w:p>
            <w:pPr>
              <w:pStyle w:val="Style30"/>
              <w:widowControl w:val="false"/>
              <w:suppressAutoHyphens w:val="true"/>
              <w:spacing w:before="40" w:after="40"/>
              <w:jc w:val="center"/>
              <w:rPr>
                <w:sz w:val="18"/>
                <w:szCs w:val="18"/>
              </w:rPr>
            </w:pPr>
            <w:r>
              <w:rPr>
                <w:sz w:val="18"/>
                <w:szCs w:val="18"/>
              </w:rPr>
            </w:r>
          </w:p>
        </w:tc>
      </w:tr>
      <w:tr>
        <w:trPr/>
        <w:tc>
          <w:tcPr>
            <w:tcW w:w="798" w:type="dxa"/>
            <w:tcBorders>
              <w:top w:val="nil"/>
              <w:right w:val="nil"/>
            </w:tcBorders>
          </w:tcPr>
          <w:p>
            <w:pPr>
              <w:pStyle w:val="Normal"/>
              <w:widowControl w:val="false"/>
              <w:spacing w:before="120" w:after="0"/>
              <w:rPr/>
            </w:pPr>
            <w:r>
              <w:rPr>
                <w:rStyle w:val="Style19"/>
                <w:rFonts w:cs="Times New Roman"/>
                <w:sz w:val="20"/>
                <w:szCs w:val="20"/>
              </w:rPr>
              <w:t>1</w:t>
            </w:r>
          </w:p>
        </w:tc>
        <w:tc>
          <w:tcPr>
            <w:tcW w:w="2003" w:type="dxa"/>
            <w:tcBorders>
              <w:top w:val="nil"/>
              <w:right w:val="nil"/>
            </w:tcBorders>
          </w:tcPr>
          <w:p>
            <w:pPr>
              <w:pStyle w:val="Normal"/>
              <w:widowControl w:val="false"/>
              <w:spacing w:before="120" w:after="0"/>
              <w:rPr>
                <w:rFonts w:ascii="Times New Roman" w:hAnsi="Times New Roman"/>
                <w:sz w:val="20"/>
                <w:szCs w:val="20"/>
              </w:rPr>
            </w:pPr>
            <w:r>
              <w:rPr>
                <w:rFonts w:eastAsia="Calibri"/>
                <w:sz w:val="20"/>
                <w:szCs w:val="20"/>
                <w:lang w:eastAsia="en-US"/>
              </w:rPr>
              <w:t>«Ценовой критерий оценки первого уровня»/Цена</w:t>
            </w:r>
          </w:p>
        </w:tc>
        <w:tc>
          <w:tcPr>
            <w:tcW w:w="1594" w:type="dxa"/>
            <w:tcBorders>
              <w:top w:val="nil"/>
              <w:right w:val="nil"/>
            </w:tcBorders>
          </w:tcPr>
          <w:p>
            <w:pPr>
              <w:pStyle w:val="Style30"/>
              <w:widowControl w:val="false"/>
              <w:spacing w:before="40" w:after="40"/>
              <w:jc w:val="center"/>
              <w:rPr/>
            </w:pPr>
            <w:r>
              <w:rPr>
                <w:rStyle w:val="Style8"/>
                <w:rFonts w:eastAsia="Calibri"/>
                <w:i w:val="false"/>
                <w:iCs w:val="false"/>
                <w:sz w:val="20"/>
                <w:szCs w:val="20"/>
                <w:shd w:fill="FFFFFF" w:val="clear"/>
                <w:lang w:eastAsia="en-US"/>
              </w:rPr>
              <w:t>Цена договора (стоимость заявки)</w:t>
            </w:r>
          </w:p>
        </w:tc>
        <w:tc>
          <w:tcPr>
            <w:tcW w:w="1556" w:type="dxa"/>
            <w:tcBorders>
              <w:top w:val="nil"/>
              <w:right w:val="nil"/>
            </w:tcBorders>
          </w:tcPr>
          <w:p>
            <w:pPr>
              <w:pStyle w:val="Style30"/>
              <w:widowControl w:val="false"/>
              <w:spacing w:before="40" w:after="40"/>
              <w:jc w:val="center"/>
              <w:rPr/>
            </w:pPr>
            <w:r>
              <w:rPr>
                <w:rStyle w:val="Style8"/>
                <w:rFonts w:eastAsia="Calibri"/>
                <w:i w:val="false"/>
                <w:iCs w:val="false"/>
                <w:sz w:val="20"/>
                <w:szCs w:val="20"/>
                <w:shd w:fill="FFFFFF" w:val="clear"/>
                <w:lang w:eastAsia="en-US"/>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rFonts w:ascii="Times New Roman" w:hAnsi="Times New Roman"/>
                <w:sz w:val="20"/>
                <w:szCs w:val="20"/>
              </w:rPr>
            </w:pPr>
            <w:r>
              <w:rPr>
                <w:rFonts w:ascii="Times New Roman" w:hAnsi="Times New Roman"/>
                <w:sz w:val="20"/>
                <w:szCs w:val="20"/>
                <w:lang w:eastAsia="ru-RU"/>
              </w:rPr>
              <w:t>90%</w:t>
              <w:br/>
              <w:t>(В</w:t>
            </w:r>
            <w:r>
              <w:rPr>
                <w:rFonts w:ascii="Times New Roman" w:hAnsi="Times New Roman"/>
                <w:sz w:val="20"/>
                <w:szCs w:val="20"/>
                <w:vertAlign w:val="subscript"/>
                <w:lang w:eastAsia="ru-RU"/>
              </w:rPr>
              <w:t>1</w:t>
            </w:r>
            <w:r>
              <w:rPr>
                <w:rFonts w:ascii="Times New Roman" w:hAnsi="Times New Roman"/>
                <w:sz w:val="20"/>
                <w:szCs w:val="20"/>
                <w:lang w:eastAsia="ru-RU"/>
              </w:rPr>
              <w:t xml:space="preserve"> = 0,90)</w:t>
            </w:r>
          </w:p>
        </w:tc>
        <w:tc>
          <w:tcPr>
            <w:tcW w:w="1928" w:type="dxa"/>
            <w:tcBorders>
              <w:top w:val="nil"/>
              <w:right w:val="nil"/>
            </w:tcBorders>
          </w:tcPr>
          <w:p>
            <w:pPr>
              <w:pStyle w:val="Style30"/>
              <w:widowControl w:val="false"/>
              <w:spacing w:before="40" w:after="40"/>
              <w:jc w:val="left"/>
              <w:rPr/>
            </w:pPr>
            <w:r>
              <w:rPr>
                <w:rStyle w:val="Style8"/>
                <w:rFonts w:eastAsia="Calibri"/>
                <w:i w:val="false"/>
                <w:iCs w:val="false"/>
                <w:sz w:val="20"/>
                <w:szCs w:val="20"/>
                <w:shd w:fill="FFFFFF" w:val="clear"/>
                <w:lang w:eastAsia="en-US"/>
              </w:rPr>
              <w:t>Чем меньше стоимость заявки Участника, тем выше предпочтительность</w:t>
            </w:r>
          </w:p>
        </w:tc>
        <w:tc>
          <w:tcPr>
            <w:tcW w:w="5014" w:type="dxa"/>
            <w:tcBorders>
              <w:top w:val="nil"/>
            </w:tcBorders>
          </w:tcPr>
          <w:p>
            <w:pPr>
              <w:pStyle w:val="Style30"/>
              <w:widowControl w:val="false"/>
              <w:spacing w:before="40" w:after="40"/>
              <w:jc w:val="left"/>
              <w:rPr/>
            </w:pPr>
            <w:r>
              <w:rPr>
                <w:rStyle w:val="Style8"/>
                <w:rFonts w:eastAsia="Calibri"/>
                <w:i w:val="false"/>
                <w:iCs w:val="false"/>
                <w:sz w:val="20"/>
                <w:szCs w:val="20"/>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rFonts w:ascii="Times New Roman" w:hAnsi="Times New Roman"/>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0"/>
                <w:szCs w:val="20"/>
                <w:shd w:fill="FFFFFF" w:val="clear"/>
                <w:lang w:eastAsia="en-US"/>
              </w:rPr>
              <w:t>где:</w:t>
            </w:r>
          </w:p>
          <w:p>
            <w:pPr>
              <w:pStyle w:val="Style30"/>
              <w:widowControl w:val="false"/>
              <w:spacing w:before="40" w:after="40"/>
              <w:jc w:val="both"/>
              <w:rPr>
                <w:rFonts w:ascii="Times New Roman" w:hAnsi="Times New Roman"/>
                <w:sz w:val="20"/>
                <w:szCs w:val="20"/>
              </w:rPr>
            </w:pPr>
            <w:r>
              <w:rPr>
                <w:sz w:val="20"/>
                <w:szCs w:val="20"/>
                <w:lang w:eastAsia="ru-RU"/>
              </w:rPr>
              <w:t>Б</w:t>
            </w:r>
            <w:r>
              <w:rPr>
                <w:sz w:val="20"/>
                <w:szCs w:val="20"/>
                <w:vertAlign w:val="subscript"/>
                <w:lang w:eastAsia="ru-RU"/>
              </w:rPr>
              <w:t>1</w:t>
            </w:r>
            <w:r>
              <w:rPr>
                <w:sz w:val="20"/>
                <w:szCs w:val="20"/>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jc w:val="both"/>
              <w:rPr>
                <w:rFonts w:ascii="Times New Roman" w:hAnsi="Times New Roman"/>
                <w:sz w:val="20"/>
                <w:szCs w:val="20"/>
              </w:rPr>
            </w:pPr>
            <w:r>
              <w:rPr>
                <w:sz w:val="20"/>
                <w:szCs w:val="20"/>
              </w:rPr>
              <w:t>ЦЕНА</w:t>
            </w:r>
            <w:r>
              <w:rPr>
                <w:i/>
                <w:iCs/>
                <w:sz w:val="20"/>
                <w:szCs w:val="20"/>
                <w:vertAlign w:val="subscript"/>
                <w:lang w:val="en-US"/>
              </w:rPr>
              <w:t>i</w:t>
            </w:r>
            <w:r>
              <w:rPr>
                <w:sz w:val="20"/>
                <w:szCs w:val="20"/>
              </w:rPr>
              <w:t xml:space="preserve">  – </w:t>
            </w:r>
            <w:r>
              <w:rPr>
                <w:rFonts w:eastAsia="Calibri"/>
                <w:sz w:val="20"/>
                <w:szCs w:val="20"/>
              </w:rPr>
              <w:t xml:space="preserve">цена договора (стоимость заявки), указанная в </w:t>
            </w:r>
            <w:r>
              <w:rPr>
                <w:rFonts w:eastAsia="Calibri"/>
                <w:sz w:val="20"/>
                <w:szCs w:val="20"/>
                <w:lang w:val="en-US"/>
              </w:rPr>
              <w:t>i</w:t>
            </w:r>
            <w:r>
              <w:rPr>
                <w:rFonts w:eastAsia="Calibri"/>
                <w:sz w:val="20"/>
                <w:szCs w:val="20"/>
              </w:rPr>
              <w:t xml:space="preserve">-той заявке (в Коммерческом предложении по установленной в Документации о закупке форме) допущенного Участника, </w:t>
            </w:r>
            <w:r>
              <w:rPr>
                <w:sz w:val="20"/>
                <w:szCs w:val="20"/>
              </w:rPr>
              <w:t>руб. без учета НДС;</w:t>
            </w:r>
          </w:p>
          <w:p>
            <w:pPr>
              <w:pStyle w:val="Normal"/>
              <w:widowControl w:val="false"/>
              <w:spacing w:lineRule="auto" w:line="252"/>
              <w:jc w:val="both"/>
              <w:rPr>
                <w:rFonts w:ascii="Times New Roman" w:hAnsi="Times New Roman"/>
                <w:sz w:val="20"/>
                <w:szCs w:val="20"/>
              </w:rPr>
            </w:pPr>
            <w:r>
              <w:rPr>
                <w:sz w:val="20"/>
                <w:szCs w:val="20"/>
              </w:rPr>
              <w:t>ЦЕНА</w:t>
            </w:r>
            <w:r>
              <w:rPr>
                <w:sz w:val="20"/>
                <w:szCs w:val="20"/>
                <w:vertAlign w:val="subscript"/>
                <w:lang w:val="en-US"/>
              </w:rPr>
              <w:t>min</w:t>
            </w:r>
            <w:r>
              <w:rPr>
                <w:sz w:val="20"/>
                <w:szCs w:val="20"/>
                <w:vertAlign w:val="subscript"/>
              </w:rPr>
              <w:t xml:space="preserve"> </w:t>
            </w:r>
            <w:r>
              <w:rPr>
                <w:sz w:val="20"/>
                <w:szCs w:val="20"/>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left" w:pos="742" w:leader="none"/>
                <w:tab w:val="left" w:pos="1167" w:leader="none"/>
              </w:tabs>
              <w:spacing w:lineRule="auto" w:line="240" w:before="0" w:after="0"/>
              <w:ind w:left="0" w:right="0" w:hanging="0"/>
              <w:jc w:val="both"/>
              <w:rPr>
                <w:rFonts w:ascii="Times New Roman" w:hAnsi="Times New Roman"/>
                <w:sz w:val="20"/>
                <w:szCs w:val="20"/>
              </w:rPr>
            </w:pPr>
            <w:r>
              <w:rPr>
                <w:rFonts w:ascii="Times New Roman" w:hAnsi="Times New Roman"/>
                <w:sz w:val="20"/>
                <w:szCs w:val="20"/>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pacing w:lineRule="auto" w:line="240" w:before="96" w:after="96"/>
              <w:ind w:left="0" w:right="0" w:hanging="0"/>
              <w:jc w:val="both"/>
              <w:rPr>
                <w:rFonts w:ascii="Times New Roman" w:hAnsi="Times New Roman"/>
                <w:sz w:val="20"/>
                <w:szCs w:val="20"/>
              </w:rPr>
            </w:pPr>
            <w:r>
              <w:rPr>
                <w:rFonts w:ascii="Times New Roman" w:hAnsi="Times New Roman"/>
                <w:sz w:val="20"/>
                <w:szCs w:val="20"/>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ascii="Times New Roman" w:hAnsi="Times New Roman"/>
                <w:color w:val="000000"/>
                <w:sz w:val="20"/>
                <w:szCs w:val="20"/>
              </w:rPr>
              <w:t>.</w:t>
            </w:r>
          </w:p>
          <w:p>
            <w:pPr>
              <w:pStyle w:val="Style30"/>
              <w:widowControl w:val="false"/>
              <w:spacing w:before="40" w:after="40"/>
              <w:jc w:val="both"/>
              <w:rPr/>
            </w:pPr>
            <w:r>
              <w:rPr>
                <w:rStyle w:val="Style8"/>
                <w:rFonts w:eastAsia="Calibri"/>
                <w:i w:val="false"/>
                <w:iCs w:val="false"/>
                <w:sz w:val="20"/>
                <w:szCs w:val="20"/>
                <w:shd w:fill="FFFFFF" w:val="clear"/>
                <w:lang w:eastAsia="ru-RU"/>
              </w:rPr>
              <w:t>Шкала оценок от 0 до 5 баллов.</w:t>
            </w:r>
          </w:p>
        </w:tc>
      </w:tr>
      <w:tr>
        <w:trPr/>
        <w:tc>
          <w:tcPr>
            <w:tcW w:w="798" w:type="dxa"/>
            <w:tcBorders>
              <w:top w:val="nil"/>
              <w:right w:val="nil"/>
            </w:tcBorders>
          </w:tcPr>
          <w:p>
            <w:pPr>
              <w:pStyle w:val="Normal"/>
              <w:widowControl w:val="false"/>
              <w:spacing w:before="120" w:after="0"/>
              <w:rPr/>
            </w:pPr>
            <w:r>
              <w:rPr>
                <w:rStyle w:val="Style19"/>
                <w:rFonts w:eastAsia="Calibri" w:cs="Times New Roman"/>
                <w:sz w:val="20"/>
                <w:szCs w:val="20"/>
              </w:rPr>
              <w:t>2</w:t>
            </w:r>
          </w:p>
        </w:tc>
        <w:tc>
          <w:tcPr>
            <w:tcW w:w="2003" w:type="dxa"/>
            <w:tcBorders>
              <w:top w:val="nil"/>
              <w:right w:val="nil"/>
            </w:tcBorders>
          </w:tcPr>
          <w:p>
            <w:pPr>
              <w:pStyle w:val="Normal"/>
              <w:widowControl w:val="false"/>
              <w:spacing w:before="120" w:after="0"/>
              <w:jc w:val="center"/>
              <w:rPr>
                <w:rFonts w:ascii="Times New Roman" w:hAnsi="Times New Roman"/>
                <w:sz w:val="20"/>
                <w:szCs w:val="20"/>
              </w:rPr>
            </w:pPr>
            <w:r>
              <w:rPr>
                <w:rFonts w:eastAsia="Calibri"/>
                <w:sz w:val="20"/>
                <w:szCs w:val="20"/>
                <w:lang w:eastAsia="en-US"/>
              </w:rPr>
              <w:t>«Неценовой критерий оценки первого уровня;</w:t>
              <w:br/>
              <w:t>Тех</w:t>
            </w:r>
          </w:p>
        </w:tc>
        <w:tc>
          <w:tcPr>
            <w:tcW w:w="1594" w:type="dxa"/>
            <w:tcBorders>
              <w:top w:val="nil"/>
              <w:right w:val="nil"/>
            </w:tcBorders>
          </w:tcPr>
          <w:p>
            <w:pPr>
              <w:pStyle w:val="Normal"/>
              <w:widowControl w:val="false"/>
              <w:spacing w:before="120" w:after="0"/>
              <w:jc w:val="center"/>
              <w:rPr>
                <w:rFonts w:ascii="Times New Roman" w:hAnsi="Times New Roman"/>
                <w:sz w:val="20"/>
                <w:szCs w:val="20"/>
              </w:rPr>
            </w:pPr>
            <w:r>
              <w:rPr>
                <w:rFonts w:eastAsia="Calibri"/>
                <w:sz w:val="20"/>
                <w:szCs w:val="20"/>
                <w:lang w:eastAsia="en-US"/>
              </w:rPr>
              <w:t>Квалификация (предпочтительность) Участника</w:t>
            </w:r>
          </w:p>
        </w:tc>
        <w:tc>
          <w:tcPr>
            <w:tcW w:w="1556" w:type="dxa"/>
            <w:tcBorders>
              <w:top w:val="nil"/>
              <w:right w:val="nil"/>
            </w:tcBorders>
          </w:tcPr>
          <w:p>
            <w:pPr>
              <w:pStyle w:val="Style30"/>
              <w:widowControl w:val="false"/>
              <w:spacing w:before="120" w:after="0"/>
              <w:jc w:val="center"/>
              <w:rPr>
                <w:rFonts w:ascii="Times New Roman" w:hAnsi="Times New Roman"/>
                <w:sz w:val="20"/>
                <w:szCs w:val="20"/>
              </w:rPr>
            </w:pPr>
            <w:r>
              <w:rPr>
                <w:rFonts w:eastAsia="Calibri"/>
                <w:sz w:val="20"/>
                <w:szCs w:val="20"/>
                <w:lang w:eastAsia="en-US"/>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rFonts w:ascii="Times New Roman" w:hAnsi="Times New Roman"/>
                <w:sz w:val="20"/>
                <w:szCs w:val="20"/>
              </w:rPr>
            </w:pPr>
            <w:r>
              <w:rPr>
                <w:rFonts w:ascii="Times New Roman" w:hAnsi="Times New Roman"/>
                <w:sz w:val="20"/>
                <w:szCs w:val="20"/>
                <w:lang w:eastAsia="ru-RU"/>
              </w:rPr>
              <w:t>5%</w:t>
              <w:br/>
              <w:t>(В</w:t>
            </w:r>
            <w:r>
              <w:rPr>
                <w:rFonts w:ascii="Times New Roman" w:hAnsi="Times New Roman"/>
                <w:sz w:val="20"/>
                <w:szCs w:val="20"/>
                <w:vertAlign w:val="subscript"/>
                <w:lang w:eastAsia="ru-RU"/>
              </w:rPr>
              <w:t>2</w:t>
            </w:r>
            <w:r>
              <w:rPr>
                <w:rFonts w:ascii="Times New Roman" w:hAnsi="Times New Roman"/>
                <w:sz w:val="20"/>
                <w:szCs w:val="20"/>
                <w:lang w:eastAsia="ru-RU"/>
              </w:rPr>
              <w:t xml:space="preserve"> = 0,05)</w:t>
            </w:r>
          </w:p>
        </w:tc>
        <w:tc>
          <w:tcPr>
            <w:tcW w:w="1928" w:type="dxa"/>
            <w:tcBorders>
              <w:top w:val="nil"/>
              <w:right w:val="nil"/>
            </w:tcBorders>
          </w:tcPr>
          <w:p>
            <w:pPr>
              <w:pStyle w:val="Normal"/>
              <w:widowControl w:val="false"/>
              <w:spacing w:before="120" w:after="0"/>
              <w:rPr/>
            </w:pPr>
            <w:r>
              <w:rPr>
                <w:rStyle w:val="Style19"/>
                <w:rFonts w:cs="Times New Roman"/>
                <w:sz w:val="20"/>
                <w:szCs w:val="20"/>
                <w:lang w:eastAsia="ru-RU"/>
              </w:rPr>
              <w:t>Чем больше опыт по ремонту и строительству ВЛ 6(10)-35 кВ, тем выше предпочтительность</w:t>
            </w:r>
          </w:p>
        </w:tc>
        <w:tc>
          <w:tcPr>
            <w:tcW w:w="5014" w:type="dxa"/>
            <w:tcBorders>
              <w:top w:val="nil"/>
            </w:tcBorders>
          </w:tcPr>
          <w:p>
            <w:pPr>
              <w:pStyle w:val="Normal"/>
              <w:widowControl w:val="false"/>
              <w:spacing w:lineRule="auto" w:line="240" w:before="96" w:after="96"/>
              <w:rPr/>
            </w:pPr>
            <w:r>
              <w:rPr>
                <w:rStyle w:val="Style19"/>
                <w:rFonts w:eastAsia="Calibri"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96" w:after="96"/>
              <w:rPr/>
            </w:pPr>
            <w:r>
              <w:rPr>
                <w:rStyle w:val="Style19"/>
                <w:rFonts w:eastAsia="Calibri" w:cs="Times New Roman"/>
                <w:sz w:val="20"/>
                <w:szCs w:val="20"/>
              </w:rPr>
              <w:t xml:space="preserve">Порядок осуществления оценки (значение оцениваемого параметра), в зависимости от предоставленных в i-ой заявке документов, подтверждающих наличие у Участника совокупного опыта (в рамках одного или нескольких договоров) по </w:t>
            </w:r>
            <w:r>
              <w:rPr>
                <w:rStyle w:val="Style19"/>
                <w:rFonts w:eastAsia="Calibri" w:cs="Times New Roman"/>
                <w:b/>
                <w:bCs/>
                <w:sz w:val="20"/>
                <w:szCs w:val="20"/>
              </w:rPr>
              <w:t>ремонту и строительству ВЛ 6(10)-35 кВ</w:t>
            </w:r>
            <w:r>
              <w:rPr>
                <w:rStyle w:val="Style19"/>
                <w:rFonts w:eastAsia="Calibri" w:cs="Times New Roman"/>
                <w:b/>
                <w:bCs/>
                <w:sz w:val="20"/>
                <w:szCs w:val="20"/>
                <w:lang w:eastAsia="ru-RU"/>
              </w:rPr>
              <w:t>,</w:t>
            </w:r>
            <w:r>
              <w:rPr>
                <w:rStyle w:val="Style19"/>
                <w:rFonts w:eastAsia="Calibri" w:cs="Times New Roman"/>
                <w:sz w:val="20"/>
                <w:szCs w:val="20"/>
              </w:rPr>
              <w:t xml:space="preserve"> за последние 5 (пять) лет, предшествующих дате подачи заявки участником.</w:t>
            </w:r>
          </w:p>
          <w:p>
            <w:pPr>
              <w:pStyle w:val="Normal"/>
              <w:widowControl w:val="false"/>
              <w:spacing w:lineRule="auto" w:line="240" w:before="96" w:after="96"/>
              <w:rPr/>
            </w:pPr>
            <w:r>
              <w:rPr>
                <w:rStyle w:val="Style19"/>
                <w:rFonts w:eastAsia="Calibri" w:cs="Times New Roman"/>
                <w:sz w:val="20"/>
                <w:szCs w:val="20"/>
              </w:rPr>
              <w:t xml:space="preserve"> </w:t>
            </w:r>
            <w:r>
              <w:rPr>
                <w:rStyle w:val="Style19"/>
                <w:rFonts w:eastAsia="Calibri" w:cs="Times New Roman"/>
                <w:sz w:val="20"/>
                <w:szCs w:val="20"/>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приложением скан-копий договоров, либо их частей (с приложением документов, предусмотренных требованиями договора, подтверждающих факт его исполнения, подписанных с обеих сторон), подтверждающие предоставленные в форме данные.</w:t>
            </w:r>
          </w:p>
          <w:p>
            <w:pPr>
              <w:pStyle w:val="31"/>
              <w:widowControl w:val="false"/>
              <w:numPr>
                <w:ilvl w:val="0"/>
                <w:numId w:val="0"/>
              </w:numPr>
              <w:spacing w:lineRule="auto" w:line="240" w:before="0" w:after="0"/>
              <w:ind w:left="0" w:right="0" w:hanging="0"/>
              <w:jc w:val="left"/>
              <w:rPr/>
            </w:pPr>
            <w:r>
              <w:rPr>
                <w:rStyle w:val="Style19"/>
                <w:rFonts w:cs="Times New Roman" w:ascii="Times New Roman" w:hAnsi="Times New Roman"/>
                <w:sz w:val="20"/>
                <w:szCs w:val="20"/>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pacing w:lineRule="auto" w:line="240" w:before="0" w:after="0"/>
              <w:ind w:left="720" w:right="0" w:hanging="0"/>
              <w:jc w:val="left"/>
              <w:rPr>
                <w:rFonts w:ascii="Times New Roman" w:hAnsi="Times New Roman" w:cs="Times New Roman"/>
                <w:sz w:val="20"/>
                <w:szCs w:val="20"/>
              </w:rPr>
            </w:pPr>
            <w:r>
              <w:rPr>
                <w:rFonts w:cs="Times New Roman" w:ascii="Times New Roman" w:hAnsi="Times New Roman"/>
                <w:sz w:val="20"/>
                <w:szCs w:val="20"/>
              </w:rPr>
            </w:r>
          </w:p>
          <w:tbl>
            <w:tblPr>
              <w:tblW w:w="5064" w:type="dxa"/>
              <w:jc w:val="left"/>
              <w:tblInd w:w="0" w:type="dxa"/>
              <w:tblLayout w:type="fixed"/>
              <w:tblCellMar>
                <w:top w:w="0" w:type="dxa"/>
                <w:left w:w="108" w:type="dxa"/>
                <w:bottom w:w="0" w:type="dxa"/>
                <w:right w:w="108" w:type="dxa"/>
              </w:tblCellMar>
            </w:tblPr>
            <w:tblGrid>
              <w:gridCol w:w="1521"/>
              <w:gridCol w:w="3542"/>
            </w:tblGrid>
            <w:tr>
              <w:trPr>
                <w:cantSplit w:val="true"/>
              </w:trPr>
              <w:tc>
                <w:tcPr>
                  <w:tcW w:w="1521" w:type="dxa"/>
                  <w:tcBorders>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0</w:t>
                  </w:r>
                </w:p>
              </w:tc>
              <w:tc>
                <w:tcPr>
                  <w:tcW w:w="3542" w:type="dxa"/>
                  <w:tcBorders>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312" w:right="0" w:hanging="0"/>
                    <w:jc w:val="left"/>
                    <w:rPr/>
                  </w:pPr>
                  <w:r>
                    <w:rPr>
                      <w:rStyle w:val="Style19"/>
                      <w:rFonts w:cs="Times New Roman" w:ascii="Times New Roman" w:hAnsi="Times New Roman"/>
                      <w:sz w:val="20"/>
                      <w:szCs w:val="20"/>
                    </w:rPr>
                    <w:t>до 30% НМЦ (включительно) без учета НДС;</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1</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19"/>
                      <w:rFonts w:cs="Times New Roman" w:ascii="Times New Roman" w:hAnsi="Times New Roman"/>
                      <w:sz w:val="20"/>
                      <w:szCs w:val="20"/>
                    </w:rPr>
                    <w:t>более 30% НМЦ без учета НДС, но менее 40% НМЦ (включительно) без учета НДС;</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2</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19"/>
                      <w:rFonts w:cs="Times New Roman" w:ascii="Times New Roman" w:hAnsi="Times New Roman"/>
                      <w:sz w:val="20"/>
                      <w:szCs w:val="20"/>
                    </w:rPr>
                    <w:t>более 40% НМЦ без учета НДС, но менее 50% НМЦ (включительно) без учета НДС;</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3</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19"/>
                      <w:rFonts w:cs="Times New Roman" w:ascii="Times New Roman" w:hAnsi="Times New Roman"/>
                      <w:sz w:val="20"/>
                      <w:szCs w:val="20"/>
                    </w:rPr>
                    <w:t>более 50% НМЦ без учета НДС, но менее 60% НМЦ (включительно) без учета НДС;</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4</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19"/>
                      <w:rFonts w:cs="Times New Roman" w:ascii="Times New Roman" w:hAnsi="Times New Roman"/>
                      <w:sz w:val="20"/>
                      <w:szCs w:val="20"/>
                    </w:rPr>
                    <w:t>более 60% НМЦ без учета НДС, но менее 70% НМЦ (включительно) без учета НДС;</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left="0" w:right="0" w:hanging="0"/>
                    <w:jc w:val="center"/>
                    <w:rPr/>
                  </w:pPr>
                  <w:r>
                    <w:rPr>
                      <w:rStyle w:val="Style19"/>
                      <w:rFonts w:cs="Times New Roman" w:ascii="Times New Roman" w:hAnsi="Times New Roman"/>
                      <w:sz w:val="20"/>
                      <w:szCs w:val="20"/>
                    </w:rPr>
                    <w:t>Б2.1  = 5</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312" w:right="0" w:hanging="0"/>
                    <w:jc w:val="left"/>
                    <w:rPr/>
                  </w:pPr>
                  <w:r>
                    <w:rPr>
                      <w:rStyle w:val="Style21"/>
                      <w:rFonts w:eastAsia="Arial Unicode MS" w:cs="Times New Roman" w:ascii="Times New Roman" w:hAnsi="Times New Roman"/>
                      <w:sz w:val="20"/>
                      <w:szCs w:val="20"/>
                    </w:rPr>
                    <w:t>выше 70% НМЦ без учета НДС.</w:t>
                  </w:r>
                </w:p>
              </w:tc>
            </w:tr>
          </w:tbl>
          <w:p>
            <w:pPr>
              <w:pStyle w:val="Normal"/>
              <w:widowControl w:val="false"/>
              <w:spacing w:lineRule="auto" w:line="240" w:before="96" w:after="96"/>
              <w:rPr/>
            </w:pPr>
            <w:r>
              <w:rPr>
                <w:rStyle w:val="Style19"/>
                <w:rFonts w:eastAsia="Calibri" w:cs="Times New Roman"/>
                <w:sz w:val="20"/>
                <w:szCs w:val="20"/>
              </w:rPr>
              <w:t>где:</w:t>
            </w:r>
          </w:p>
          <w:p>
            <w:pPr>
              <w:pStyle w:val="Normal"/>
              <w:widowControl w:val="false"/>
              <w:spacing w:lineRule="auto" w:line="240" w:before="96" w:after="96"/>
              <w:rPr/>
            </w:pPr>
            <w:r>
              <w:rPr>
                <w:rStyle w:val="Style19"/>
                <w:rFonts w:eastAsia="Calibri" w:cs="Times New Roman"/>
                <w:sz w:val="20"/>
                <w:szCs w:val="20"/>
              </w:rPr>
              <w:t>Б2.1– рассчитанная оценка предпочтительности по данному частному критерию оценки в баллах.</w:t>
            </w:r>
          </w:p>
          <w:p>
            <w:pPr>
              <w:pStyle w:val="22"/>
              <w:widowControl w:val="false"/>
              <w:numPr>
                <w:ilvl w:val="0"/>
                <w:numId w:val="0"/>
              </w:numPr>
              <w:spacing w:lineRule="auto" w:line="240" w:before="0" w:after="0"/>
              <w:ind w:left="0" w:right="0" w:hanging="0"/>
              <w:jc w:val="left"/>
              <w:rPr/>
            </w:pPr>
            <w:r>
              <w:rPr>
                <w:rStyle w:val="Style19"/>
                <w:rFonts w:cs="Times New Roman" w:ascii="Times New Roman" w:hAnsi="Times New Roman"/>
                <w:sz w:val="20"/>
                <w:szCs w:val="20"/>
              </w:rPr>
              <w:t>Опыт, несоответствующий установленным в Документации о закупке требованиям не оценивается.</w:t>
            </w:r>
          </w:p>
          <w:p>
            <w:pPr>
              <w:pStyle w:val="22"/>
              <w:widowControl w:val="false"/>
              <w:numPr>
                <w:ilvl w:val="0"/>
                <w:numId w:val="0"/>
              </w:numPr>
              <w:spacing w:lineRule="auto" w:line="240" w:before="0" w:after="0"/>
              <w:ind w:left="0" w:right="0" w:hanging="0"/>
              <w:jc w:val="left"/>
              <w:rPr/>
            </w:pPr>
            <w:r>
              <w:rPr>
                <w:rStyle w:val="Style19"/>
                <w:rFonts w:cs="Times New Roman" w:ascii="Times New Roman" w:hAnsi="Times New Roman"/>
                <w:sz w:val="20"/>
                <w:szCs w:val="20"/>
              </w:rPr>
              <w:t>Шкала оценок от 0 до 5 баллов.</w:t>
            </w:r>
          </w:p>
        </w:tc>
      </w:tr>
      <w:tr>
        <w:trPr/>
        <w:tc>
          <w:tcPr>
            <w:tcW w:w="798" w:type="dxa"/>
            <w:tcBorders>
              <w:top w:val="nil"/>
              <w:right w:val="nil"/>
            </w:tcBorders>
          </w:tcPr>
          <w:p>
            <w:pPr>
              <w:pStyle w:val="Normal"/>
              <w:widowControl w:val="false"/>
              <w:spacing w:before="120" w:after="0"/>
              <w:rPr>
                <w:sz w:val="20"/>
                <w:szCs w:val="20"/>
              </w:rPr>
            </w:pPr>
            <w:r>
              <w:rPr>
                <w:sz w:val="20"/>
                <w:szCs w:val="20"/>
              </w:rPr>
              <w:t>3.</w:t>
            </w:r>
          </w:p>
        </w:tc>
        <w:tc>
          <w:tcPr>
            <w:tcW w:w="2003"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Неценовой критерий оценки первого уровня / ОРГ</w:t>
            </w:r>
          </w:p>
        </w:tc>
        <w:tc>
          <w:tcPr>
            <w:tcW w:w="1594" w:type="dxa"/>
            <w:tcBorders>
              <w:top w:val="nil"/>
              <w:right w:val="nil"/>
            </w:tcBorders>
          </w:tcPr>
          <w:p>
            <w:pPr>
              <w:pStyle w:val="31"/>
              <w:widowControl w:val="false"/>
              <w:numPr>
                <w:ilvl w:val="0"/>
                <w:numId w:val="0"/>
              </w:numPr>
              <w:spacing w:lineRule="auto" w:line="240" w:before="40" w:after="40"/>
              <w:ind w:left="0" w:right="0" w:hanging="0"/>
              <w:jc w:val="center"/>
              <w:rPr/>
            </w:pPr>
            <w:bookmarkStart w:id="389" w:name="Финсостояние"/>
            <w:r>
              <w:rPr>
                <w:rStyle w:val="Style19"/>
                <w:rFonts w:cs="Times New Roman" w:ascii="Times New Roman" w:hAnsi="Times New Roman"/>
                <w:sz w:val="20"/>
                <w:szCs w:val="20"/>
              </w:rPr>
              <w:t>Финансовое состояние (устойчивость) Участника</w:t>
            </w:r>
            <w:bookmarkEnd w:id="389"/>
          </w:p>
        </w:tc>
        <w:tc>
          <w:tcPr>
            <w:tcW w:w="1556"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отсутствует</w:t>
            </w:r>
          </w:p>
        </w:tc>
        <w:tc>
          <w:tcPr>
            <w:tcW w:w="1140" w:type="dxa"/>
            <w:tcBorders>
              <w:top w:val="nil"/>
              <w:right w:val="nil"/>
            </w:tcBorders>
          </w:tcPr>
          <w:p>
            <w:pPr>
              <w:pStyle w:val="31"/>
              <w:widowControl w:val="false"/>
              <w:numPr>
                <w:ilvl w:val="0"/>
                <w:numId w:val="0"/>
              </w:numPr>
              <w:spacing w:lineRule="auto" w:line="240" w:before="40" w:after="40"/>
              <w:ind w:left="0" w:right="0" w:hanging="0"/>
              <w:jc w:val="center"/>
              <w:rPr/>
            </w:pPr>
            <w:r>
              <w:rPr>
                <w:rStyle w:val="Style19"/>
                <w:rFonts w:cs="Times New Roman" w:ascii="Times New Roman" w:hAnsi="Times New Roman"/>
                <w:sz w:val="20"/>
                <w:szCs w:val="20"/>
              </w:rPr>
              <w:t>5%</w:t>
              <w:br/>
              <w:t>(В3 = 0,05)</w:t>
            </w:r>
          </w:p>
        </w:tc>
        <w:tc>
          <w:tcPr>
            <w:tcW w:w="1928" w:type="dxa"/>
            <w:tcBorders>
              <w:top w:val="nil"/>
              <w:right w:val="nil"/>
            </w:tcBorders>
          </w:tcPr>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Чем выше оценка финансового состояния (устойчивости) Участника, тем выше предпочтительность</w:t>
            </w:r>
          </w:p>
        </w:tc>
        <w:tc>
          <w:tcPr>
            <w:tcW w:w="5014" w:type="dxa"/>
            <w:tcBorders>
              <w:top w:val="nil"/>
            </w:tcBorders>
          </w:tcPr>
          <w:p>
            <w:pPr>
              <w:pStyle w:val="Style30"/>
              <w:widowControl w:val="false"/>
              <w:spacing w:before="40" w:after="4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30"/>
              <w:widowControl w:val="false"/>
              <w:spacing w:before="40" w:after="4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
                <w:kern w:val="0"/>
                <w:sz w:val="20"/>
                <w:szCs w:val="20"/>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30"/>
              <w:keepNext w:val="true"/>
              <w:widowControl w:val="false"/>
              <w:numPr>
                <w:ilvl w:val="0"/>
                <w:numId w:val="0"/>
              </w:numPr>
              <w:spacing w:before="40" w:after="40"/>
              <w:ind w:left="0"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
                <w:kern w:val="0"/>
                <w:sz w:val="20"/>
                <w:szCs w:val="20"/>
                <w:lang w:val="ru-RU" w:eastAsia="en-US" w:bidi="ar-SA"/>
              </w:rPr>
              <w:footnoteReference w:id="13"/>
            </w:r>
            <w:r>
              <w:rPr>
                <w:rFonts w:eastAsia="Calibri" w:cs=""/>
                <w:kern w:val="0"/>
                <w:sz w:val="20"/>
                <w:szCs w:val="20"/>
                <w:lang w:val="ru-RU" w:eastAsia="en-US" w:bidi="ar-SA"/>
              </w:rPr>
              <w:t>;</w:t>
            </w:r>
          </w:p>
          <w:p>
            <w:pPr>
              <w:pStyle w:val="Style30"/>
              <w:keepNext w:val="true"/>
              <w:widowControl w:val="false"/>
              <w:numPr>
                <w:ilvl w:val="0"/>
                <w:numId w:val="0"/>
              </w:numPr>
              <w:spacing w:before="40" w:after="40"/>
              <w:ind w:left="0"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30"/>
              <w:keepNext w:val="true"/>
              <w:widowControl w:val="false"/>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30"/>
              <w:keepNext w:val="true"/>
              <w:widowControl w:val="false"/>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30"/>
              <w:keepNext w:val="true"/>
              <w:widowControl w:val="false"/>
              <w:numPr>
                <w:ilvl w:val="0"/>
                <w:numId w:val="0"/>
              </w:numPr>
              <w:spacing w:before="40" w:after="40"/>
              <w:ind w:left="142" w:hanging="0"/>
              <w:jc w:val="both"/>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numPr>
                <w:ilvl w:val="0"/>
                <w:numId w:val="0"/>
              </w:numPr>
              <w:spacing w:before="40" w:after="40"/>
              <w:ind w:left="142" w:hanging="0"/>
              <w:jc w:val="both"/>
              <w:rPr/>
            </w:pPr>
            <w:r>
              <w:rPr>
                <w:rFonts w:eastAsia="Calibri" w:cs=""/>
                <w:kern w:val="0"/>
                <w:sz w:val="20"/>
                <w:szCs w:val="20"/>
                <w:lang w:val="ru-RU" w:eastAsia="en-US" w:bidi="ar-SA"/>
              </w:rPr>
              <w:t xml:space="preserve">-  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 w:cstheme="minorBidi" w:eastAsiaTheme="minorHAnsi"/>
                <w:color w:val="auto"/>
                <w:kern w:val="0"/>
                <w:sz w:val="20"/>
                <w:szCs w:val="20"/>
                <w:u w:val="none"/>
                <w:lang w:val="ru-RU" w:eastAsia="en-US" w:bidi="ar-SA"/>
              </w:rPr>
              <w:t>(</w:t>
            </w:r>
            <w:r>
              <w:rPr>
                <w:rStyle w:val="Hyperlink"/>
                <w:rFonts w:eastAsia="Calibri" w:cs="" w:cstheme="minorBidi" w:eastAsiaTheme="minorHAnsi"/>
                <w:color w:val="auto"/>
                <w:kern w:val="0"/>
                <w:sz w:val="20"/>
                <w:szCs w:val="20"/>
                <w:u w:val="none"/>
                <w:lang w:val="ru-RU" w:eastAsia="en-US" w:bidi="ar-SA"/>
              </w:rPr>
              <w:t>Приложение №11 к Документации о закупке</w:t>
            </w:r>
            <w:r>
              <w:rPr>
                <w:rFonts w:eastAsia="Calibri" w:cs="" w:cstheme="minorBidi" w:eastAsiaTheme="minorHAnsi"/>
                <w:color w:val="auto"/>
                <w:kern w:val="0"/>
                <w:sz w:val="20"/>
                <w:szCs w:val="20"/>
                <w:u w:val="none"/>
                <w:lang w:val="ru-RU" w:eastAsia="en-US" w:bidi="ar-SA"/>
              </w:rPr>
              <w:t>).</w:t>
            </w:r>
          </w:p>
          <w:p>
            <w:pPr>
              <w:pStyle w:val="Style30"/>
              <w:keepNext w:val="true"/>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Оценка предпочтительности по частному критерию осуществляется в соответствии со следующей шкалой:</w:t>
            </w:r>
          </w:p>
          <w:tbl>
            <w:tblPr>
              <w:tblStyle w:val="af9"/>
              <w:tblW w:w="3914"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789"/>
              <w:gridCol w:w="3124"/>
            </w:tblGrid>
            <w:tr>
              <w:trPr>
                <w:cnfStyle w:val="100000000000" w:firstRow="1" w:lastRow="0" w:firstColumn="0" w:lastColumn="0" w:oddVBand="0" w:evenVBand="0" w:oddHBand="0" w:evenHBand="0" w:firstRowFirstColumn="0" w:firstRowLastColumn="0" w:lastRowFirstColumn="0" w:lastRowLastColumn="0"/>
              </w:trPr>
              <w:tc>
                <w:tcPr>
                  <w:tcW w:w="789" w:type="dxa"/>
                  <w:tcBorders>
                    <w:top w:val="nil"/>
                    <w:left w:val="nil"/>
                  </w:tcBorders>
                </w:tcPr>
                <w:p>
                  <w:pPr>
                    <w:pStyle w:val="Style30"/>
                    <w:keepNext w:val="false"/>
                    <w:keepLines w:val="false"/>
                    <w:widowControl w:val="false"/>
                    <w:spacing w:before="40" w:after="40"/>
                    <w:jc w:val="left"/>
                    <w:rPr>
                      <w:rFonts w:ascii="Times New Roman" w:hAnsi="Times New Roman" w:eastAsia="Calibri" w:cs=""/>
                      <w:kern w:val="0"/>
                      <w:sz w:val="20"/>
                      <w:szCs w:val="20"/>
                      <w:lang w:val="ru-RU" w:eastAsia="en-US" w:bidi="ar-SA"/>
                    </w:rPr>
                  </w:pPr>
                  <w:r>
                    <w:rPr>
                      <w:b/>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3124" w:type="dxa"/>
                  <w:tcBorders>
                    <w:top w:val="nil"/>
                    <w:right w:val="nil"/>
                  </w:tcBorders>
                </w:tcPr>
                <w:p>
                  <w:pPr>
                    <w:pStyle w:val="Style30"/>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kern w:val="0"/>
                      <w:sz w:val="20"/>
                      <w:szCs w:val="20"/>
                      <w:lang w:val="ru-RU" w:eastAsia="en-US" w:bidi="ar-SA"/>
                    </w:rPr>
                    <w:t>результат оценки финансового состояния (устойчивости): менее 0,45 баллов – Кризисное финансовое состояние</w:t>
                  </w:r>
                </w:p>
                <w:p>
                  <w:pPr>
                    <w:pStyle w:val="Style30"/>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i/>
                      <w:iCs/>
                      <w:kern w:val="0"/>
                      <w:sz w:val="20"/>
                      <w:szCs w:val="20"/>
                      <w:lang w:val="ru-RU" w:eastAsia="en-US" w:bidi="ar-SA"/>
                    </w:rPr>
                    <w:t>или</w:t>
                  </w:r>
                </w:p>
                <w:p>
                  <w:pPr>
                    <w:pStyle w:val="Style30"/>
                    <w:keepNext w:val="true"/>
                    <w:keepLines w:val="false"/>
                    <w:widowControl w:val="false"/>
                    <w:spacing w:before="40" w:after="40"/>
                    <w:jc w:val="left"/>
                    <w:rPr>
                      <w:rFonts w:ascii="Times New Roman" w:hAnsi="Times New Roman" w:eastAsia="Calibri" w:cs=""/>
                      <w:kern w:val="0"/>
                      <w:sz w:val="20"/>
                      <w:szCs w:val="20"/>
                      <w:lang w:val="ru-RU" w:eastAsia="en-US" w:bidi="ar-SA"/>
                    </w:rPr>
                  </w:pPr>
                  <w:r>
                    <w:rPr>
                      <w:rFonts w:eastAsia="Calibri" w:cs=""/>
                      <w:b w:val="false"/>
                      <w:kern w:val="0"/>
                      <w:sz w:val="20"/>
                      <w:szCs w:val="20"/>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30"/>
                    <w:keepNext w:val="true"/>
                    <w:keepLines w:val="false"/>
                    <w:widowControl w:val="false"/>
                    <w:numPr>
                      <w:ilvl w:val="0"/>
                      <w:numId w:val="18"/>
                    </w:numPr>
                    <w:suppressAutoHyphens w:val="true"/>
                    <w:bidi w:val="0"/>
                    <w:spacing w:before="40" w:after="40"/>
                    <w:ind w:left="397" w:right="113" w:hanging="340"/>
                    <w:jc w:val="left"/>
                    <w:rPr/>
                  </w:pPr>
                  <w:r>
                    <w:rPr>
                      <w:rFonts w:eastAsia="Calibri" w:cs=""/>
                      <w:b w:val="false"/>
                      <w:kern w:val="0"/>
                      <w:sz w:val="20"/>
                      <w:szCs w:val="20"/>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keepNext w:val="false"/>
                    <w:keepLines w:val="false"/>
                    <w:widowControl w:val="false"/>
                    <w:numPr>
                      <w:ilvl w:val="0"/>
                      <w:numId w:val="18"/>
                    </w:numPr>
                    <w:suppressAutoHyphens w:val="true"/>
                    <w:bidi w:val="0"/>
                    <w:spacing w:before="40" w:after="40"/>
                    <w:ind w:left="340" w:right="57" w:hanging="340"/>
                    <w:jc w:val="left"/>
                    <w:rPr/>
                  </w:pPr>
                  <w:r>
                    <w:rPr>
                      <w:rFonts w:eastAsia="Calibri" w:cs=""/>
                      <w:b w:val="false"/>
                      <w:kern w:val="0"/>
                      <w:sz w:val="20"/>
                      <w:szCs w:val="20"/>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left w:val="nil"/>
                  </w:tcBorders>
                </w:tcPr>
                <w:p>
                  <w:pPr>
                    <w:pStyle w:val="Style30"/>
                    <w:widowControl w:val="false"/>
                    <w:spacing w:before="40" w:after="40"/>
                    <w:jc w:val="left"/>
                    <w:rPr>
                      <w:rFonts w:ascii="Times New Roman" w:hAnsi="Times New Roman" w:eastAsia="Calibri" w:cs=""/>
                      <w:kern w:val="0"/>
                      <w:sz w:val="20"/>
                      <w:szCs w:val="20"/>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3124" w:type="dxa"/>
                  <w:tcBorders>
                    <w:right w:val="nil"/>
                  </w:tcBorders>
                </w:tcPr>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left w:val="nil"/>
                    <w:bottom w:val="nil"/>
                  </w:tcBorders>
                </w:tcPr>
                <w:p>
                  <w:pPr>
                    <w:pStyle w:val="Style30"/>
                    <w:widowControl w:val="false"/>
                    <w:spacing w:before="40" w:after="40"/>
                    <w:jc w:val="left"/>
                    <w:rPr>
                      <w:rFonts w:ascii="Times New Roman" w:hAnsi="Times New Roman" w:eastAsia="Calibri" w:cs=""/>
                      <w:kern w:val="0"/>
                      <w:sz w:val="20"/>
                      <w:szCs w:val="20"/>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3124" w:type="dxa"/>
                  <w:tcBorders>
                    <w:bottom w:val="nil"/>
                    <w:right w:val="nil"/>
                  </w:tcBorders>
                </w:tcPr>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где:</w:t>
            </w:r>
          </w:p>
          <w:p>
            <w:pPr>
              <w:pStyle w:val="Style30"/>
              <w:widowControl w:val="false"/>
              <w:spacing w:before="40" w:after="40"/>
              <w:jc w:val="left"/>
              <w:rPr>
                <w:rFonts w:ascii="Times New Roman" w:hAnsi="Times New Roman" w:eastAsia="Calibri" w:cs=""/>
                <w:kern w:val="0"/>
                <w:sz w:val="20"/>
                <w:szCs w:val="20"/>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рассчитанная оценка предпочтительности по частному критерию оценки в баллах.</w:t>
            </w:r>
          </w:p>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kern w:val="0"/>
                <w:sz w:val="20"/>
                <w:szCs w:val="20"/>
                <w:lang w:val="ru-RU" w:eastAsia="en-US" w:bidi="ar-SA"/>
              </w:rPr>
              <w:t>Шкала оценок от 0 до 5 баллов.</w:t>
            </w:r>
          </w:p>
          <w:p>
            <w:pPr>
              <w:pStyle w:val="Style30"/>
              <w:widowControl w:val="false"/>
              <w:spacing w:before="40" w:after="40"/>
              <w:jc w:val="left"/>
              <w:rPr>
                <w:rFonts w:ascii="Times New Roman" w:hAnsi="Times New Roman" w:eastAsia="Calibri" w:cs=""/>
                <w:kern w:val="0"/>
                <w:sz w:val="20"/>
                <w:szCs w:val="20"/>
                <w:lang w:val="ru-RU" w:eastAsia="en-US" w:bidi="ar-SA"/>
              </w:rPr>
            </w:pPr>
            <w:r>
              <w:rPr>
                <w:rFonts w:eastAsia="Calibri" w:cs=""/>
                <w:i/>
                <w:iCs/>
                <w:kern w:val="0"/>
                <w:sz w:val="20"/>
                <w:szCs w:val="20"/>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951" w:type="dxa"/>
            <w:gridSpan w:val="4"/>
            <w:tcBorders>
              <w:top w:val="nil"/>
              <w:right w:val="nil"/>
            </w:tcBorders>
          </w:tcPr>
          <w:p>
            <w:pPr>
              <w:pStyle w:val="Style30"/>
              <w:widowControl w:val="false"/>
              <w:suppressAutoHyphens w:val="true"/>
              <w:spacing w:before="40" w:after="40"/>
              <w:jc w:val="left"/>
              <w:rPr>
                <w:sz w:val="20"/>
                <w:szCs w:val="20"/>
              </w:rPr>
            </w:pPr>
            <w:r>
              <w:rPr>
                <w:rFonts w:eastAsia="Calibri" w:cs=""/>
                <w:kern w:val="0"/>
                <w:sz w:val="20"/>
                <w:szCs w:val="20"/>
                <w:lang w:val="ru-RU" w:eastAsia="en-US" w:bidi="ar-SA"/>
              </w:rPr>
              <w:t>Итоговая оценка предпочтительности заявки:</w:t>
            </w:r>
          </w:p>
        </w:tc>
        <w:tc>
          <w:tcPr>
            <w:tcW w:w="8082" w:type="dxa"/>
            <w:gridSpan w:val="3"/>
            <w:tcBorders>
              <w:top w:val="nil"/>
            </w:tcBorders>
          </w:tcPr>
          <w:p>
            <w:pPr>
              <w:pStyle w:val="Style30"/>
              <w:widowControl w:val="false"/>
              <w:suppressAutoHyphens w:val="true"/>
              <w:spacing w:before="40" w:after="40"/>
              <w:jc w:val="left"/>
              <w:rPr>
                <w:sz w:val="20"/>
                <w:szCs w:val="20"/>
              </w:rPr>
            </w:pPr>
            <w:r>
              <w:rPr>
                <w:rFonts w:eastAsia="Calibri" w:cs=""/>
                <w:kern w:val="0"/>
                <w:sz w:val="20"/>
                <w:szCs w:val="20"/>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20"/>
                <w:szCs w:val="20"/>
                <w:lang w:val="ru-RU" w:eastAsia="en-US" w:bidi="ar-SA"/>
              </w:rPr>
              <w:t>-ой заявки:</w:t>
            </w:r>
          </w:p>
          <w:p>
            <w:pPr>
              <w:pStyle w:val="Style30"/>
              <w:widowControl w:val="false"/>
              <w:suppressAutoHyphens w:val="true"/>
              <w:spacing w:before="40" w:after="4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30"/>
              <w:widowControl w:val="false"/>
              <w:suppressAutoHyphens w:val="true"/>
              <w:spacing w:before="40" w:after="40"/>
              <w:jc w:val="left"/>
              <w:rPr>
                <w:sz w:val="20"/>
                <w:szCs w:val="20"/>
              </w:rPr>
            </w:pPr>
            <w:r>
              <w:rPr>
                <w:rFonts w:eastAsia="Calibri" w:cs=""/>
                <w:kern w:val="0"/>
                <w:sz w:val="20"/>
                <w:szCs w:val="20"/>
                <w:lang w:val="ru-RU" w:eastAsia="en-US" w:bidi="ar-SA"/>
              </w:rPr>
              <w:t>где:</w:t>
            </w:r>
          </w:p>
          <w:p>
            <w:pPr>
              <w:pStyle w:val="Style30"/>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рассчитанная итоговая оценка предпочтительности в баллах;</w:t>
            </w:r>
          </w:p>
          <w:p>
            <w:pPr>
              <w:pStyle w:val="Style30"/>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-тому критерию оценки первого уровня в баллах;</w:t>
            </w:r>
          </w:p>
          <w:p>
            <w:pPr>
              <w:pStyle w:val="Style30"/>
              <w:widowControl w:val="false"/>
              <w:suppressAutoHyphens w:val="true"/>
              <w:spacing w:before="40" w:after="40"/>
              <w:jc w:val="left"/>
              <w:rPr>
                <w:sz w:val="20"/>
                <w:szCs w:val="20"/>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0"/>
                <w:szCs w:val="20"/>
                <w:lang w:val="ru-RU" w:eastAsia="en-US" w:bidi="ar-SA"/>
              </w:rPr>
              <w:t xml:space="preserve"> – </w:t>
            </w:r>
            <w:r>
              <w:rPr>
                <w:rFonts w:eastAsia="Calibri" w:cs=""/>
                <w:kern w:val="0"/>
                <w:sz w:val="20"/>
                <w:szCs w:val="20"/>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20"/>
                <w:szCs w:val="20"/>
                <w:lang w:val="ru-RU" w:eastAsia="en-US" w:bidi="ar-SA"/>
              </w:rPr>
              <w:t>-ого критерия оценки первого уровня.</w:t>
            </w:r>
          </w:p>
          <w:p>
            <w:pPr>
              <w:pStyle w:val="Style30"/>
              <w:widowControl w:val="false"/>
              <w:suppressAutoHyphens w:val="true"/>
              <w:spacing w:before="40" w:after="40"/>
              <w:jc w:val="left"/>
              <w:rPr>
                <w:sz w:val="20"/>
                <w:szCs w:val="20"/>
              </w:rPr>
            </w:pPr>
            <w:r>
              <w:rPr>
                <w:rFonts w:eastAsia="Calibri" w:cs=""/>
                <w:i/>
                <w:iCs/>
                <w:kern w:val="0"/>
                <w:sz w:val="20"/>
                <w:szCs w:val="20"/>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29"/>
          <w:headerReference w:type="first" r:id="rId30"/>
          <w:footerReference w:type="default" r:id="rId31"/>
          <w:footerReference w:type="first" r:id="rId3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Ref125360420"/>
      <w:bookmarkStart w:id="391" w:name="_Toc228877733"/>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3" coordsize="21600,21600" o:spt="ole_rId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3" type="_x0000_tole_rId33" style="width:75.65pt;height:52.05pt;mso-wrap-distance-right:0pt" filled="f" o:ole="">
            <v:imagedata r:id="rId34" o:title=""/>
          </v:shape>
          <o:OLEObject Type="Embed" ProgID="Excel.Sheet.12" ShapeID="ole_rId33" DrawAspect="Icon" ObjectID="_1103089024" r:id="rId33"/>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6.85pt;height:50.2pt;mso-wrap-distance-right:0pt" filled="f" o:ole="">
            <v:imagedata r:id="rId36" o:title=""/>
          </v:shape>
          <o:OLEObject Type="Embed" ProgID="Word.Document.12" ShapeID="ole_rId35" DrawAspect="Icon" ObjectID="_604022841" r:id="rId35"/>
        </w:object>
      </w:r>
      <w:bookmarkEnd w:id="403"/>
    </w:p>
    <w:p>
      <w:pPr>
        <w:pStyle w:val="Normal"/>
        <w:jc w:val="center"/>
        <w:rPr/>
      </w:pPr>
      <w:r>
        <w:rPr/>
      </w:r>
    </w:p>
    <w:sectPr>
      <w:headerReference w:type="default" r:id="rId37"/>
      <w:headerReference w:type="first" r:id="rId38"/>
      <w:footerReference w:type="default" r:id="rId39"/>
      <w:footerReference w:type="first" r:id="rId4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05749455"/>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51625596"/>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83972769"/>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88573012"/>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60368094"/>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9760817"/>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71301170"/>
    </w:sdtPr>
    <w:sdtContent>
      <w:p>
        <w:pPr>
          <w:pStyle w:val="Footer"/>
          <w:spacing w:before="120" w:after="0"/>
          <w:rPr/>
        </w:pPr>
        <w:r>
          <w:rPr/>
          <w:fldChar w:fldCharType="begin"/>
        </w:r>
        <w:r>
          <w:rPr/>
          <w:instrText xml:space="preserve"> PAGE </w:instrText>
        </w:r>
        <w:r>
          <w:rPr/>
          <w:fldChar w:fldCharType="separate"/>
        </w:r>
        <w:r>
          <w:rPr/>
          <w:t>78</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32"/>
        <w:spacing w:before="80" w:after="0"/>
        <w:ind w:left="567" w:hanging="567"/>
        <w:jc w:val="both"/>
        <w:rPr/>
      </w:pPr>
      <w:r>
        <w:rPr>
          <w:rStyle w:val="Style10"/>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decimal"/>
      <w:lvlText w:val="%1."/>
      <w:lvlJc w:val="left"/>
      <w:pPr>
        <w:tabs>
          <w:tab w:val="num" w:pos="1134"/>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3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Основной шрифт абзаца"/>
    <w:qFormat/>
    <w:rPr/>
  </w:style>
  <w:style w:type="character" w:styleId="Style20">
    <w:name w:val="Маркеры"/>
    <w:qFormat/>
    <w:rPr>
      <w:rFonts w:ascii="OpenSymbol" w:hAnsi="OpenSymbol" w:eastAsia="OpenSymbol" w:cs="OpenSymbol"/>
    </w:rPr>
  </w:style>
  <w:style w:type="character" w:styleId="Style21">
    <w:name w:val="Знак примечания"/>
    <w:basedOn w:val="Style19"/>
    <w:qFormat/>
    <w:rPr>
      <w:sz w:val="16"/>
      <w:szCs w:val="16"/>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1"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ru-RU" w:eastAsia="ru-RU" w:bidi="ar-SA"/>
    </w:rPr>
  </w:style>
  <w:style w:type="paragraph" w:styleId="Style38">
    <w:name w:val="Абзац списка"/>
    <w:basedOn w:val="Normal"/>
    <w:qFormat/>
    <w:pPr>
      <w:tabs>
        <w:tab w:val="clear" w:pos="708"/>
      </w:tabs>
      <w:suppressAutoHyphens w:val="true"/>
      <w:ind w:left="720" w:right="0" w:hanging="0"/>
    </w:pPr>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Textbody">
    <w:name w:val="Text body"/>
    <w:basedOn w:val="Standard"/>
    <w:qFormat/>
    <w:pPr>
      <w:suppressAutoHyphens w:val="true"/>
      <w:spacing w:lineRule="auto" w:line="276" w:before="0" w:after="140"/>
    </w:pPr>
    <w:rPr>
      <w:rFonts w:ascii="Liberation Serif" w:hAnsi="Liberation Serif" w:eastAsia="WenQuanYi Zen Hei Sharp" w:cs="Lohit Devanagari"/>
      <w:kern w:val="2"/>
      <w:sz w:val="24"/>
      <w:szCs w:val="24"/>
      <w:lang w:eastAsia="zh-CN" w:bidi="hi-IN"/>
    </w:rPr>
  </w:style>
  <w:style w:type="paragraph" w:styleId="31">
    <w:name w:val="УРОВЕНЬ_Абзац_тип3"/>
    <w:basedOn w:val="Style38"/>
    <w:qFormat/>
    <w:pPr>
      <w:suppressAutoHyphens w:val="true"/>
      <w:spacing w:lineRule="exact" w:line="360" w:before="120" w:after="0"/>
      <w:jc w:val="both"/>
    </w:pPr>
    <w:rPr>
      <w:rFonts w:ascii="Calibri" w:hAnsi="Calibri" w:eastAsia="Calibri" w:cs="Calibri"/>
      <w:sz w:val="26"/>
      <w:szCs w:val="28"/>
    </w:rPr>
  </w:style>
  <w:style w:type="numbering" w:styleId="NoList" w:default="1">
    <w:name w:val="No List"/>
    <w:uiPriority w:val="99"/>
    <w:semiHidden/>
    <w:unhideWhenUsed/>
    <w:qFormat/>
  </w:style>
  <w:style w:type="numbering" w:styleId="21806306771">
    <w:name w:val="21806306771"/>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mailto:doc@drsk.ru" TargetMode="External"/><Relationship Id="rId4" Type="http://schemas.openxmlformats.org/officeDocument/2006/relationships/hyperlink" Target="mailto:doc@drsk.ru"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package" Target="embeddings/oleObject1.docx"/><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package" Target="embeddings/oleObject2.docx"/><Relationship Id="rId22" Type="http://schemas.openxmlformats.org/officeDocument/2006/relationships/image" Target="media/image2.wmf"/><Relationship Id="rId23" Type="http://schemas.openxmlformats.org/officeDocument/2006/relationships/package" Target="embeddings/oleObject3.docx"/><Relationship Id="rId24" Type="http://schemas.openxmlformats.org/officeDocument/2006/relationships/image" Target="media/image3.wmf"/><Relationship Id="rId25" Type="http://schemas.openxmlformats.org/officeDocument/2006/relationships/header" Target="header8.xml"/><Relationship Id="rId26" Type="http://schemas.openxmlformats.org/officeDocument/2006/relationships/header" Target="header9.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header" Target="header10.xml"/><Relationship Id="rId30" Type="http://schemas.openxmlformats.org/officeDocument/2006/relationships/header" Target="header11.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package" Target="embeddings/oleObject4.xlsx"/><Relationship Id="rId34" Type="http://schemas.openxmlformats.org/officeDocument/2006/relationships/image" Target="media/image4.wmf"/><Relationship Id="rId35" Type="http://schemas.openxmlformats.org/officeDocument/2006/relationships/package" Target="embeddings/oleObject5.docx"/><Relationship Id="rId36" Type="http://schemas.openxmlformats.org/officeDocument/2006/relationships/image" Target="media/image5.wmf"/><Relationship Id="rId37" Type="http://schemas.openxmlformats.org/officeDocument/2006/relationships/header" Target="header12.xml"/><Relationship Id="rId38" Type="http://schemas.openxmlformats.org/officeDocument/2006/relationships/header" Target="header13.xml"/><Relationship Id="rId39" Type="http://schemas.openxmlformats.org/officeDocument/2006/relationships/footer" Target="footer12.xml"/><Relationship Id="rId40" Type="http://schemas.openxmlformats.org/officeDocument/2006/relationships/footer" Target="footer1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Relationship Id="rId4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Application>AlterOffice/3.3.1.3$Linux_X86_64 LibreOffice_project/90d829a0d92d6015ad4fa014ce4f460a7fe6c0ba</Application>
  <AppVersion>15.0000</AppVersion>
  <Pages>48</Pages>
  <Words>28517</Words>
  <Characters>162549</Characters>
  <CharactersWithSpaces>190685</CharactersWithSpaces>
  <Paragraphs>381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chuyasova_eg</cp:lastModifiedBy>
  <cp:lastPrinted>2026-09-29T15:56:59Z</cp:lastPrinted>
  <dcterms:modified xsi:type="dcterms:W3CDTF">2026-09-29T15:58:51Z</dcterms:modified>
  <cp:revision>182</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