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keepNext w:val="true"/>
        <w:keepLines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Heading1"/>
        <w:jc w:val="center"/>
        <w:rPr/>
      </w:pPr>
      <w:r>
        <w:rPr/>
        <w:t xml:space="preserve">ОКПД2 43.22.11.150 Выполнение работ по </w:t>
      </w:r>
      <w:r>
        <w:rPr>
          <w:lang w:val="ru-RU" w:eastAsia="ru-RU"/>
        </w:rPr>
        <w:t>санации внутренней поверхности стальных труб канализационных сетей Саратовской ГЭС методом полимерного чулка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6395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_Toc54646395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6396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_Toc54646396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6397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_Toc54646397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6398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_Toc54646398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выполнения работ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6399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_Toc54646399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Существующее положение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6400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_Toc54646400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6403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_Toc54646403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6406">
            <w:r>
              <w:rPr>
                <w:webHidden/>
                <w:rStyle w:val="Style14"/>
                <w:vanish w:val="false"/>
              </w:rPr>
              <w:t>Таблица 2. Перечень и объем выполняемых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_Toc54646406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6408">
            <w:r>
              <w:rPr>
                <w:webHidden/>
                <w:rStyle w:val="Style14"/>
                <w:vanish w:val="false"/>
              </w:rPr>
              <w:t>Таблица 3. Требования по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_Toc54646408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6410">
            <w:r>
              <w:rPr>
                <w:webHidden/>
                <w:rStyle w:val="Style14"/>
                <w:vanish w:val="false"/>
              </w:rPr>
              <w:t>Таблица 4. Требования к качеству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_Toc54646410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6411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1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_Toc54646411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6412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  <w:tab/>
              <w:t>1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_Toc54646412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6413">
            <w:r>
              <w:rPr>
                <w:webHidden/>
                <w:rStyle w:val="Style14"/>
                <w:vanish w:val="false"/>
              </w:rPr>
              <w:t>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_Toc54646413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tabs>
          <w:tab w:val="clear" w:pos="0"/>
        </w:tabs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426" w:hanging="426"/>
        <w:rPr>
          <w:b/>
          <w:caps/>
        </w:rPr>
      </w:pPr>
      <w:bookmarkStart w:id="0" w:name="_Toc51339692"/>
      <w:bookmarkStart w:id="1" w:name="_Toc54646395"/>
      <w:r>
        <w:rPr>
          <w:b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left="0" w:hanging="0"/>
        <w:rPr>
          <w:b/>
        </w:rPr>
      </w:pPr>
      <w:bookmarkStart w:id="2" w:name="_Toc54646396"/>
      <w:bookmarkStart w:id="3" w:name="_Toc46743505"/>
      <w:r>
        <w:rPr>
          <w:b/>
        </w:rPr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 w:val="false"/>
          <w:i w:val="false"/>
          <w:iCs/>
          <w:sz w:val="26"/>
          <w:szCs w:val="26"/>
        </w:rPr>
      </w:pPr>
      <w:r>
        <w:rPr>
          <w:b w:val="false"/>
          <w:bCs/>
          <w:i w:val="false"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028"/>
        <w:gridCol w:w="7754"/>
      </w:tblGrid>
      <w:tr>
        <w:trPr>
          <w:cantSplit w:val="true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rStyle w:val="Style8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-120" w:leader="none"/>
                <w:tab w:val="left" w:pos="284" w:leader="none"/>
                <w:tab w:val="left" w:pos="426" w:leader="none"/>
                <w:tab w:val="left" w:pos="840" w:leader="none"/>
              </w:tabs>
              <w:spacing w:before="120" w:after="0"/>
              <w:jc w:val="both"/>
              <w:rPr/>
            </w:pPr>
            <w:r>
              <w:rPr>
                <w:iCs/>
                <w:sz w:val="24"/>
                <w:szCs w:val="24"/>
              </w:rPr>
              <w:t>ПАО «РусГидро», Красноярский край, г. Красноярск, Филиал ПАО «РусГидро» - «Саратовская ГЭС» РФ, 413840, Саратовская обл., г. Балаково.</w:t>
            </w:r>
          </w:p>
        </w:tc>
      </w:tr>
      <w:tr>
        <w:trPr>
          <w:cantSplit w:val="true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/>
              </w:rPr>
            </w:pPr>
            <w:r>
              <w:rPr>
                <w:iCs/>
                <w:sz w:val="24"/>
                <w:szCs w:val="24"/>
              </w:rPr>
              <w:t>Генеральный подрядчик</w:t>
            </w:r>
          </w:p>
        </w:tc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tabs>
                <w:tab w:val="clear" w:pos="720"/>
                <w:tab w:val="left" w:pos="-120" w:leader="none"/>
                <w:tab w:val="left" w:pos="284" w:leader="none"/>
                <w:tab w:val="left" w:pos="426" w:leader="none"/>
                <w:tab w:val="left" w:pos="840" w:leader="none"/>
              </w:tabs>
              <w:spacing w:before="120" w:after="0"/>
              <w:jc w:val="both"/>
              <w:rPr/>
            </w:pPr>
            <w:r>
              <w:rPr>
                <w:iCs/>
                <w:sz w:val="24"/>
                <w:szCs w:val="24"/>
              </w:rPr>
              <w:t>АО «Гидроремонт-ВКК», 603140, Нижегородская область, г.о. город Нижний Новгород, г. Нижний Новгород, пер Мотальный, д. 8, помещ. ВП 31, офис С1А.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-120" w:leader="none"/>
                <w:tab w:val="left" w:pos="284" w:leader="none"/>
                <w:tab w:val="left" w:pos="426" w:leader="none"/>
                <w:tab w:val="left" w:pos="840" w:leader="none"/>
              </w:tabs>
              <w:spacing w:before="120" w:after="0"/>
              <w:jc w:val="both"/>
              <w:rPr/>
            </w:pPr>
            <w:r>
              <w:rPr>
                <w:iCs/>
                <w:sz w:val="24"/>
                <w:szCs w:val="24"/>
              </w:rPr>
              <w:t>Саратовский филиал АО «Гидроремонт-ВКК» в г. Балаково, 413840, Саратовская обл., г. Балаково.</w:t>
            </w:r>
          </w:p>
        </w:tc>
      </w:tr>
      <w:tr>
        <w:trPr>
          <w:cantSplit w:val="true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Субподрядчик</w:t>
            </w:r>
          </w:p>
        </w:tc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-120" w:leader="none"/>
                <w:tab w:val="left" w:pos="284" w:leader="none"/>
                <w:tab w:val="left" w:pos="426" w:leader="none"/>
                <w:tab w:val="left" w:pos="840" w:leader="none"/>
              </w:tabs>
              <w:spacing w:before="12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 Работ.</w:t>
            </w:r>
          </w:p>
        </w:tc>
      </w:tr>
      <w:tr>
        <w:trPr>
          <w:cantSplit w:val="true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ТТ</w:t>
            </w:r>
          </w:p>
        </w:tc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-120" w:leader="none"/>
                <w:tab w:val="left" w:pos="284" w:leader="none"/>
                <w:tab w:val="left" w:pos="426" w:leader="none"/>
                <w:tab w:val="left" w:pos="840" w:leader="none"/>
              </w:tabs>
              <w:spacing w:before="120" w:after="0"/>
              <w:jc w:val="both"/>
              <w:rPr/>
            </w:pPr>
            <w:r>
              <w:rPr>
                <w:iCs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Cs/>
                <w:sz w:val="24"/>
                <w:szCs w:val="24"/>
              </w:rPr>
              <w:t>СТО</w:t>
            </w:r>
          </w:p>
        </w:tc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-120" w:leader="none"/>
                <w:tab w:val="left" w:pos="284" w:leader="none"/>
                <w:tab w:val="left" w:pos="426" w:leader="none"/>
                <w:tab w:val="left" w:pos="840" w:leader="none"/>
              </w:tabs>
              <w:spacing w:before="12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стандарт организации</w:t>
            </w:r>
          </w:p>
        </w:tc>
      </w:tr>
      <w:tr>
        <w:trPr>
          <w:cantSplit w:val="true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ЛБ</w:t>
            </w:r>
          </w:p>
        </w:tc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-120" w:leader="none"/>
                <w:tab w:val="left" w:pos="284" w:leader="none"/>
                <w:tab w:val="left" w:pos="426" w:leader="none"/>
                <w:tab w:val="left" w:pos="840" w:leader="none"/>
              </w:tabs>
              <w:spacing w:before="12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Левый берег</w:t>
            </w:r>
          </w:p>
        </w:tc>
      </w:tr>
      <w:tr>
        <w:trPr>
          <w:cantSplit w:val="true"/>
        </w:trPr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ОЗП</w:t>
            </w:r>
          </w:p>
        </w:tc>
        <w:tc>
          <w:tcPr>
            <w:tcW w:w="7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-120" w:leader="none"/>
                <w:tab w:val="left" w:pos="284" w:leader="none"/>
                <w:tab w:val="left" w:pos="426" w:leader="none"/>
                <w:tab w:val="left" w:pos="840" w:leader="none"/>
              </w:tabs>
              <w:spacing w:before="12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Ограниченные и замкнутые пространства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left="0" w:hanging="0"/>
        <w:rPr>
          <w:b/>
        </w:rPr>
      </w:pPr>
      <w:bookmarkStart w:id="4" w:name="_Toc46743506"/>
      <w:bookmarkStart w:id="5" w:name="_Toc54646397"/>
      <w:r>
        <w:rPr>
          <w:b/>
        </w:rPr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jc w:val="both"/>
        <w:rPr>
          <w:rStyle w:val="Style8"/>
          <w:rFonts w:eastAsia="Calibri"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rFonts w:eastAsia="Calibri"/>
          <w:sz w:val="24"/>
          <w:szCs w:val="24"/>
          <w:lang w:eastAsia="x-none"/>
        </w:rPr>
        <w:t>ОКПД2 43.22.11.150 Выполнение работ по санации внутренней поверхности стальных труб канализационных сетей Саратовской ГЭС методом полимерного чулка.</w:t>
      </w:r>
      <w:r>
        <w:rPr>
          <w:rFonts w:eastAsia="Calibri"/>
          <w:lang w:eastAsia="x-none"/>
        </w:rPr>
        <w:br/>
      </w:r>
    </w:p>
    <w:p>
      <w:pPr>
        <w:pStyle w:val="Heading4"/>
        <w:numPr>
          <w:ilvl w:val="1"/>
          <w:numId w:val="3"/>
        </w:numPr>
        <w:ind w:left="0" w:hanging="0"/>
        <w:rPr>
          <w:b/>
        </w:rPr>
      </w:pPr>
      <w:bookmarkStart w:id="6" w:name="_Toc54646398"/>
      <w:bookmarkStart w:id="7" w:name="_Toc46743507"/>
      <w:r>
        <w:rPr>
          <w:b/>
        </w:rPr>
        <w:t xml:space="preserve">Цель </w:t>
      </w:r>
      <w:bookmarkEnd w:id="7"/>
      <w:r>
        <w:rPr>
          <w:b/>
        </w:rPr>
        <w:t xml:space="preserve">выполнения работ </w:t>
      </w:r>
      <w:bookmarkEnd w:id="6"/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240"/>
        <w:jc w:val="both"/>
        <w:rPr>
          <w:rStyle w:val="Style8"/>
          <w:bCs/>
          <w:i w:val="false"/>
          <w:i w:val="false"/>
          <w:sz w:val="24"/>
          <w:szCs w:val="24"/>
        </w:rPr>
      </w:pPr>
      <w:r>
        <w:rPr>
          <w:sz w:val="24"/>
          <w:szCs w:val="24"/>
        </w:rPr>
        <w:t>Целью работы является восстановление участка трубопровода, путём введения в него заранее подготовленного рукава через существующие колодцы и его полимеризация во внутренней части восстанавливаемого трубопровода водяным, паровым или ультрафиолетовым воздействием.</w:t>
      </w:r>
    </w:p>
    <w:p>
      <w:pPr>
        <w:pStyle w:val="Heading4"/>
        <w:numPr>
          <w:ilvl w:val="1"/>
          <w:numId w:val="3"/>
        </w:numPr>
        <w:ind w:left="0" w:hanging="0"/>
        <w:rPr>
          <w:b/>
        </w:rPr>
      </w:pPr>
      <w:bookmarkStart w:id="8" w:name="_Toc54646399"/>
      <w:bookmarkStart w:id="9" w:name="_Toc46743508"/>
      <w:r>
        <w:rPr>
          <w:b/>
        </w:rPr>
        <w:t>Существующее положение</w:t>
      </w:r>
      <w:bookmarkEnd w:id="9"/>
      <w:r>
        <w:rPr>
          <w:b/>
          <w:lang w:val="ru-RU"/>
        </w:rPr>
        <w:t xml:space="preserve"> </w:t>
      </w:r>
      <w:bookmarkEnd w:id="8"/>
    </w:p>
    <w:p>
      <w:pPr>
        <w:pStyle w:val="Heading4"/>
        <w:numPr>
          <w:ilvl w:val="2"/>
          <w:numId w:val="3"/>
        </w:numPr>
        <w:ind w:left="0" w:hanging="0"/>
        <w:rPr>
          <w:shd w:fill="FFFFFF" w:val="clear"/>
        </w:rPr>
      </w:pPr>
      <w:r>
        <w:rPr>
          <w:shd w:fill="FFFFFF" w:val="clear"/>
        </w:rPr>
        <w:t xml:space="preserve"> </w:t>
      </w:r>
      <w:r>
        <w:rPr>
          <w:shd w:fill="FFFFFF" w:val="clear"/>
        </w:rPr>
        <w:t xml:space="preserve">Работы выполняются на основании </w:t>
      </w:r>
      <w:r>
        <w:rPr>
          <w:color w:val="000000"/>
          <w:shd w:fill="FFFFFF" w:val="clear"/>
        </w:rPr>
        <w:t>Договор подряда № 1300-355-2023 от 02.11.2023г.</w:t>
      </w:r>
      <w:r>
        <w:rPr>
          <w:color w:val="000000"/>
          <w:shd w:fill="FFFFFF" w:val="clear"/>
          <w:lang w:val="ru-RU"/>
        </w:rPr>
        <w:t xml:space="preserve"> </w:t>
      </w:r>
      <w:r>
        <w:rPr>
          <w:color w:val="000000"/>
          <w:shd w:fill="FFFFFF" w:val="clear"/>
        </w:rPr>
        <w:t>Капитальный и текущий ремонт оборудования, зданий, сооружений филиала ПАО "РусГидро" - "Саратовская ГЭС"</w:t>
      </w:r>
      <w:r>
        <w:rPr>
          <w:shd w:fill="FFFFFF" w:val="clear"/>
        </w:rPr>
        <w:t>;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jc w:val="both"/>
        <w:rPr/>
      </w:pPr>
      <w:r>
        <w:rPr>
          <w:sz w:val="24"/>
          <w:szCs w:val="24"/>
        </w:rPr>
        <w:t>1.4.2. Работа на территории Филиала ПАО «РусГидро» - «Саратовская ГЭС»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tabs>
          <w:tab w:val="clear" w:pos="0"/>
        </w:tabs>
        <w:rPr>
          <w:rStyle w:val="Style8"/>
          <w:b w:val="false"/>
          <w:i w:val="false"/>
          <w:i w:val="false"/>
          <w:sz w:val="24"/>
          <w:szCs w:val="24"/>
          <w:shd w:fill="auto" w:val="clear"/>
          <w:lang w:val="ru-RU"/>
        </w:rPr>
      </w:pPr>
      <w:bookmarkStart w:id="10" w:name="_Toc54646400"/>
      <w:r>
        <w:rPr>
          <w:b/>
        </w:rPr>
        <w:t>Таблица 1. Перечень объектов заказчика</w:t>
      </w:r>
      <w:bookmarkEnd w:id="10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17"/>
        <w:gridCol w:w="2697"/>
        <w:gridCol w:w="1843"/>
        <w:gridCol w:w="2860"/>
        <w:gridCol w:w="1701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43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канализации Саратовской ГЭС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ПАО «РусГидро», Красноярский край, г. Красноярск, Филиал ПАО «РусГидро» - «Саратовская ГЭС» РФ, 413840, Саратовская обл., г. Балаково.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канализации участок трубопровода от канализационного колодца №КК-33 до колодца №КК-34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2"/>
                <w:szCs w:val="22"/>
              </w:rPr>
              <w:t>Эксплуатирующая организация: Филиал ПАО «РусГидро» - «Саратовская ГЭС»</w:t>
            </w:r>
          </w:p>
        </w:tc>
      </w:tr>
    </w:tbl>
    <w:p>
      <w:pPr>
        <w:pStyle w:val="Heading4"/>
        <w:numPr>
          <w:ilvl w:val="1"/>
          <w:numId w:val="3"/>
        </w:numPr>
        <w:ind w:left="0" w:hanging="0"/>
        <w:rPr>
          <w:rStyle w:val="Style8"/>
          <w:b w:val="false"/>
          <w:i w:val="false"/>
          <w:i w:val="false"/>
        </w:rPr>
      </w:pPr>
      <w:bookmarkStart w:id="11" w:name="_Toc54646401"/>
      <w:bookmarkStart w:id="12" w:name="_Hlk49857604"/>
      <w:bookmarkStart w:id="13" w:name="_Toc46743509"/>
      <w:r>
        <w:rPr>
          <w:b/>
        </w:rPr>
        <w:t xml:space="preserve">Информация в отношении исполнения договора, </w:t>
      </w:r>
      <w:bookmarkStart w:id="14" w:name="_Hlk46492347"/>
      <w:r>
        <w:rPr>
          <w:b/>
        </w:rPr>
        <w:t xml:space="preserve">которая должна быть учтена при подготовке заявки </w:t>
      </w:r>
      <w:bookmarkEnd w:id="14"/>
      <w:r>
        <w:rPr>
          <w:b/>
        </w:rPr>
        <w:t xml:space="preserve">(в том числе перечень ресурсов, услуг и документов, предоставляемых </w:t>
      </w:r>
      <w:r>
        <w:rPr>
          <w:b/>
          <w:lang w:val="ru-RU"/>
        </w:rPr>
        <w:t>Генеральным подрядчиком</w:t>
      </w:r>
      <w:r>
        <w:rPr>
          <w:b/>
        </w:rPr>
        <w:t xml:space="preserve"> на этапе исполнения договора)</w:t>
      </w:r>
      <w:bookmarkEnd w:id="12"/>
      <w:bookmarkEnd w:id="13"/>
      <w:r>
        <w:rPr>
          <w:b/>
          <w:lang w:val="ru-RU"/>
        </w:rPr>
        <w:t xml:space="preserve"> </w:t>
      </w:r>
      <w:bookmarkStart w:id="15" w:name="_Hlk48209761"/>
      <w:bookmarkEnd w:id="11"/>
      <w:bookmarkEnd w:id="15"/>
    </w:p>
    <w:p>
      <w:pPr>
        <w:pStyle w:val="Heading3"/>
        <w:rPr/>
      </w:pPr>
      <w:r>
        <w:rPr/>
        <w:t>1.5.1. Согласование со службой эксплуатации Саратовской ГЭС мест подключения временных коммуникаций (технические условия на подключения выдаются после получения от Субподрядчика официального запроса с указанием потребных ресурсов в количественных и качественных показателях).</w:t>
      </w:r>
    </w:p>
    <w:p>
      <w:pPr>
        <w:pStyle w:val="Heading4"/>
        <w:numPr>
          <w:ilvl w:val="1"/>
          <w:numId w:val="3"/>
        </w:numPr>
        <w:ind w:left="0" w:hanging="0"/>
        <w:rPr>
          <w:rStyle w:val="Style8"/>
          <w:b w:val="false"/>
          <w:bCs w:val="false"/>
          <w:i w:val="false"/>
          <w:i w:val="false"/>
        </w:rPr>
      </w:pPr>
      <w:bookmarkStart w:id="16" w:name="_Toc54646402"/>
      <w:r>
        <w:rPr>
          <w:b/>
        </w:rPr>
        <w:t>Иные требования и сведения общего характера</w:t>
      </w:r>
      <w:bookmarkEnd w:id="16"/>
    </w:p>
    <w:p>
      <w:pPr>
        <w:pStyle w:val="Heading3"/>
        <w:numPr>
          <w:ilvl w:val="2"/>
          <w:numId w:val="3"/>
        </w:numPr>
        <w:ind w:left="0" w:hanging="0"/>
        <w:rPr>
          <w:rStyle w:val="Style8"/>
          <w:b w:val="false"/>
          <w:i w:val="false"/>
          <w:i w:val="false"/>
          <w:shd w:fill="auto" w:val="clear"/>
        </w:rPr>
      </w:pPr>
      <w:r>
        <w:rPr/>
        <w:t xml:space="preserve">Работы выполняются в таком объеме, который позволяет начать эксплуатацию результатов работ без проведения закупочных процедур Генеральным подрядчиком, включающих дополнительные объёмы каких-либо материалов, оборудования и работ, выявленных в процессе работ по санации внутренней поверхности стальных труб канализационных сетей. Работы считаются выполненными после приемки объекта из ремонта комиссией филиала ПАО «РусГидро» - «Саратовская ГЭС» с оформлением отчётной документации со стороны Субподрядчика. </w:t>
      </w:r>
    </w:p>
    <w:p>
      <w:pPr>
        <w:pStyle w:val="Heading1"/>
        <w:numPr>
          <w:ilvl w:val="0"/>
          <w:numId w:val="3"/>
        </w:numPr>
        <w:ind w:left="284" w:hanging="284"/>
        <w:rPr>
          <w:b/>
          <w:caps/>
          <w:lang w:val="ru-RU"/>
        </w:rPr>
      </w:pPr>
      <w:bookmarkStart w:id="17" w:name="_Toc54646403"/>
      <w:bookmarkStart w:id="18" w:name="_Toc51339693"/>
      <w:r>
        <w:rPr>
          <w:b/>
        </w:rPr>
        <w:t>Требования к продукции</w:t>
      </w:r>
      <w:bookmarkEnd w:id="17"/>
      <w:bookmarkEnd w:id="18"/>
    </w:p>
    <w:p>
      <w:pPr>
        <w:pStyle w:val="Heading4"/>
        <w:numPr>
          <w:ilvl w:val="1"/>
          <w:numId w:val="3"/>
        </w:numPr>
        <w:ind w:left="0" w:hanging="0"/>
        <w:rPr>
          <w:b/>
        </w:rPr>
      </w:pPr>
      <w:bookmarkStart w:id="19" w:name="_Toc54646404"/>
      <w:r>
        <w:rPr>
          <w:b/>
        </w:rPr>
        <w:t xml:space="preserve">Требования к объемам и срокам </w:t>
      </w:r>
      <w:r>
        <w:rPr>
          <w:b/>
          <w:lang w:val="ru-RU"/>
        </w:rPr>
        <w:t>выполнения работ</w:t>
      </w:r>
      <w:bookmarkEnd w:id="19"/>
    </w:p>
    <w:p>
      <w:pPr>
        <w:pStyle w:val="Heading3"/>
        <w:numPr>
          <w:ilvl w:val="2"/>
          <w:numId w:val="3"/>
        </w:numPr>
        <w:ind w:left="0" w:hanging="0"/>
        <w:rPr/>
      </w:pPr>
      <w:bookmarkStart w:id="20" w:name="_Toc54646405"/>
      <w:r>
        <w:rPr/>
        <w:t>Требования к видам и объемам работ</w:t>
      </w:r>
      <w:bookmarkEnd w:id="20"/>
      <w:r>
        <w:rPr>
          <w:rFonts w:eastAsia="Times New Roman"/>
          <w:lang w:val="ru-RU"/>
        </w:rPr>
        <w:t>.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51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Закупка материалов в соответствии с ведомостями объемов работ, транспортировка и доставка запасных частей и материалов на место проведения работ;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51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Разработка и согласование с Генеральным подрядчиком плана производства работ в ОЗП (далее - ППР в ОЗП) и  плана мероприятий при аварийной ситуации и при проведении спасательных работ.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51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Подготовительные работы:</w:t>
      </w:r>
    </w:p>
    <w:p>
      <w:pPr>
        <w:pStyle w:val="Normal"/>
        <w:tabs>
          <w:tab w:val="clear" w:pos="720"/>
          <w:tab w:val="left" w:pos="851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Пред ремонтный осмотр оборудования, уточнение с Генеральным подрядчиком ведомостей объемов работ;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51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Поэтапная сдача выполненных работ представителю Генерального подрядчика, в соответствии с графиком выполнения работ;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51" w:leader="none"/>
        </w:tabs>
        <w:rPr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Выполнение работ по </w:t>
      </w:r>
      <w:r>
        <w:rPr>
          <w:rFonts w:eastAsia="Calibri"/>
          <w:sz w:val="24"/>
          <w:szCs w:val="24"/>
        </w:rPr>
        <w:t>санации внутренней поверхности стальных труб канализационных сетей Саратовской ГЭС методом полимерного чулка.</w:t>
      </w:r>
      <w:r>
        <w:rPr>
          <w:sz w:val="24"/>
          <w:szCs w:val="24"/>
          <w:lang w:eastAsia="x-none"/>
        </w:rPr>
        <w:t xml:space="preserve"> согласно ведомости объёмов работ №1; (Приложение №1 к Техническим требованиям);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51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Сдача в эксплуатацию отремонтированного оборудования и участие в пусконаладочных испытаниях.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51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Предъявление Объекта ремонта комиссии Генерального подрядчика, оформление отчетной и исполнительной документации;</w:t>
      </w:r>
    </w:p>
    <w:p>
      <w:pPr>
        <w:pStyle w:val="Style27"/>
        <w:numPr>
          <w:ilvl w:val="0"/>
          <w:numId w:val="0"/>
        </w:numPr>
        <w:ind w:left="0" w:hanging="0"/>
        <w:jc w:val="left"/>
        <w:outlineLvl w:val="0"/>
        <w:rPr>
          <w:lang w:val="ru-RU"/>
        </w:rPr>
      </w:pPr>
      <w:r>
        <w:rPr/>
        <w:t>Таблица</w:t>
      </w:r>
      <w:r>
        <w:rPr>
          <w:lang w:val="ru-RU"/>
        </w:rPr>
        <w:t> 2</w:t>
      </w:r>
      <w:r>
        <w:rPr/>
        <w:t xml:space="preserve">. </w:t>
      </w:r>
      <w:r>
        <w:rPr>
          <w:lang w:val="ru-RU"/>
        </w:rPr>
        <w:t>Перечень и объем выполняемых работ</w:t>
      </w:r>
    </w:p>
    <w:tbl>
      <w:tblPr>
        <w:tblW w:w="9698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38"/>
        <w:gridCol w:w="5845"/>
        <w:gridCol w:w="1702"/>
        <w:gridCol w:w="1412"/>
      </w:tblGrid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работ / этапа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rStyle w:val="Style8"/>
                <w:rFonts w:eastAsia="Calibri"/>
                <w:i w:val="false"/>
                <w:i w:val="false"/>
                <w:sz w:val="24"/>
                <w:szCs w:val="24"/>
                <w:shd w:fill="auto" w:val="clear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Выполнение работ по </w:t>
            </w:r>
            <w:r>
              <w:rPr>
                <w:rFonts w:eastAsia="Calibri"/>
                <w:sz w:val="24"/>
                <w:szCs w:val="24"/>
              </w:rPr>
              <w:t>санации внутренней поверхности стальных труб канализационных сетей Саратовской ГЭС методом полимерного чулка.</w:t>
            </w:r>
          </w:p>
          <w:p>
            <w:pPr>
              <w:pStyle w:val="ListParagraph"/>
              <w:widowControl w:val="false"/>
              <w:ind w:left="319" w:hanging="0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3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соответствии с ведомостью объемов работ (Приложение №1 к настоящим Техническим требованиям)</w:t>
            </w:r>
          </w:p>
        </w:tc>
      </w:tr>
    </w:tbl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left="0" w:hanging="0"/>
        <w:rPr/>
      </w:pPr>
      <w:bookmarkStart w:id="21" w:name="_Toc54646407"/>
      <w:bookmarkStart w:id="22" w:name="_Toc51339696"/>
      <w:r>
        <w:rPr/>
        <w:t xml:space="preserve">Требования </w:t>
      </w:r>
      <w:bookmarkEnd w:id="22"/>
      <w:r>
        <w:rPr/>
        <w:t>к срокам выполнения работ</w:t>
      </w:r>
      <w:bookmarkEnd w:id="21"/>
      <w:r>
        <w:rPr>
          <w:lang w:val="ru-RU"/>
        </w:rPr>
        <w:t>.</w:t>
      </w:r>
    </w:p>
    <w:p>
      <w:pPr>
        <w:pStyle w:val="Normal"/>
        <w:numPr>
          <w:ilvl w:val="1"/>
          <w:numId w:val="19"/>
        </w:numPr>
        <w:tabs>
          <w:tab w:val="clear" w:pos="720"/>
          <w:tab w:val="left" w:pos="993" w:leader="none"/>
        </w:tabs>
        <w:rPr>
          <w:sz w:val="24"/>
          <w:szCs w:val="24"/>
          <w:lang w:eastAsia="x-none"/>
        </w:rPr>
      </w:pPr>
      <w:bookmarkStart w:id="23" w:name="_Toc54646408"/>
      <w:bookmarkStart w:id="24" w:name="_Toc51339697"/>
      <w:bookmarkStart w:id="25" w:name="_Toc50125127"/>
      <w:r>
        <w:rPr>
          <w:sz w:val="24"/>
          <w:szCs w:val="24"/>
          <w:lang w:eastAsia="x-none"/>
        </w:rPr>
        <w:t xml:space="preserve">Сроки выполнения работ </w:t>
      </w:r>
      <w:r>
        <w:rPr>
          <w:rFonts w:eastAsia="Calibri"/>
          <w:sz w:val="24"/>
          <w:szCs w:val="24"/>
          <w:lang w:eastAsia="x-none"/>
        </w:rPr>
        <w:t xml:space="preserve">по </w:t>
      </w:r>
      <w:r>
        <w:rPr>
          <w:rFonts w:eastAsia="Calibri"/>
          <w:sz w:val="24"/>
          <w:szCs w:val="24"/>
        </w:rPr>
        <w:t>санации внутренней поверхности стальных труб канализационных сетей</w:t>
      </w:r>
      <w:r>
        <w:rPr>
          <w:sz w:val="24"/>
          <w:szCs w:val="24"/>
          <w:lang w:eastAsia="x-none"/>
        </w:rPr>
        <w:t xml:space="preserve"> представлены в ведомости объемов работ №1 (Приложение №1 к Техническим требованиям) и Таблице 3. «Требования по срокам выполнения работ» настоящих ТТ.</w:t>
      </w:r>
    </w:p>
    <w:p>
      <w:pPr>
        <w:pStyle w:val="Normal"/>
        <w:numPr>
          <w:ilvl w:val="1"/>
          <w:numId w:val="19"/>
        </w:numPr>
        <w:tabs>
          <w:tab w:val="clear" w:pos="720"/>
          <w:tab w:val="left" w:pos="567" w:leader="none"/>
          <w:tab w:val="left" w:pos="851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</w:t>
      </w:r>
      <w:r>
        <w:rPr>
          <w:sz w:val="24"/>
          <w:szCs w:val="24"/>
          <w:lang w:eastAsia="x-none"/>
        </w:rPr>
        <w:t>Сроки проведения работ по санации внутренней поверхности стальных труб канализационных сетей могут быть изменены в связи с режимом работы Саратовской ГЭС и фактическим состоянием оборудования в соответствии с подаваемыми ежегодными и месячными плановыми графиками ремонтов основного оборудования, и согласованными диспетчерскими заявками.</w:t>
      </w:r>
    </w:p>
    <w:p>
      <w:pPr>
        <w:pStyle w:val="Heading1"/>
        <w:tabs>
          <w:tab w:val="clear" w:pos="0"/>
        </w:tabs>
        <w:rPr>
          <w:b/>
          <w:lang w:val="ru-RU"/>
        </w:rPr>
      </w:pPr>
      <w:r>
        <w:rPr>
          <w:b/>
        </w:rPr>
        <w:t xml:space="preserve">Таблица </w:t>
      </w:r>
      <w:r>
        <w:rPr>
          <w:b/>
          <w:lang w:val="ru-RU"/>
        </w:rPr>
        <w:t>3</w:t>
      </w:r>
      <w:r>
        <w:rPr>
          <w:b/>
        </w:rPr>
        <w:t xml:space="preserve">. </w:t>
      </w:r>
      <w:bookmarkStart w:id="26" w:name="_Hlk50465284"/>
      <w:r>
        <w:rPr>
          <w:b/>
        </w:rPr>
        <w:t xml:space="preserve">Требования по срокам </w:t>
      </w:r>
      <w:bookmarkEnd w:id="24"/>
      <w:bookmarkEnd w:id="25"/>
      <w:bookmarkEnd w:id="26"/>
      <w:r>
        <w:rPr>
          <w:b/>
          <w:lang w:val="ru-RU"/>
        </w:rPr>
        <w:t>выполнения работ</w:t>
      </w:r>
      <w:bookmarkEnd w:id="23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36"/>
        <w:gridCol w:w="2944"/>
        <w:gridCol w:w="2980"/>
        <w:gridCol w:w="3115"/>
      </w:tblGrid>
      <w:tr>
        <w:trPr/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Санация внутренней поверхности стальных труб канализационных сетей Саратовской ГЭС методом полимерного чулка.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 </w:t>
            </w:r>
            <w:bookmarkStart w:id="27" w:name="_GoBack"/>
            <w:bookmarkEnd w:id="27"/>
            <w:r>
              <w:rPr>
                <w:iCs/>
                <w:sz w:val="24"/>
                <w:szCs w:val="24"/>
              </w:rPr>
              <w:t>даты заключения Договора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30.</w:t>
            </w: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left="0" w:hanging="0"/>
        <w:rPr>
          <w:b/>
        </w:rPr>
      </w:pPr>
      <w:bookmarkStart w:id="28" w:name="_Toc54646410"/>
      <w:bookmarkStart w:id="29" w:name="_Toc51339698"/>
      <w:r>
        <w:rPr>
          <w:b/>
        </w:rPr>
        <w:t xml:space="preserve">Требования к </w:t>
      </w:r>
      <w:r>
        <w:rPr>
          <w:b/>
          <w:lang w:val="ru-RU"/>
        </w:rPr>
        <w:t>качеству работ</w:t>
      </w:r>
    </w:p>
    <w:p>
      <w:pPr>
        <w:pStyle w:val="Heading1"/>
        <w:tabs>
          <w:tab w:val="clear" w:pos="0"/>
        </w:tabs>
        <w:rPr>
          <w:b/>
        </w:rPr>
      </w:pPr>
      <w:r>
        <w:rPr>
          <w:b/>
        </w:rPr>
        <w:t>Таблица </w:t>
      </w:r>
      <w:r>
        <w:rPr>
          <w:b/>
          <w:lang w:val="ru-RU"/>
        </w:rPr>
        <w:t>4</w:t>
      </w:r>
      <w:r>
        <w:rPr>
          <w:b/>
        </w:rPr>
        <w:t xml:space="preserve">. Требования к </w:t>
      </w:r>
      <w:bookmarkEnd w:id="29"/>
      <w:r>
        <w:rPr>
          <w:b/>
          <w:lang w:val="ru-RU"/>
        </w:rPr>
        <w:t>качеству работ</w:t>
      </w:r>
      <w:bookmarkEnd w:id="28"/>
      <w:r>
        <w:rPr>
          <w:b/>
        </w:rPr>
        <w:t xml:space="preserve"> </w:t>
      </w:r>
    </w:p>
    <w:p>
      <w:pPr>
        <w:pStyle w:val="Normal"/>
        <w:snapToGrid w:val="false"/>
        <w:spacing w:before="0"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работ/этапа работ (позиция № 1Таблицы 2): </w:t>
      </w:r>
      <w:r>
        <w:rPr>
          <w:bCs/>
          <w:sz w:val="24"/>
          <w:szCs w:val="24"/>
        </w:rPr>
        <w:t>Санация внутренней поверхности стальных труб канализационных сетей</w:t>
      </w:r>
      <w:r>
        <w:rPr>
          <w:iCs/>
          <w:sz w:val="24"/>
          <w:szCs w:val="24"/>
        </w:rPr>
        <w:t xml:space="preserve"> В соответствии с ведомостью объемов работ (Приложение №1 к настоящим Техническим требованиям)</w:t>
      </w:r>
    </w:p>
    <w:p>
      <w:pPr>
        <w:pStyle w:val="Normal"/>
        <w:snapToGrid w:val="false"/>
        <w:spacing w:before="0" w:after="120"/>
        <w:rPr>
          <w:rStyle w:val="Style8"/>
          <w:b w:val="false"/>
          <w:i w:val="false"/>
          <w:i w:val="false"/>
          <w:iCs/>
          <w:sz w:val="24"/>
          <w:szCs w:val="24"/>
        </w:rPr>
      </w:pPr>
      <w:r>
        <w:rPr>
          <w:b w:val="false"/>
          <w:i w:val="false"/>
          <w:iCs/>
          <w:sz w:val="24"/>
          <w:szCs w:val="24"/>
        </w:rPr>
      </w:r>
    </w:p>
    <w:tbl>
      <w:tblPr>
        <w:tblStyle w:val="affff6"/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20"/>
        <w:gridCol w:w="2347"/>
        <w:gridCol w:w="11859"/>
      </w:tblGrid>
      <w:tr>
        <w:trPr/>
        <w:tc>
          <w:tcPr>
            <w:tcW w:w="8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18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Генерального подрядчика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3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18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</w:t>
            </w:r>
          </w:p>
        </w:tc>
      </w:tr>
      <w:tr>
        <w:trPr>
          <w:trHeight w:val="1605" w:hRule="atLeast"/>
        </w:trPr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42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выполнению работ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13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Работы по санации внутренней поверхности стальных труб канализационных сетей выполняются в соответствии с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ведомостью объемов работ №1 (Приложение №1 к Техническим требованиям) и Таблице 3. «Требования по срокам выполнения работ» настоящих ТТ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Ведомость объёмов работ №1  может быть скорректирована в соответствии с графиком ремонтов оборудования.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8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При выполнении работ субподрядчик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>
            <w:pPr>
              <w:pStyle w:val="Heading2"/>
              <w:widowControl w:val="false"/>
              <w:numPr>
                <w:ilvl w:val="1"/>
                <w:numId w:val="11"/>
              </w:numPr>
              <w:suppressAutoHyphens w:val="tru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 w:ascii="PT Serif;Times New Roman;serif" w:hAnsi="PT Serif;Times New Roman;serif"/>
                <w:iCs/>
                <w:color w:val="000000"/>
                <w:kern w:val="0"/>
                <w:lang w:val="ru-RU" w:eastAsia="ru-RU" w:bidi="ar-SA"/>
              </w:rPr>
              <w:t>Приказ Минтруда РФ от 15 декабря 2020 г. N 902н Правила по охране труда при работе в ограниченных и замкнутых пространствах.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right="1134" w:hanging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 w:ascii="PT Serif;Times New Roman;serif" w:hAnsi="PT Serif;Times New Roman;serif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-    </w:t>
            </w:r>
            <w:r>
              <w:rPr>
                <w:rFonts w:eastAsia="Times New Roman" w:cs="Times New Roman" w:ascii="PT Serif;Times New Roman;serif" w:hAnsi="PT Serif;Times New Roman;serif"/>
                <w:bCs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СП 399.1325800.2018 Свод правил системы водоснабжения и канализации наружные из       полимерных материалов.</w:t>
            </w:r>
          </w:p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hyperlink r:id="rId5" w:tgtFrame="&quot;РД 153-34.0-03.301-00 (ВППБ 01-02-95*) Правила пожарной безопасности для энергетических предприятий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РД 153-34.0-03.301-00</w:t>
              </w:r>
            </w:hyperlink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(</w:t>
            </w:r>
            <w:hyperlink r:id="rId6" w:tgtFrame="&quot;РД 153-34.0-03.301-00 (ВППБ 01-02-95*) Правила пожарной безопасности для энергетических предприятий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ВППБ 01-02-95</w:t>
              </w:r>
            </w:hyperlink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*). Правила пожарной безопасности для энергетических предприятий"</w:t>
            </w:r>
          </w:p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hyperlink r:id="rId7" w:tgtFrame="&quot;Инструкция о мерах пожарной безопасности при проведении огневых работ на энергетических предприятиях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СО 153-34.03.305-2003</w:t>
              </w:r>
            </w:hyperlink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«Инструкция о мерах пожарной безопасности при проведении огневых работ на энергетических предприятиях»;</w:t>
            </w:r>
          </w:p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Приказ Минтруда и социальной защиты Российской Федерацииот 15 декабря 2020 года N 903н Об утверждении Правил по охране труда при эксплуатации электроустановок;</w:t>
            </w:r>
          </w:p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Приказ Минтруда России </w:t>
            </w:r>
            <w:hyperlink r:id="rId8" w:tgtFrame="&quot;Об утверждении Правил по охране труда при размещении, монтаже, техническом обслуживании и ремонте технологического оборудования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от 27.11.2020 N 833н</w:t>
              </w:r>
            </w:hyperlink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"Об утверждении Правил по охране труда при размещении, монтаже, техническом обслуживании и ремонте технологического оборудования" (Зарегистрировано в Минюсте России 11.12.2020 N 61413)</w:t>
            </w:r>
          </w:p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Приказ Минтруда России </w:t>
            </w:r>
            <w:hyperlink r:id="rId9" w:tgtFrame="&quot;Об утверждении Правил по охране труда при работе с инструментом и приспособлениями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от 27.11.2020 N 835н</w:t>
              </w:r>
            </w:hyperlink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"Об утверждении Правил по охране труда при работе с инструментом и приспособлениями" (Зарегистрировано в Минюсте России 11.12.2020 N 61411);</w:t>
            </w:r>
          </w:p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РД 153 -34.0-03.301-00 (</w:t>
            </w:r>
            <w:hyperlink r:id="rId10" w:tgtFrame="&quot;РД 153-34.0-03.301-00 (ВППБ 01-02-95*) Правила пожарной безопасности для энергетических предприятий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ВППБ 01-02-95</w:t>
              </w:r>
            </w:hyperlink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) «Правила пожарной безопасности для энергетических предприятий»;</w:t>
            </w:r>
          </w:p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Постановление Правительства РФ </w:t>
            </w:r>
            <w:hyperlink r:id="rId11" w:tgtFrame="&quot;Об утверждении Правил противопожарного режима в Российской Федерации (с изменениями на 21 мая 2021 года)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от 16 сентября 2020 г. N 1479</w:t>
              </w:r>
            </w:hyperlink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«Об утверждении Правил противопожарного режима в Российской Федерации»;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Работы выполняются в соответствии с НТД, указанными в п. 1.1.1 раздела 1.1 настоящих ТТ;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165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Работы выполняются в соответствии утвержденным Заказчиком ППР в ОЗП разработанным Исполнителем за 30 календарных дней до начала работ.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Согласование со службой эксплуатации Саратовской ГЭС мест подключения временных коммуникаций (технические условия на подключения выдаются после получения от Субподрядчика официального запроса с указанием потребных ресурсов в количественных и качественных показателях);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Текущий контроль должен включать в себя надзор за правильностью и последовательностью выполнения отдельных технологических операций.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Приемочный контроль Перечень этапов и видов работ, подлежащих приемке, должен быть согласован с Генеральным подрядчиком.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Передача по акту приемки-передачи на склад Генерального подрядчика демонтированного оборудования и   материалов.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47" w:type="dxa"/>
            <w:tcBorders/>
            <w:shd w:color="auto" w:fill="FFFFFF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субподрядчика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859" w:type="dxa"/>
            <w:tcBorders/>
            <w:shd w:color="auto" w:fill="FFFFFF" w:val="clear"/>
          </w:tcPr>
          <w:p>
            <w:pPr>
              <w:pStyle w:val="Normal"/>
              <w:widowControl w:val="false"/>
              <w:tabs>
                <w:tab w:val="clear" w:pos="720"/>
                <w:tab w:val="left" w:pos="37" w:leader="none"/>
              </w:tabs>
              <w:suppressAutoHyphens w:val="true"/>
              <w:spacing w:before="0" w:after="0"/>
              <w:ind w:left="57" w:firstLine="283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Допуск персонала Субподрядчика для выполнения Работ осуществляется в соответствии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zh-CN" w:bidi="ar-SA"/>
              </w:rPr>
              <w:t xml:space="preserve">с Приказом ПАО_РусГидро от 28.04.2023 №300_Об утверждении Регламента процесса Допуск подрядных организаций на объекты ПАО РусГидро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Приложение 3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7" w:leader="none"/>
              </w:tabs>
              <w:suppressAutoHyphens w:val="true"/>
              <w:spacing w:before="0" w:after="0"/>
              <w:ind w:left="57" w:firstLine="283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Подготовку рабочих мест и допуск к выполнению работ выполняет персонал Саратовской ГЭС.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  <w:shd w:color="auto" w:fill="FFFFFF" w:val="clear"/>
            <w:vAlign w:val="center"/>
          </w:tcPr>
          <w:p>
            <w:pPr>
              <w:pStyle w:val="ListParagraph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b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Материалы и запасные части, необходимые для выполнения работ </w:t>
            </w:r>
            <w:r>
              <w:rPr>
                <w:rFonts w:cs="Times New Roman"/>
                <w:kern w:val="0"/>
                <w:lang w:val="ru-RU" w:eastAsia="x-none" w:bidi="ar-SA"/>
              </w:rPr>
              <w:t xml:space="preserve">по </w:t>
            </w:r>
            <w:r>
              <w:rPr>
                <w:rFonts w:cs="Times New Roman"/>
                <w:kern w:val="0"/>
                <w:lang w:val="ru-RU" w:eastAsia="ru-RU" w:bidi="ar-SA"/>
              </w:rPr>
              <w:t>санации внутренней поверхности стальных труб канализационных сетей Саратовской ГЭС методом полимерного чулка филиала ПАО «РусГидро» - «Саратовская ГЭС» в 2026 г. (Приложение №1 к Техническим требованиям);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Использование материалов и запасных частей не соответствующих ведомостям объемов работ, но схожих по своим свойствам и техническим характеристикам допускается, только при письменном согласовании с Генеральным подрядчиком и Заказчиком;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Качество запасных частей должно подтверждаться сертификатами качества заводов-изготовителей;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Для выполнения работ </w:t>
            </w:r>
            <w:r>
              <w:rPr>
                <w:rFonts w:cs="Times New Roman"/>
                <w:kern w:val="0"/>
                <w:lang w:val="ru-RU" w:eastAsia="x-none" w:bidi="ar-SA"/>
              </w:rPr>
              <w:t xml:space="preserve">по </w:t>
            </w:r>
            <w:r>
              <w:rPr>
                <w:rFonts w:cs="Times New Roman"/>
                <w:kern w:val="0"/>
                <w:lang w:val="ru-RU" w:eastAsia="ru-RU" w:bidi="ar-SA"/>
              </w:rPr>
              <w:t>санации внутренней поверхности стальных труб канализационных сетей Саратовской ГЭС доставку осуществлять: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запасных частей - за 20 календарных дней до начала ремонта,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материалов - в соответствии с потребностью производства работ для соблюдения календарного графика работ;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Все доставляемые запасные части, и материалы должны быть новыми и не использованными ранее;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используемым запасным частям и материалам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8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Запасные части и материалы, необходимые для выполнения работ по ремонту оборудования, приобретаются субподрядчиком самостоятельно согласно ведомостям объемов работ. (Приложение №1 к Техническим требованиям)</w:t>
              <w:br/>
              <w:t>Все поставляемые и применяемые запасные части и материалы должны быть новыми и не использованными ранее.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контролю качества работ и материалов</w:t>
            </w:r>
          </w:p>
          <w:p>
            <w:pPr>
              <w:pStyle w:val="Normal"/>
              <w:widowControl w:val="false"/>
              <w:numPr>
                <w:ilvl w:val="2"/>
                <w:numId w:val="13"/>
              </w:numPr>
              <w:tabs>
                <w:tab w:val="clear" w:pos="720"/>
                <w:tab w:val="left" w:pos="564" w:leader="none"/>
              </w:tabs>
              <w:suppressAutoHyphens w:val="true"/>
              <w:spacing w:before="0" w:after="0"/>
              <w:ind w:left="-48" w:firstLine="142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На доставляемые материалы и запасные части должны быть предоставлены заводские паспорта, сертификаты качества, техническая документация в полном объеме на бумажном носителе (1 экземпляр) и электронном носителе (1 экземпляр);</w:t>
            </w:r>
          </w:p>
          <w:p>
            <w:pPr>
              <w:pStyle w:val="Normal"/>
              <w:widowControl w:val="false"/>
              <w:numPr>
                <w:ilvl w:val="2"/>
                <w:numId w:val="13"/>
              </w:numPr>
              <w:tabs>
                <w:tab w:val="clear" w:pos="720"/>
                <w:tab w:val="left" w:pos="564" w:leader="none"/>
              </w:tabs>
              <w:suppressAutoHyphens w:val="true"/>
              <w:spacing w:before="0" w:after="0"/>
              <w:ind w:left="-48" w:firstLine="142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Генеральный подрядчик вправе передавать Субподрядчику материалы и запасные части в качестве давальческих, по письменному согласованию сторон, в аварийных и при следующих случаях:</w:t>
            </w:r>
          </w:p>
          <w:p>
            <w:pPr>
              <w:pStyle w:val="Normal"/>
              <w:widowControl w:val="false"/>
              <w:numPr>
                <w:ilvl w:val="2"/>
                <w:numId w:val="13"/>
              </w:numPr>
              <w:tabs>
                <w:tab w:val="clear" w:pos="720"/>
                <w:tab w:val="left" w:pos="564" w:leader="none"/>
              </w:tabs>
              <w:suppressAutoHyphens w:val="true"/>
              <w:spacing w:before="0" w:after="0"/>
              <w:ind w:left="-48" w:firstLine="142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случае несвоевременного приобретения (до начала ремонта оборудования) Субподрядчиком материалов и запасных частей, указанных в ведомости объёмов работ №1 (Приложение №1 к Техническим требованиям) - с последующим восполнением использованных за счет средств Субподрядчика.</w:t>
            </w:r>
          </w:p>
          <w:p>
            <w:pPr>
              <w:pStyle w:val="Normal"/>
              <w:widowControl w:val="false"/>
              <w:numPr>
                <w:ilvl w:val="2"/>
                <w:numId w:val="13"/>
              </w:numPr>
              <w:tabs>
                <w:tab w:val="clear" w:pos="720"/>
                <w:tab w:val="left" w:pos="564" w:leader="none"/>
              </w:tabs>
              <w:suppressAutoHyphens w:val="true"/>
              <w:spacing w:before="0" w:after="0"/>
              <w:ind w:left="-48" w:firstLine="142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случае отсутствия материалов и запасных частей в ведомости объёмов работ №1 (Приложение №1 к Техническим требованиям) с последующим восполнением использованных за счет средств Генерального подрядчика.</w:t>
            </w:r>
          </w:p>
          <w:p>
            <w:pPr>
              <w:pStyle w:val="Normal"/>
              <w:widowControl w:val="false"/>
              <w:numPr>
                <w:ilvl w:val="2"/>
                <w:numId w:val="13"/>
              </w:numPr>
              <w:tabs>
                <w:tab w:val="clear" w:pos="720"/>
                <w:tab w:val="left" w:pos="564" w:leader="none"/>
              </w:tabs>
              <w:suppressAutoHyphens w:val="true"/>
              <w:spacing w:before="0" w:after="0"/>
              <w:ind w:left="-48" w:firstLine="142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Субподрядчик должен обеспечить входной контроль поступающих материалов.</w:t>
            </w:r>
          </w:p>
          <w:p>
            <w:pPr>
              <w:pStyle w:val="Normal"/>
              <w:widowControl w:val="false"/>
              <w:numPr>
                <w:ilvl w:val="2"/>
                <w:numId w:val="13"/>
              </w:numPr>
              <w:tabs>
                <w:tab w:val="clear" w:pos="720"/>
                <w:tab w:val="left" w:pos="564" w:leader="none"/>
              </w:tabs>
              <w:suppressAutoHyphens w:val="true"/>
              <w:spacing w:before="0" w:after="0"/>
              <w:ind w:left="-48" w:firstLine="142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Входной контроль поступающих материалов должен включать проверку: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а) наличия соответствующих сертификатов;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б) наличия и надлежащего заполнения документа о качестве и соответствии приведенных в нем данных - характеристикам, установленным в нормативном документе, регламентирующем технические требования к данной продукции;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в) наличия маркировки, сохранности упаковки, наличия и сохранности защитных и окрасочных покрытий и т.п.;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г) правильности складирования и хранения;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д) комплектность поставляемых материалов.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Контроль качества используемых запасных частей и материалов</w:t>
            </w:r>
          </w:p>
        </w:tc>
        <w:tc>
          <w:tcPr>
            <w:tcW w:w="118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Субподрядчик должен обеспечить входной контроль поступающих материалов и запасных частей, включающий в себя проверку: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60"/>
              <w:ind w:left="37" w:hanging="0"/>
              <w:contextualSpacing w:val="false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наличия соответствующих сертификатов в соответствии с требованиями постановления Правительства Российской Федерации от 23.12.2021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60"/>
              <w:ind w:left="37" w:hanging="0"/>
              <w:contextualSpacing w:val="false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60"/>
              <w:ind w:left="37" w:hanging="0"/>
              <w:contextualSpacing w:val="false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наличия маркировки, сохранности упаковки, наличия и сохранности защитных и окрасочных покрытий и т.п.;</w:t>
            </w:r>
          </w:p>
          <w:p>
            <w:pPr>
              <w:pStyle w:val="Normal"/>
              <w:widowControl w:val="false"/>
              <w:suppressAutoHyphens w:val="true"/>
              <w:spacing w:before="0" w:after="60"/>
              <w:ind w:left="37" w:hanging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комплектности поставляемых материалов.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субподрядчика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 Соответствие требованию подтверждается предоставлением в составе заявки Участника справки о кадровых ресурсах с правом доступа в электроустановки до 1000В, с указанием групп по электробезопасности персонала и удостоверения с приложением подтверждающих документов (копий удостоверений или протоколов о проверке знаний).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Cs/>
                <w:kern w:val="0"/>
                <w:shd w:fill="FFFFFF" w:val="clear"/>
                <w:lang w:val="ru-RU" w:eastAsia="ru-RU" w:bidi="ar-SA"/>
              </w:rPr>
              <w:t>- Предоставить список персонала, участвующего в выполнении услуг с указанием квалификации и стажем работы по профессии.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Cs/>
                <w:kern w:val="0"/>
                <w:shd w:fill="FFFFFF" w:val="clear"/>
                <w:lang w:val="ru-RU" w:eastAsia="ru-RU" w:bidi="ar-SA"/>
              </w:rPr>
              <w:t>- Работники, выполняющие работы в ОЗП, должны иметь квалификацию, соответствующую характеру выполняемых работ. Уровень квалификации подтверждается документом о профессиональном образовании (обучении) и (или) о квалификации.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FFFFFF" w:val="clear"/>
                <w:lang w:val="ru-RU" w:eastAsia="x-none" w:bidi="ar-SA"/>
              </w:rPr>
              <w:t xml:space="preserve">- Предоставить список персонала, имеющего право быть ответственными лицами при выполнении услуг по наряду-допуску  согласно </w:t>
            </w: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FFFFFF" w:val="clear"/>
                <w:lang w:val="ru-RU" w:eastAsia="x-none" w:bidi="ar-SA"/>
              </w:rPr>
              <w:t>Правил по охране труда при работе в ограниченных и замкнутых пространствах</w:t>
            </w:r>
            <w:r>
              <w:rPr>
                <w:rFonts w:eastAsia="Calibri" w:cs="Times New Roman"/>
                <w:iCs/>
                <w:kern w:val="0"/>
                <w:sz w:val="24"/>
                <w:szCs w:val="24"/>
                <w:shd w:fill="FFFFFF" w:val="clear"/>
                <w:lang w:val="ru-RU" w:eastAsia="x-none" w:bidi="ar-SA"/>
              </w:rPr>
              <w:t xml:space="preserve">. Приказ Минтруда и социальной защиты Российской Федерацииот 15 декабря 2020 года N 902н Об утверждении </w:t>
            </w: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FFFFFF" w:val="clear"/>
                <w:lang w:val="ru-RU" w:eastAsia="x-none" w:bidi="ar-SA"/>
              </w:rPr>
              <w:t>Правил по охране труда при работе в ограниченных и замкнутых пространствах</w:t>
            </w:r>
            <w:r>
              <w:rPr>
                <w:rFonts w:eastAsia="Calibri" w:cs="Times New Roman"/>
                <w:iCs/>
                <w:kern w:val="0"/>
                <w:sz w:val="24"/>
                <w:szCs w:val="24"/>
                <w:shd w:fill="FFFFFF" w:val="clear"/>
                <w:lang w:val="ru-RU" w:eastAsia="x-none" w:bidi="ar-SA"/>
              </w:rPr>
              <w:t>;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47" w:type="dxa"/>
            <w:tcBorders/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Квалификация персонала субподрядчика, привлекаемого к выполнению работ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859" w:type="dxa"/>
            <w:tcBorders/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37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1.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Выполнение работ должно осуществляться силами: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left" w:pos="37" w:leader="none"/>
              </w:tabs>
              <w:suppressAutoHyphens w:val="true"/>
              <w:spacing w:before="60" w:after="0"/>
              <w:ind w:left="0" w:hanging="0"/>
              <w:contextualSpacing/>
              <w:jc w:val="left"/>
              <w:rPr>
                <w:shd w:fill="FFFFFF" w:val="clear"/>
              </w:rPr>
            </w:pPr>
            <w:r>
              <w:rPr>
                <w:rFonts w:eastAsia="Times New Roman" w:cs="Times New Roman"/>
                <w:iCs/>
                <w:kern w:val="0"/>
                <w:shd w:fill="FFFFFF" w:val="clear"/>
                <w:lang w:val="ru-RU" w:eastAsia="ru-RU" w:bidi="ar-SA"/>
              </w:rPr>
              <w:t xml:space="preserve">квалифицированный рабочий персонал </w:t>
            </w:r>
            <w:r>
              <w:rPr>
                <w:rFonts w:cs="Times New Roman"/>
                <w:iCs/>
                <w:kern w:val="0"/>
                <w:shd w:fill="FFFFFF" w:val="clear"/>
                <w:lang w:val="ru-RU" w:eastAsia="x-none" w:bidi="ar-SA"/>
              </w:rPr>
              <w:t xml:space="preserve">по </w:t>
            </w:r>
            <w:r>
              <w:rPr>
                <w:rFonts w:cs="Times New Roman"/>
                <w:iCs/>
                <w:color w:val="000000"/>
                <w:kern w:val="0"/>
                <w:shd w:fill="FFFFFF" w:val="clear"/>
                <w:lang w:val="ru-RU" w:eastAsia="ru-RU" w:bidi="ar-SA"/>
              </w:rPr>
              <w:t>санации внутренней поверхности стальных труб канализационных сетей</w:t>
            </w:r>
            <w:r>
              <w:rPr>
                <w:rFonts w:eastAsia="Times New Roman" w:cs="Times New Roman"/>
                <w:iCs/>
                <w:kern w:val="0"/>
                <w:shd w:fill="FFFFFF" w:val="clear"/>
                <w:lang w:val="ru-RU" w:eastAsia="ru-RU" w:bidi="ar-SA"/>
              </w:rPr>
              <w:t xml:space="preserve"> с группами по электробезопасности (не ниже 3 группы), с 1 и 2 группой по безопасности работ в ОЗП - не менее 2 человек;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left" w:pos="37" w:leader="none"/>
              </w:tabs>
              <w:suppressAutoHyphens w:val="true"/>
              <w:spacing w:before="60" w:after="0"/>
              <w:ind w:left="0" w:hanging="0"/>
              <w:contextualSpacing/>
              <w:jc w:val="left"/>
              <w:rPr>
                <w:shd w:fill="FFFFFF" w:val="clear"/>
              </w:rPr>
            </w:pPr>
            <w:r>
              <w:rPr>
                <w:rFonts w:eastAsia="Times New Roman" w:cs="Times New Roman"/>
                <w:iCs/>
                <w:kern w:val="0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Cs/>
                <w:kern w:val="0"/>
                <w:shd w:fill="FFFFFF" w:val="clear"/>
                <w:lang w:val="ru-RU" w:eastAsia="ru-RU" w:bidi="ar-SA"/>
              </w:rPr>
              <w:t>административно-технический персонал с указанием групп по электробезопасности (не ниже 3 группы) с 3 группой по безопасности в ОЗП – не менее 1 человека;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hd w:fill="FFFFFF" w:val="clear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2. До начала проведения работ в рамках исполнения договора после его заключения субподрядчик предоставляет список персонала с указанием сведений о квалификации персонала, разряде и группе по электробезопасности с приложением копий удостоверений на производство специальных видов работ (огневых, грузоподъемных, работ с электро - и пневмоинструментом) (возможно совмещение специальностей)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34" w:leader="none"/>
              </w:tabs>
              <w:suppressAutoHyphens w:val="true"/>
              <w:spacing w:before="0" w:after="0"/>
              <w:jc w:val="both"/>
              <w:rPr>
                <w:shd w:fill="FFFFFF" w:val="clear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3. Соответствие требованию Субподрядчик должен подтвердить на стадии заключения договора, предоставлением сведений о персонале с правом доступа в электроустановки до 1000В, с указанием групп по электробезопасности и удостоверений с приложением подтверждающих документов (копий удостоверений и протоколы о проверке знаний). Предоставлением списка персонала, участвующего в выполнении работ с указанием квалификации и стажем работы по профессии.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37" w:leader="none"/>
                <w:tab w:val="left" w:pos="428" w:leader="none"/>
              </w:tabs>
              <w:suppressAutoHyphens w:val="true"/>
              <w:spacing w:before="0" w:after="0"/>
              <w:jc w:val="both"/>
              <w:rPr>
                <w:shd w:fill="FFFFFF" w:val="clear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4. Предоставление списка персонала, имеющего право быть ответственными лицами при выполнении работ по наряду-допуску или распоряжению согласно Приказу Минтруда и социальной защиты, Российской Федерацииот </w:t>
            </w:r>
            <w:r>
              <w:rPr>
                <w:rFonts w:eastAsia="Calibri" w:cs="Times New Roman"/>
                <w:iCs/>
                <w:kern w:val="0"/>
                <w:sz w:val="24"/>
                <w:szCs w:val="24"/>
                <w:shd w:fill="FFFFFF" w:val="clear"/>
                <w:lang w:val="ru-RU" w:eastAsia="x-none" w:bidi="ar-SA"/>
              </w:rPr>
              <w:t xml:space="preserve">15 декабря 2020 года N 902н Об утверждении </w:t>
            </w: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FFFFFF" w:val="clear"/>
                <w:lang w:val="ru-RU" w:eastAsia="x-none" w:bidi="ar-SA"/>
              </w:rPr>
              <w:t>Правил по охране труда при работе в ограниченных и замкнутых пространствах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  <w:shd w:fill="FFFFFF" w:val="clear"/>
              </w:rPr>
            </w:pPr>
            <w:r>
              <w:rPr>
                <w:iCs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работ и охране труда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25" w:hanging="0"/>
              <w:contextualSpacing/>
              <w:jc w:val="both"/>
              <w:rPr>
                <w:color w:val="FF0000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color w:val="FF0000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технические и организационные возможности, комплектность персонала, безопасность производства работ должны соответствовать характеру выполняемых работ.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безопасности выполняемых работ</w:t>
            </w:r>
          </w:p>
        </w:tc>
        <w:tc>
          <w:tcPr>
            <w:tcW w:w="118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283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Субподрядчик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должен 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том числе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 по ремонту компрессоров;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left"/>
              <w:rPr>
                <w:iCs/>
              </w:rPr>
            </w:pPr>
            <w:r>
              <w:rPr>
                <w:rFonts w:cs="Times New Roman"/>
                <w:bCs/>
                <w:iCs/>
                <w:kern w:val="0"/>
                <w:lang w:val="ru-RU" w:eastAsia="ru-RU" w:bidi="ar-SA"/>
              </w:rPr>
              <w:t xml:space="preserve">     </w:t>
            </w:r>
            <w:r>
              <w:rPr>
                <w:rFonts w:cs="Times New Roman"/>
                <w:bCs/>
                <w:iCs/>
                <w:kern w:val="0"/>
                <w:lang w:val="ru-RU" w:eastAsia="ru-RU" w:bidi="ar-SA"/>
              </w:rPr>
              <w:t>Субподрядчик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 xml:space="preserve"> обязан 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 по ремонту компрессоров.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работ</w:t>
            </w:r>
          </w:p>
        </w:tc>
      </w:tr>
      <w:tr>
        <w:trPr>
          <w:trHeight w:val="2236" w:hRule="atLeast"/>
        </w:trPr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работ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Работы выполняются в таком объеме, который позволяет начать эксплуатацию результатов работ без проведения закупочных процедур Генеральным подрядчиком, включающих дополнительные объёмы каких-либо материалов, оборудования и работ, выявленных в процессе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работ по санации внутренней поверхности стальных труб канализационных сетей.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Работы считаются выполненными после приемки объекта из ремонта комиссией филиала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ПАО «РусГидро» - «Саратовская ГЭС» с оформлением отчётной документации со стороны Субподрядчика.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Результат работ</w:t>
            </w:r>
          </w:p>
        </w:tc>
        <w:tc>
          <w:tcPr>
            <w:tcW w:w="118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Произвести Санацию внутренней поверхности стальных труб канализационных сетей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в следующем объеме: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Выполнять дефектацию трубопровода системы канализации с составлением акта о выявленных дефектах.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Прочистить колодцы и трубопровод.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 xml:space="preserve">Выполнить 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санацию внутренней поверхности стальных труб 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методом полимерного чулка.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Выполнить проверку трубопровода на отсутствие возможных дефектов.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color w:val="444444"/>
                <w:sz w:val="24"/>
                <w:szCs w:val="24"/>
              </w:rPr>
            </w:pPr>
            <w:r>
              <w:rPr>
                <w:rFonts w:eastAsia="Times New Roman" w:cs="Times New Roman"/>
                <w:color w:val="444444"/>
                <w:kern w:val="0"/>
                <w:sz w:val="24"/>
                <w:szCs w:val="24"/>
                <w:lang w:val="ru-RU" w:eastAsia="ru-RU" w:bidi="ar-SA"/>
              </w:rPr>
              <w:t>Самотечный трубопровод</w:t>
            </w:r>
          </w:p>
        </w:tc>
        <w:tc>
          <w:tcPr>
            <w:tcW w:w="118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Достаточный - пропуск расходов при скоростях движения транспортируемых сточных вод.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порядку приемки результатов работ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Проведение испытаний</w:t>
            </w:r>
          </w:p>
        </w:tc>
        <w:tc>
          <w:tcPr>
            <w:tcW w:w="11859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Перед передачей Генеральному подрядчику результатов работ субподрядчик должен провести испытания отремонтированного участка канализационного трубопровода. После этого Акт о проведении испытаний оборудования после ремонта должен быть передан Генеральному подрядчику вместе с пакетом документов, указанных в п. 2.4 настоящей таблицы.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61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Представить Генеральному подрядчику с актами выполненных работ и ведомостями выполненных работ исполнительную документацию (журналы ведения работ, сертификаты качества и паспорта на применённые материалы и оборудование, акты входного контроля качества поставляемых материалов);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61" w:hanging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Журнал учета выполненных работ по форме КС-6А.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61" w:hanging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61" w:hanging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справка о фактических трудозатратах на выполненные работы.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73" w:leader="none"/>
              </w:tabs>
              <w:suppressAutoHyphens w:val="true"/>
              <w:spacing w:before="0" w:after="0"/>
              <w:ind w:left="61" w:hanging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60" w:after="0"/>
              <w:ind w:left="61" w:hanging="0"/>
              <w:contextualSpacing/>
              <w:jc w:val="left"/>
              <w:rPr>
                <w:b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Отчётные документы по ремонтам представить на бумажном носителе в 3 экземплярах, на электронном носителе в 1 экземпляре в форматах *.dwg, *.vsd, *.dос, *.хls.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Генеральному подрядчику по результатам выполненных работ</w:t>
            </w:r>
          </w:p>
        </w:tc>
        <w:tc>
          <w:tcPr>
            <w:tcW w:w="118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Субподрядчик обязан одновременно с передачей актов приемки выполненных работ по форме КС-2 передать Генеральному подрядчику Отчет о выполненных работах, включая: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left="310" w:hanging="283"/>
              <w:contextualSpacing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комиссионные акты входного контроля закупаемых субподрядчиком материалов (в произвольной форме) на соответствие продукции требованиям технической документации;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left="310" w:hanging="283"/>
              <w:contextualSpacing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сертификаты, подтверждающие качество и соответствие требованиям конструкторской и нормативно-технической документации материалов (форма завода-изготовителя);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left="310" w:hanging="283"/>
              <w:contextualSpacing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счета-фактуры на материалы, закупаемые субподрядчиком для использования в процессе ремонта;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left="310" w:hanging="283"/>
              <w:contextualSpacing/>
              <w:jc w:val="left"/>
              <w:rPr>
                <w:rFonts w:eastAsia="Times New Roman"/>
                <w:iCs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</w:t>
            </w:r>
            <w:r>
              <w:rPr>
                <w:rFonts w:cs="Times New Roman"/>
                <w:iCs/>
                <w:kern w:val="0"/>
                <w:lang w:val="ru-RU" w:eastAsia="ru-RU" w:bidi="ar-SA"/>
              </w:rPr>
              <w:t>правка о фактических трудозатратах на выполненные работы.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подрядчика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left="310" w:hanging="283"/>
              <w:contextualSpacing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Не менее 1 года с момента подписания Акта приемки выполненных работ.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left="310" w:hanging="283"/>
              <w:contextualSpacing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В случае повреждения оборудования, строительных конструкций в ходе выполнения ремонтных работ Субподрядчик обязуется устранить возникшие повреждения за свой счет в согласованные с Генеральным подрядчиком сроки, но не позднее 15 дней с момента подписания акта приемки в эксплуатацию по окончании ремонтных работ.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left="310" w:hanging="283"/>
              <w:contextualSpacing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Субподрядчик   обязуется   производить   в   течение   гарантийного   периода     эксплуатации устранение всех неисправностей, возникших из-за дефектов ремонта своими силами и за свой счет.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left="310" w:hanging="283"/>
              <w:contextualSpacing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Гарантийный   период   эксплуатации   увеличивается   на   время   простоя оборудования, необходимое на устранение дефекта. Потери от простоя оборудования компенсирует Субподрядчик.</w:t>
            </w:r>
          </w:p>
          <w:p>
            <w:pPr>
              <w:pStyle w:val="ListParagraph"/>
              <w:widowControl w:val="false"/>
              <w:numPr>
                <w:ilvl w:val="0"/>
                <w:numId w:val="17"/>
              </w:numPr>
              <w:suppressAutoHyphens w:val="true"/>
              <w:spacing w:before="0" w:after="0"/>
              <w:ind w:left="310" w:hanging="283"/>
              <w:contextualSpacing/>
              <w:jc w:val="left"/>
              <w:rPr>
                <w:b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Для участия в составлении акта, фиксирующего дефекты, согласования порядка и сроков их устранения Субподрядчик обязан направить своего представителя в течение суток со дня получения письменного извещения Генерального подрядчика.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47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cs="Times New Roman"/>
                <w:kern w:val="0"/>
                <w:sz w:val="20"/>
                <w:szCs w:val="20"/>
                <w:lang w:bidi="ar-SA"/>
              </w:rPr>
            </w:pPr>
            <w:r>
              <w:rPr>
                <w:rFonts w:eastAsia="Times New Roman" w:cs="Times New Roman"/>
                <w:b w:val="false"/>
                <w:iCs/>
                <w:kern w:val="0"/>
                <w:sz w:val="20"/>
                <w:szCs w:val="20"/>
                <w:lang w:val="ru-RU" w:eastAsia="ru-RU" w:bidi="ar-SA"/>
              </w:rPr>
              <w:t>Гарантийный срок на результат работ</w:t>
            </w:r>
          </w:p>
        </w:tc>
        <w:tc>
          <w:tcPr>
            <w:tcW w:w="11859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Гарантийный срок на результат работ должен составлять 12 месяцев с даты подписания Акта о приемке выполненных работ КС-2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42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>Требования к подрядчику (и субподрядчикам) и его обязательствам, влияющим на исполнение договора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Персонал Субподрядчика обеспечивает поддержание чистоты на рабочих местах, своевременную уборку ремонтной площадки и ликвидацию отходов по окончании Работ.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Субподрядчик своевременно предупреждает Генерального подрядчика о необходимости выполнения дополнительных Работ.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Субподрядчик обеспечивает сохранность и возврат Генеральному подрядчику материалов, демонтированного оборудования или его частей (в том числе черных и цветных металлов), выбывших из эксплуатации в результате выполнения Работ, а также выбывших из эксплуатации в результате аварии, повреждения, с внесением соответствующих изменений в перечень Объектов.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Субподрядчик представляет Генеральному подрядчику по его запросу письменный отчет о текущем исполнении своих обязательств.</w:t>
            </w:r>
          </w:p>
        </w:tc>
      </w:tr>
      <w:tr>
        <w:trPr>
          <w:trHeight w:val="1660" w:hRule="atLeast"/>
        </w:trPr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субсубподрядным организациям, привлекаемым к выполнению работ</w:t>
            </w:r>
          </w:p>
        </w:tc>
        <w:tc>
          <w:tcPr>
            <w:tcW w:w="118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случае привлечения к выполнению работ субсубподрядных организаций субподрядчик обязан представить Генеральному подрядчику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</w:tc>
      </w:tr>
    </w:tbl>
    <w:p>
      <w:pPr>
        <w:sectPr>
          <w:headerReference w:type="default" r:id="rId12"/>
          <w:headerReference w:type="first" r:id="rId13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tabs>
          <w:tab w:val="clear" w:pos="0"/>
        </w:tabs>
        <w:ind w:left="4678" w:hanging="4678"/>
        <w:rPr>
          <w:b/>
          <w:caps/>
        </w:rPr>
      </w:pPr>
      <w:bookmarkStart w:id="30" w:name="_Toc54646413"/>
      <w:r>
        <w:rPr>
          <w:b/>
        </w:rPr>
        <w:t>Приложения</w:t>
      </w:r>
      <w:bookmarkEnd w:id="30"/>
    </w:p>
    <w:p>
      <w:pPr>
        <w:pStyle w:val="Normal"/>
        <w:tabs>
          <w:tab w:val="clear" w:pos="720"/>
          <w:tab w:val="left" w:pos="750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tabs>
          <w:tab w:val="clear" w:pos="720"/>
          <w:tab w:val="left" w:pos="750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Приложение № 1 - Ведомость объемов работ № 1  на </w:t>
      </w:r>
      <w:r>
        <w:rPr>
          <w:rFonts w:eastAsia="Calibri"/>
          <w:sz w:val="24"/>
          <w:szCs w:val="24"/>
        </w:rPr>
        <w:t>выполнение работ</w:t>
      </w:r>
      <w:r>
        <w:rPr>
          <w:sz w:val="24"/>
          <w:szCs w:val="24"/>
        </w:rPr>
        <w:t xml:space="preserve"> по </w:t>
      </w:r>
      <w:r>
        <w:rPr>
          <w:rFonts w:eastAsia="Calibri"/>
          <w:sz w:val="24"/>
          <w:szCs w:val="24"/>
        </w:rPr>
        <w:t>санации внутренней поверхности стальных труб канализационных сетей Саратовской ГЭС методом полимерного чулка</w:t>
      </w:r>
      <w:r>
        <w:rPr>
          <w:sz w:val="24"/>
          <w:szCs w:val="24"/>
        </w:rPr>
        <w:t xml:space="preserve">;                                                                                                   </w:t>
      </w:r>
    </w:p>
    <w:p>
      <w:pPr>
        <w:pStyle w:val="Normal"/>
        <w:tabs>
          <w:tab w:val="clear" w:pos="720"/>
          <w:tab w:val="left" w:pos="7500" w:leader="none"/>
        </w:tabs>
        <w:rPr>
          <w:sz w:val="24"/>
          <w:szCs w:val="24"/>
        </w:rPr>
      </w:pPr>
      <w:r>
        <w:rPr>
          <w:sz w:val="24"/>
          <w:szCs w:val="24"/>
        </w:rPr>
        <w:t>Приложение № 2- Требования к оформлению и составлению сметной документации на работы по программе ремонтов.</w:t>
      </w:r>
    </w:p>
    <w:p>
      <w:pPr>
        <w:pStyle w:val="Normal"/>
        <w:widowControl w:val="false"/>
        <w:tabs>
          <w:tab w:val="clear" w:pos="720"/>
          <w:tab w:val="left" w:pos="37" w:leader="none"/>
        </w:tabs>
        <w:ind w:left="57" w:hanging="0"/>
        <w:jc w:val="both"/>
        <w:rPr/>
      </w:pPr>
      <w:r>
        <w:rPr>
          <w:sz w:val="24"/>
          <w:szCs w:val="24"/>
        </w:rPr>
        <w:t>Приложение № 3 -</w:t>
      </w:r>
      <w:r>
        <w:rPr>
          <w:sz w:val="24"/>
          <w:szCs w:val="24"/>
          <w:lang w:eastAsia="zh-CN"/>
        </w:rPr>
        <w:t xml:space="preserve">Приказ ПАО_РусГидро от 28.04.2023 №300_Об утверждении Регламента процесса Допуск подрядных организаций на объекты ПАО РусГидро </w:t>
      </w:r>
      <w:r>
        <w:rPr>
          <w:sz w:val="24"/>
          <w:szCs w:val="24"/>
        </w:rPr>
        <w:t xml:space="preserve"> </w:t>
      </w:r>
    </w:p>
    <w:sectPr>
      <w:headerReference w:type="default" r:id="rId14"/>
      <w:headerReference w:type="first" r:id="rId15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imesNewRomanPSM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PT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15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lang w:val="x-none"/>
      </w:rPr>
    </w:lvl>
    <w:lvl w:ilvl="1">
      <w:start w:val="1"/>
      <w:numFmt w:val="decimal"/>
      <w:lvlText w:val="2.1.1.%2."/>
      <w:lvlJc w:val="left"/>
      <w:pPr>
        <w:tabs>
          <w:tab w:val="num" w:pos="0"/>
        </w:tabs>
        <w:ind w:left="0" w:hanging="0"/>
      </w:pPr>
      <w:rPr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/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  <w:rPr/>
    </w:lvl>
    <w:lvl w:ilvl="2">
      <w:start w:val="1"/>
      <w:numFmt w:val="bullet"/>
      <w:lvlText w:val=""/>
      <w:lvlJc w:val="left"/>
      <w:pPr>
        <w:tabs>
          <w:tab w:val="num" w:pos="0"/>
        </w:tabs>
        <w:ind w:left="108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/>
    </w:lvl>
  </w:abstractNum>
  <w:abstractNum w:abstractNumId="14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2.1.2.%2."/>
      <w:lvlJc w:val="left"/>
      <w:pPr>
        <w:tabs>
          <w:tab w:val="num" w:pos="0"/>
        </w:tabs>
        <w:ind w:left="0" w:hanging="0"/>
      </w:pPr>
      <w:rPr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/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b76e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96c5f"/>
    <w:pPr>
      <w:keepNext w:val="true"/>
      <w:tabs>
        <w:tab w:val="clear" w:pos="720"/>
        <w:tab w:val="left" w:pos="0" w:leader="none"/>
      </w:tabs>
      <w:spacing w:before="120" w:after="60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96c5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Fontstyle01" w:customStyle="1">
    <w:name w:val="fontstyle01"/>
    <w:basedOn w:val="DefaultParagraphFont"/>
    <w:qFormat/>
    <w:rPr>
      <w:rFonts w:ascii="TimesNewRomanPSMT" w:hAnsi="TimesNewRomanPSMT"/>
      <w:b w:val="false"/>
      <w:bCs w:val="false"/>
      <w:i w:val="false"/>
      <w:iCs w:val="false"/>
      <w:color w:val="000000"/>
      <w:sz w:val="26"/>
      <w:szCs w:val="26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2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20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01.06.2000" TargetMode="External"/><Relationship Id="rId6" Type="http://schemas.openxmlformats.org/officeDocument/2006/relationships/hyperlink" Target="01.06.2000" TargetMode="External"/><Relationship Id="rId7" Type="http://schemas.openxmlformats.org/officeDocument/2006/relationships/hyperlink" Target="30.06.2003" TargetMode="External"/><Relationship Id="rId8" Type="http://schemas.openxmlformats.org/officeDocument/2006/relationships/hyperlink" Target="01.01.2021" TargetMode="External"/><Relationship Id="rId9" Type="http://schemas.openxmlformats.org/officeDocument/2006/relationships/hyperlink" Target="01.01.2021" TargetMode="External"/><Relationship Id="rId10" Type="http://schemas.openxmlformats.org/officeDocument/2006/relationships/hyperlink" Target="01.06.2000" TargetMode="External"/><Relationship Id="rId11" Type="http://schemas.openxmlformats.org/officeDocument/2006/relationships/hyperlink" Target="01.09.2021)" TargetMode="External"/><Relationship Id="rId12" Type="http://schemas.openxmlformats.org/officeDocument/2006/relationships/header" Target="header4.xml"/><Relationship Id="rId13" Type="http://schemas.openxmlformats.org/officeDocument/2006/relationships/header" Target="header5.xml"/><Relationship Id="rId14" Type="http://schemas.openxmlformats.org/officeDocument/2006/relationships/header" Target="header6.xml"/><Relationship Id="rId15" Type="http://schemas.openxmlformats.org/officeDocument/2006/relationships/header" Target="header7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<Relationship Id="rId2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9D5DA-8D10-4F8C-94C8-1EF617697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Application>AlterOffice/3.4.0.9$Linux_X86_64 LibreOffice_project/b8daf9e823b1a5463a2f48435ddc2e8696e7d4fc</Application>
  <AppVersion>15.0000</AppVersion>
  <Pages>14</Pages>
  <Words>2940</Words>
  <Characters>20590</Characters>
  <CharactersWithSpaces>23364</CharactersWithSpaces>
  <Paragraphs>256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2023-01-13T12:50:00Z</dcterms:created>
  <dc:creator>Быстров Олег Геннадьевич</dc:creator>
  <dc:description/>
  <dc:language>ru-RU</dc:language>
  <cp:lastModifiedBy>soldatovaan@corp.gidroogk.com</cp:lastModifiedBy>
  <cp:lastPrinted>2023-12-25T07:48:00Z</cp:lastPrinted>
  <dcterms:modified xsi:type="dcterms:W3CDTF">2026-09-29T11:40:33Z</dcterms:modified>
  <cp:revision>62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