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Calibri"/>
        </w:rPr>
      </w:pPr>
      <w:r>
        <w:rPr>
          <w:rFonts w:eastAsia="Calibri"/>
        </w:rPr>
      </w:r>
      <w:bookmarkStart w:id="0" w:name="_Toc50125131"/>
      <w:bookmarkStart w:id="1" w:name="_Toc50125131"/>
      <w:bookmarkEnd w:id="1"/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«УТВЕРЖДАЮ»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Первый заместитель директора-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ab/>
        <w:tab/>
        <w:t>главный инженер филиала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ПАО «РусГидро» - «Загорская ГАЭС»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 В.А. Крымов</w:t>
      </w:r>
    </w:p>
    <w:p>
      <w:pPr>
        <w:pStyle w:val="Normal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«____»____________ 20___ г.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b/>
        </w:rPr>
      </w:pPr>
      <w:bookmarkStart w:id="2" w:name="_Toc147935505"/>
      <w:r>
        <w:rPr>
          <w:b/>
        </w:rPr>
        <w:t>ТЕХНИЧЕСКИЕ ТРЕБОВАНИЯ</w:t>
      </w:r>
      <w:bookmarkEnd w:id="2"/>
    </w:p>
    <w:p>
      <w:pPr>
        <w:pStyle w:val="Normal"/>
        <w:jc w:val="center"/>
        <w:rPr/>
      </w:pPr>
      <w:bookmarkStart w:id="3" w:name="_Toc147935506"/>
      <w:r>
        <w:rPr>
          <w:rFonts w:eastAsia="Calibri"/>
          <w:sz w:val="26"/>
          <w:szCs w:val="26"/>
        </w:rPr>
        <w:t>«</w:t>
      </w:r>
      <w:r>
        <w:rPr/>
        <w:t>ОКПД2 71.20.19.190 Техническое диагностирование и комплексное обследование крановых путей подъемных сооружений Загорской ГАЭС</w:t>
      </w:r>
      <w:r>
        <w:rPr>
          <w:rFonts w:eastAsia="Calibri"/>
          <w:sz w:val="26"/>
          <w:szCs w:val="26"/>
        </w:rPr>
        <w:t>»</w:t>
      </w:r>
      <w:bookmarkEnd w:id="3"/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</w:rPr>
            <w:fldChar w:fldCharType="separate"/>
          </w:r>
          <w:hyperlink w:anchor="_Toc166746721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2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3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4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1.3.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 xml:space="preserve">Цель </w:t>
            </w:r>
            <w:r>
              <w:rPr>
                <w:rStyle w:val="Style15"/>
                <w:lang w:val="en-US"/>
              </w:rPr>
              <w:t>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5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1.4.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674672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 1. Перечень объектов заказчика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6746727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8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объемам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29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Таблица 1 Перечень и объем оказываемых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30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2.3.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31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2.4.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5"/>
              </w:rPr>
              <w:t>Таблица 2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16674673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5"/>
                <w:vanish w:val="false"/>
              </w:rPr>
              <w:t>Таблица 3. Требования к качеству услуг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6746733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3.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6746734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7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66746735">
            <w:r>
              <w:rPr>
                <w:webHidden/>
                <w:rStyle w:val="Style15"/>
                <w:vanish w:val="false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5.</w:t>
            </w:r>
            <w:r>
              <w:rPr>
                <w:rStyle w:val="Style15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5"/>
                <w:lang w:val="en-US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_Toc166746735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vanish w:val="false"/>
              </w:rPr>
              <w:tab/>
              <w:t>18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vanish w:val="false"/>
            </w:rPr>
            <w:fldChar w:fldCharType="end"/>
          </w:r>
        </w:p>
      </w:sdtContent>
    </w:sdt>
    <w:p>
      <w:pPr>
        <w:pStyle w:val="Heading1"/>
        <w:numPr>
          <w:ilvl w:val="0"/>
          <w:numId w:val="0"/>
        </w:numPr>
        <w:ind w:left="5038" w:hanging="0"/>
        <w:rPr/>
      </w:pPr>
      <w:r>
        <w:rPr/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Normal"/>
        <w:rPr>
          <w:rFonts w:eastAsia="Calibri"/>
        </w:rPr>
      </w:pPr>
      <w:r>
        <w:rPr>
          <w:rFonts w:eastAsia="Calibri"/>
        </w:rPr>
      </w:r>
    </w:p>
    <w:p>
      <w:pPr>
        <w:pStyle w:val="Heading1"/>
        <w:numPr>
          <w:ilvl w:val="0"/>
          <w:numId w:val="0"/>
        </w:numPr>
        <w:ind w:left="5038" w:hanging="0"/>
        <w:rPr/>
      </w:pPr>
      <w:r>
        <w:rPr/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0"/>
        </w:numPr>
        <w:ind w:left="0" w:hanging="0"/>
        <w:rPr>
          <w:rFonts w:eastAsia="Times New Roman"/>
        </w:rPr>
      </w:pPr>
      <w:r>
        <w:rPr>
          <w:rFonts w:eastAsia="Times New Roman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1"/>
        <w:numPr>
          <w:ilvl w:val="0"/>
          <w:numId w:val="25"/>
        </w:numPr>
        <w:ind w:left="0" w:hanging="0"/>
        <w:jc w:val="center"/>
        <w:rPr>
          <w:b/>
          <w:caps/>
        </w:rPr>
      </w:pPr>
      <w:bookmarkStart w:id="4" w:name="_Toc51339692"/>
      <w:bookmarkStart w:id="5" w:name="_Toc166746721"/>
      <w:r>
        <w:rPr>
          <w:b/>
        </w:rPr>
        <w:t>Общие сведения</w:t>
      </w:r>
      <w:bookmarkEnd w:id="4"/>
      <w:bookmarkEnd w:id="5"/>
    </w:p>
    <w:p>
      <w:pPr>
        <w:pStyle w:val="Heading4"/>
        <w:numPr>
          <w:ilvl w:val="1"/>
          <w:numId w:val="26"/>
        </w:numPr>
        <w:rPr/>
      </w:pPr>
      <w:bookmarkStart w:id="6" w:name="_Toc46743505"/>
      <w:bookmarkStart w:id="7" w:name="_Toc166746722"/>
      <w:r>
        <w:rPr/>
        <w:t>Обозначения и сокращения</w:t>
      </w:r>
      <w:bookmarkEnd w:id="6"/>
      <w:bookmarkEnd w:id="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i/>
                <w:i/>
              </w:rPr>
            </w:pPr>
            <w:r>
              <w:rPr>
                <w:sz w:val="24"/>
                <w:szCs w:val="24"/>
              </w:rPr>
              <w:t>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гидроаккумулирующая 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межгосударственный стандарт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индивидуальной защиты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подъемные сооружения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27"/>
        </w:numPr>
        <w:rPr/>
      </w:pPr>
      <w:bookmarkStart w:id="8" w:name="_Toc46743506"/>
      <w:bookmarkStart w:id="9" w:name="_Toc166746723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426"/>
        <w:jc w:val="both"/>
        <w:rPr>
          <w:rStyle w:val="Style8"/>
          <w:b w:val="false"/>
          <w:bCs/>
          <w:sz w:val="24"/>
          <w:szCs w:val="24"/>
        </w:rPr>
      </w:pPr>
      <w:r>
        <w:rPr>
          <w:szCs w:val="24"/>
        </w:rPr>
        <w:t>ОКПД2 71.20.19.190 Техническое диагностирование и комплексное обследование крановых путей подъемных сооружений Загорской ГАЭС</w:t>
      </w:r>
      <w:r>
        <w:rPr>
          <w:rFonts w:eastAsia="Calibri"/>
          <w:i/>
          <w:sz w:val="32"/>
          <w:lang w:eastAsia="x-none"/>
        </w:rPr>
        <w:br/>
      </w:r>
    </w:p>
    <w:p>
      <w:pPr>
        <w:pStyle w:val="Heading4"/>
        <w:numPr>
          <w:ilvl w:val="1"/>
          <w:numId w:val="28"/>
        </w:numPr>
        <w:rPr/>
      </w:pPr>
      <w:bookmarkStart w:id="10" w:name="_Toc166746724"/>
      <w:bookmarkStart w:id="11" w:name="_Toc46743507"/>
      <w:r>
        <w:rPr/>
        <w:t xml:space="preserve">Цель </w:t>
      </w:r>
      <w:bookmarkEnd w:id="11"/>
      <w:r>
        <w:rPr>
          <w:lang w:val="en-US"/>
        </w:rPr>
        <w:t>оказания услуг</w:t>
      </w:r>
      <w:bookmarkEnd w:id="10"/>
    </w:p>
    <w:p>
      <w:pPr>
        <w:pStyle w:val="Normal"/>
        <w:ind w:firstLine="426"/>
        <w:jc w:val="both"/>
        <w:rPr>
          <w:szCs w:val="24"/>
        </w:rPr>
      </w:pPr>
      <w:r>
        <w:rPr>
          <w:szCs w:val="24"/>
        </w:rPr>
        <w:t xml:space="preserve">Проведение технического диагностирования и комплексного обследования крановых путей подъемных сооружений с целью соответствия требованиям Порядка организации безопасной эксплуатации подъемных сооружений, не попадающих под действие </w:t>
      </w:r>
      <w:r>
        <w:rPr>
          <w:sz w:val="28"/>
          <w:szCs w:val="28"/>
        </w:rPr>
        <w:t>федеральных</w:t>
      </w:r>
      <w:r>
        <w:rPr>
          <w:szCs w:val="24"/>
        </w:rPr>
        <w:t xml:space="preserve"> норм и правил в области промышленной безопасности «Правила безопасности опасных производственных объектов, на которых используются подъемные сооружения», утвержденных приказом Ростехнадзора от 26.11.2020 № 461 (приказ ПАО «РусГидро» от 22.05.2025 №425), а также определения технического состояния ПС Филиала ПАО «РусГидро» - «Загорская ГАЭС».</w:t>
      </w:r>
    </w:p>
    <w:p>
      <w:pPr>
        <w:pStyle w:val="Normal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29"/>
        </w:numPr>
        <w:rPr/>
      </w:pPr>
      <w:r>
        <w:rPr/>
        <w:t xml:space="preserve"> </w:t>
      </w:r>
      <w:bookmarkStart w:id="12" w:name="_Toc46743508"/>
      <w:bookmarkStart w:id="13" w:name="_Toc166746725"/>
      <w:r>
        <w:rPr/>
        <w:t>Существующее положение</w:t>
      </w:r>
      <w:bookmarkEnd w:id="12"/>
      <w:bookmarkEnd w:id="13"/>
    </w:p>
    <w:p>
      <w:pPr>
        <w:pStyle w:val="Normal"/>
        <w:jc w:val="both"/>
        <w:rPr>
          <w:lang w:eastAsia="x-none"/>
        </w:rPr>
      </w:pPr>
      <w:r>
        <w:rPr>
          <w:lang w:eastAsia="x-none"/>
        </w:rPr>
        <w:tab/>
        <w:t>Информация о ПС и крановых путях — наименование, грузоподъемность, местонахождение и т. д. отражена в Приложении 1 к настоящим ТТ.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Style28"/>
        <w:numPr>
          <w:ilvl w:val="0"/>
          <w:numId w:val="0"/>
        </w:numPr>
        <w:ind w:left="0" w:hanging="0"/>
        <w:jc w:val="left"/>
        <w:outlineLvl w:val="0"/>
        <w:rPr/>
      </w:pPr>
      <w:bookmarkStart w:id="14" w:name="_Hlk48209761_Копия_1"/>
      <w:bookmarkStart w:id="15" w:name="_Toc166746726"/>
      <w:bookmarkStart w:id="16" w:name="_Toc50125126"/>
      <w:bookmarkStart w:id="17" w:name="_Toc46743510"/>
      <w:bookmarkStart w:id="18" w:name="_Toc54643458"/>
      <w:bookmarkEnd w:id="14"/>
      <w:bookmarkEnd w:id="16"/>
      <w:bookmarkEnd w:id="17"/>
      <w:r>
        <w:rPr/>
        <w:t xml:space="preserve">Таблица 1. Перечень объектов </w:t>
      </w:r>
      <w:bookmarkEnd w:id="18"/>
      <w:r>
        <w:rPr/>
        <w:t>заказчика</w:t>
      </w:r>
      <w:bookmarkEnd w:id="15"/>
    </w:p>
    <w:tbl>
      <w:tblPr>
        <w:tblW w:w="976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48"/>
        <w:gridCol w:w="2818"/>
        <w:gridCol w:w="3207"/>
        <w:gridCol w:w="1779"/>
        <w:gridCol w:w="1413"/>
      </w:tblGrid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  <w:t>(место оказания услуг)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0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0"/>
            <w:r>
              <w:commentReference w:id="0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мостовой ручной однобалочный подвесной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ЗГ1150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"/>
            <w:r>
              <w:commentReference w:id="1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ЗГ41053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2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2"/>
            <w:r>
              <w:commentReference w:id="2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ЗГ600486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3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3"/>
            <w:r>
              <w:commentReference w:id="3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Таль электрическая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ЗГ41164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4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4"/>
            <w:r>
              <w:commentReference w:id="4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ЗГ400612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5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5"/>
            <w:r>
              <w:commentReference w:id="5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подвесной электрический однобалочный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мостового ручного однобалочного подвесного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6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6"/>
            <w:r>
              <w:commentReference w:id="6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Кран мостовой ручной однобалочный подвесной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мостового ручного однобалочного подвесного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7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7"/>
            <w:r>
              <w:commentReference w:id="7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мостовой ручной однобалочный подвесной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ЗГ400612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8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8"/>
            <w:r>
              <w:commentReference w:id="8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Таль электрическая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ЗГ41163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9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9"/>
            <w:r>
              <w:commentReference w:id="9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ЗГ41070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0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0"/>
            <w:r>
              <w:commentReference w:id="10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ЗГ200582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1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1"/>
            <w:r>
              <w:commentReference w:id="11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ЗГ200586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2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2"/>
            <w:r>
              <w:commentReference w:id="12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ЗГ100495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3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3"/>
            <w:r>
              <w:commentReference w:id="13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Таль электрическая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ЗГ1609023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4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4"/>
            <w:r>
              <w:commentReference w:id="14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Таль электрическая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ЗГ1601019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5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5"/>
            <w:r>
              <w:commentReference w:id="15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мостовой ручной однобалочный подвесной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ЗГ40153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6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6"/>
            <w:r>
              <w:commentReference w:id="16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ЗГ200555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7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7"/>
            <w:r>
              <w:commentReference w:id="17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Таль электрическая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8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8"/>
            <w:r>
              <w:commentReference w:id="18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мостовой ручной однобалочный подвесной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ЗГ100473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19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19"/>
            <w:r>
              <w:commentReference w:id="19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ЗГ140814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20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20"/>
            <w:r>
              <w:commentReference w:id="20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ЗГ41089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881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uppressAutoHyphens w:val="true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2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3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iCs/>
                <w:sz w:val="24"/>
                <w:szCs w:val="24"/>
                <w:shd w:fill="FFFFFF" w:val="clear"/>
              </w:rPr>
              <w:t>Филиал ПАО «РусГидро»-«Загорская ГАЭС», Российская Федерация, Московская обл.,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г.о. Сергиево-Посадский, </w:t>
            </w:r>
            <w:commentRangeStart w:id="21"/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>пгт</w:t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</w:r>
            <w:commentRangeEnd w:id="21"/>
            <w:r>
              <w:commentReference w:id="21"/>
            </w:r>
            <w:r>
              <w:rPr>
                <w:rStyle w:val="Style8"/>
                <w:b w:val="false"/>
                <w:sz w:val="24"/>
                <w:szCs w:val="24"/>
                <w:shd w:fill="FFFFFF" w:val="clear"/>
              </w:rPr>
              <w:t xml:space="preserve"> Богородское, д.100</w:t>
            </w:r>
          </w:p>
        </w:tc>
        <w:tc>
          <w:tcPr>
            <w:tcW w:w="1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Кран подвесной электрический однобалочный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ЗГ41054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lang w:eastAsia="x-none"/>
        </w:rPr>
      </w:pPr>
      <w:r>
        <w:rPr>
          <w:b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0"/>
        </w:numPr>
        <w:ind w:left="0" w:hanging="0"/>
        <w:jc w:val="center"/>
        <w:rPr>
          <w:b/>
          <w:caps/>
          <w:lang w:val="ru-RU"/>
        </w:rPr>
      </w:pPr>
      <w:bookmarkStart w:id="19" w:name="_Toc51339693"/>
      <w:bookmarkStart w:id="20" w:name="_Toc166746727"/>
      <w:r>
        <w:rPr>
          <w:b/>
        </w:rPr>
        <w:t>Требования к продукции</w:t>
      </w:r>
      <w:bookmarkEnd w:id="19"/>
      <w:bookmarkEnd w:id="20"/>
    </w:p>
    <w:p>
      <w:pPr>
        <w:pStyle w:val="Heading4"/>
        <w:numPr>
          <w:ilvl w:val="1"/>
          <w:numId w:val="31"/>
        </w:numPr>
        <w:rPr/>
      </w:pPr>
      <w:bookmarkStart w:id="21" w:name="_Toc166746728"/>
      <w:r>
        <w:rPr/>
        <w:t>Требования к объемам</w:t>
      </w:r>
      <w:bookmarkEnd w:id="21"/>
      <w:r>
        <w:rPr>
          <w:lang w:val="ru-RU"/>
        </w:rPr>
        <w:t xml:space="preserve"> и срокам оказания услуг</w:t>
      </w:r>
    </w:p>
    <w:p>
      <w:pPr>
        <w:pStyle w:val="Heading4"/>
        <w:numPr>
          <w:ilvl w:val="1"/>
          <w:numId w:val="32"/>
        </w:numPr>
        <w:rPr/>
      </w:pPr>
      <w:bookmarkStart w:id="22" w:name="_Toc51339695"/>
      <w:bookmarkStart w:id="23" w:name="_Toc166746729"/>
      <w:r>
        <w:rPr/>
        <w:t xml:space="preserve">Таблица 1 Перечень </w:t>
      </w:r>
      <w:bookmarkEnd w:id="22"/>
      <w:r>
        <w:rPr/>
        <w:t>и объем оказываемых услуг</w:t>
      </w:r>
      <w:bookmarkEnd w:id="23"/>
    </w:p>
    <w:tbl>
      <w:tblPr>
        <w:tblW w:w="997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1"/>
        <w:gridCol w:w="6139"/>
        <w:gridCol w:w="1519"/>
        <w:gridCol w:w="1475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/>
            </w:pPr>
            <w:r>
              <w:rPr>
                <w:sz w:val="24"/>
              </w:rPr>
              <w:t>Наименование продукции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6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(заводской № Рп3-1096)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commentReference w:id="22"/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5102)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311162)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94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(заводской № 31642)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94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(заводской № 311258)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2067)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мостового ручного однобалочного подвесного (заводской № РП5-746)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(заводской № РП3-1097)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 (заводской № 31658)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(заводской № 308291)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308292)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340Л)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94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311339)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 (заводской № 96)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 (заводской № 4867)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(заводской № Рп1-964)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 (заводской № 259)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 (заводской № 3252)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(заводской № Рп3,2-748)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91)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307302)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  <w:tr>
        <w:trPr/>
        <w:tc>
          <w:tcPr>
            <w:tcW w:w="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61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(заводской № 311244) в объеме: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технического состояния металлоконструкций;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механического 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канатно-блочной системы;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гидро- и пневмооборудования;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электрооборудования;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приборов безопасности;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обследование состояния крановых путей и тупиковых упоров;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геодезических замеров конструкции;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расчет фактического режима работы ГПМ;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приборного контроля металлоконструкций и сварных соединений методами неразрушающего контроля;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563" w:leader="none"/>
              </w:tabs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проведение испытаний.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-5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и комплексное обследование кранового пути: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проверка наличия и состояния эксплуатационной документации;</w:t>
            </w:r>
          </w:p>
          <w:p>
            <w:pPr>
              <w:pStyle w:val="Style35"/>
              <w:widowControl w:val="false"/>
              <w:suppressLineNumbers/>
              <w:tabs>
                <w:tab w:val="clear" w:pos="708"/>
                <w:tab w:val="left" w:pos="700" w:leader="none"/>
              </w:tabs>
              <w:suppressAutoHyphens w:val="true"/>
              <w:bidi w:val="0"/>
              <w:spacing w:before="0" w:after="0"/>
              <w:ind w:left="737" w:right="0" w:hanging="0"/>
              <w:jc w:val="both"/>
              <w:rPr/>
            </w:pPr>
            <w:r>
              <w:rPr>
                <w:color w:val="000000"/>
                <w:sz w:val="24"/>
                <w:szCs w:val="24"/>
              </w:rPr>
              <w:t>- поэлементное обследование крановых путей, включающее оценку фактического состояния (в соответствии с РД 10-138-97;</w:t>
            </w:r>
          </w:p>
          <w:p>
            <w:pPr>
              <w:pStyle w:val="Style35"/>
              <w:widowControl w:val="false"/>
              <w:suppressLineNumbers/>
              <w:suppressAutoHyphens w:val="true"/>
              <w:bidi w:val="0"/>
              <w:spacing w:before="0" w:after="0"/>
              <w:ind w:left="737" w:right="0" w:hanging="0"/>
              <w:jc w:val="left"/>
              <w:rPr/>
            </w:pPr>
            <w:r>
              <w:rPr>
                <w:color w:val="000000"/>
                <w:sz w:val="24"/>
                <w:szCs w:val="24"/>
              </w:rPr>
              <w:t>- проверка организации эксплуатации (проверка организации наблюдений за техническим состоянием и выполнение технического обслуживания) крановых путей.</w:t>
            </w:r>
          </w:p>
        </w:tc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условная единица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hd w:fill="FFFF99" w:val="clear"/>
        </w:rPr>
      </w:pPr>
      <w:r>
        <w:rPr>
          <w:bCs/>
          <w:i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hd w:fill="FFFF99" w:val="clear"/>
        </w:rPr>
      </w:pPr>
      <w:r>
        <w:rPr>
          <w:bCs/>
          <w:i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hd w:fill="FFFF99" w:val="clear"/>
        </w:rPr>
      </w:pPr>
      <w:r>
        <w:rPr>
          <w:bCs/>
          <w:i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shd w:fill="FFFF99" w:val="clear"/>
        </w:rPr>
      </w:pPr>
      <w:r>
        <w:rPr>
          <w:bCs/>
          <w:i/>
          <w:shd w:fill="FFFF99" w:val="clear"/>
        </w:rPr>
      </w:r>
    </w:p>
    <w:p>
      <w:pPr>
        <w:pStyle w:val="Heading4"/>
        <w:numPr>
          <w:ilvl w:val="1"/>
          <w:numId w:val="33"/>
        </w:numPr>
        <w:rPr/>
      </w:pPr>
      <w:bookmarkStart w:id="24" w:name="_Toc48062868"/>
      <w:bookmarkStart w:id="25" w:name="_Toc54643465"/>
      <w:bookmarkStart w:id="26" w:name="_Toc166746730"/>
      <w:bookmarkStart w:id="27" w:name="_Toc51339696"/>
      <w:bookmarkEnd w:id="27"/>
      <w:r>
        <w:rPr/>
        <w:t xml:space="preserve">Требования к срокам </w:t>
      </w:r>
      <w:bookmarkEnd w:id="24"/>
      <w:r>
        <w:rPr/>
        <w:t>оказания услуг</w:t>
      </w:r>
      <w:bookmarkEnd w:id="25"/>
      <w:bookmarkEnd w:id="26"/>
    </w:p>
    <w:p>
      <w:pPr>
        <w:pStyle w:val="Heading4"/>
        <w:numPr>
          <w:ilvl w:val="0"/>
          <w:numId w:val="0"/>
        </w:numPr>
        <w:ind w:left="432" w:hanging="0"/>
        <w:rPr/>
      </w:pPr>
      <w:bookmarkStart w:id="28" w:name="_Toc166746731"/>
      <w:bookmarkStart w:id="29" w:name="_Toc50125127"/>
      <w:bookmarkStart w:id="30" w:name="_Toc51339697"/>
      <w:bookmarkStart w:id="31" w:name="_Toc50125126_Копия_1"/>
      <w:bookmarkStart w:id="32" w:name="_Toc51339696_Копия_1"/>
      <w:bookmarkEnd w:id="31"/>
      <w:bookmarkEnd w:id="32"/>
      <w:r>
        <w:rPr/>
        <w:t xml:space="preserve">Таблица 2 </w:t>
      </w:r>
      <w:bookmarkStart w:id="33" w:name="_Hlk50465284"/>
      <w:r>
        <w:rPr/>
        <w:t xml:space="preserve">Требования к срокам </w:t>
      </w:r>
      <w:bookmarkEnd w:id="29"/>
      <w:bookmarkEnd w:id="30"/>
      <w:bookmarkEnd w:id="33"/>
      <w:r>
        <w:rPr/>
        <w:t>оказания услуг</w:t>
      </w:r>
      <w:bookmarkEnd w:id="28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34" w:name="_Toc46743510_Копия_1"/>
      <w:bookmarkStart w:id="35" w:name="_Toc46743510_Копия_1"/>
      <w:bookmarkEnd w:id="35"/>
    </w:p>
    <w:tbl>
      <w:tblPr>
        <w:tblW w:w="10831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83"/>
        <w:gridCol w:w="4958"/>
        <w:gridCol w:w="1981"/>
        <w:gridCol w:w="1991"/>
        <w:gridCol w:w="1418"/>
      </w:tblGrid>
      <w:tr>
        <w:trPr>
          <w:trHeight w:val="522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-57" w:right="-57" w:hanging="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</w:rPr>
            </w:pPr>
            <w:r>
              <w:rPr/>
              <w:t>Наименование услуг/ этапа услуг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</w:rPr>
            </w:pPr>
            <w:r>
              <w:rPr>
                <w:sz w:val="24"/>
              </w:rPr>
              <w:t>Требования к началу срока оказания услуг/этапа услуг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</w:rPr>
            </w:pPr>
            <w:r>
              <w:rPr>
                <w:sz w:val="24"/>
              </w:rPr>
              <w:t>Требования к окончанию срока выполнения услуг/этапа услуг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7" w:right="-57" w:hanging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Примечание</w:t>
            </w:r>
          </w:p>
        </w:tc>
      </w:tr>
      <w:tr>
        <w:trPr>
          <w:trHeight w:val="104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ind w:left="0" w:hanging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1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30.09.2027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мостового ручного однобалочного подвесного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мостового ручного однобалочного подвесного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тали электрической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мостового ручного однобалочного подвесного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7" w:hRule="atLeast"/>
        </w:trPr>
        <w:tc>
          <w:tcPr>
            <w:tcW w:w="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Indent"/>
              <w:widowControl w:val="false"/>
              <w:numPr>
                <w:ilvl w:val="0"/>
                <w:numId w:val="9"/>
              </w:numPr>
              <w:ind w:left="0" w:hanging="0"/>
              <w:jc w:val="center"/>
              <w:rPr/>
            </w:pPr>
            <w:r>
              <w:rPr/>
            </w:r>
          </w:p>
        </w:tc>
        <w:tc>
          <w:tcPr>
            <w:tcW w:w="4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5"/>
              <w:widowControl w:val="false"/>
              <w:jc w:val="both"/>
              <w:rPr/>
            </w:pPr>
            <w:r>
              <w:rPr>
                <w:color w:val="000000"/>
                <w:sz w:val="24"/>
                <w:szCs w:val="24"/>
              </w:rPr>
              <w:t>Техническое диагностирование крана подвесного электрического однобалочного и комплексное обследование кранового пути</w:t>
            </w:r>
          </w:p>
        </w:tc>
        <w:tc>
          <w:tcPr>
            <w:tcW w:w="19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start="1" w:fmt="decimal"/>
          <w:formProt w:val="false"/>
          <w:titlePg/>
          <w:textDirection w:val="lrTb"/>
          <w:docGrid w:type="default" w:linePitch="381" w:charSpace="0"/>
        </w:sectPr>
        <w:pStyle w:val="Normal"/>
        <w:rPr>
          <w:rFonts w:eastAsia="Calibri"/>
          <w:lang w:eastAsia="x-none"/>
        </w:rPr>
      </w:pPr>
      <w:r>
        <w:rPr>
          <w:bCs/>
          <w:sz w:val="24"/>
          <w:szCs w:val="24"/>
        </w:rPr>
        <w:t>Срок оказания услуг: с даты заключения договора по 30.09.2027г.</w:t>
      </w:r>
    </w:p>
    <w:p>
      <w:pPr>
        <w:pStyle w:val="Heading3"/>
        <w:rPr/>
      </w:pPr>
      <w:bookmarkStart w:id="36" w:name="_Toc54643468"/>
      <w:bookmarkStart w:id="37" w:name="_Toc166746732"/>
      <w:bookmarkStart w:id="38" w:name="_Toc50125131_Копия_1"/>
      <w:bookmarkEnd w:id="38"/>
      <w:r>
        <w:rPr/>
        <w:t>Таблица 3. Требования к качеству услуг</w:t>
      </w:r>
      <w:bookmarkEnd w:id="36"/>
      <w:bookmarkEnd w:id="37"/>
      <w:r>
        <w:rPr/>
        <w:t xml:space="preserve"> </w:t>
      </w:r>
    </w:p>
    <w:p>
      <w:pPr>
        <w:pStyle w:val="Normal"/>
        <w:spacing w:before="0" w:after="120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услуг:</w:t>
      </w:r>
      <w:r>
        <w:rPr>
          <w:sz w:val="24"/>
          <w:szCs w:val="24"/>
        </w:rPr>
        <w:t xml:space="preserve"> </w:t>
      </w:r>
      <w:r>
        <w:rPr>
          <w:b w:val="false"/>
          <w:bCs w:val="false"/>
          <w:i w:val="false"/>
          <w:iCs w:val="false"/>
          <w:sz w:val="24"/>
          <w:szCs w:val="24"/>
        </w:rPr>
        <w:t>Техническое диагностирование и комплексное обследование крановых путей подъемных сооружений Загорской ГАЭС</w:t>
      </w:r>
    </w:p>
    <w:tbl>
      <w:tblPr>
        <w:tblStyle w:val="af"/>
        <w:tblW w:w="150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1"/>
        <w:gridCol w:w="2995"/>
        <w:gridCol w:w="3957"/>
        <w:gridCol w:w="2477"/>
        <w:gridCol w:w="2780"/>
        <w:gridCol w:w="2133"/>
      </w:tblGrid>
      <w:tr>
        <w:trPr/>
        <w:tc>
          <w:tcPr>
            <w:tcW w:w="69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995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957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257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33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9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5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957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78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33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995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95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47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780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3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iCs/>
                <w:lang w:val="ru-RU" w:eastAsia="ru-RU"/>
              </w:rPr>
            </w:pPr>
            <w:r>
              <w:rPr>
                <w:rFonts w:eastAsia="Times New Roman" w:cs="Times New Roman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Приказ Ростехнадзора от 26.11.2020 N 461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Методические указаниями по обследованию предприятий (владельцев), эксплуатирующих подъемные сооружения РД 10-89-95;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Рекомендации по экспертному обследованию грузоподъемных машин. Общие положения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РД 10-112-1-04</w:t>
            </w:r>
            <w:bookmarkStart w:id="39" w:name="_GoBack"/>
            <w:bookmarkEnd w:id="39"/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commentRangeStart w:id="23"/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Правила по охране труда при работе в ограниченных и замкнутых пространствах (Приказ Министерства труда и социальной защиты РФ от 15 декабря 2020 г. № 902н);</w:t>
            </w:r>
            <w:commentRangeEnd w:id="23"/>
            <w:r>
              <w:commentReference w:id="23"/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- Правила по охране труда при эксплуатации электроустановок (Приказ Министерства труда и социальной защиты РФ от 15 декабря 2020 г. № 903н);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 xml:space="preserve">• </w:t>
            </w:r>
            <w:hyperlink r:id="rId5">
              <w:r>
                <w:rPr>
                  <w:sz w:val="24"/>
                  <w:szCs w:val="24"/>
                </w:rPr>
                <w:t>СП 16.13330.2017 «Стальные конструкции»;</w:t>
              </w:r>
            </w:hyperlink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 xml:space="preserve">• </w:t>
            </w:r>
            <w:hyperlink r:id="rId6">
              <w:r>
                <w:rPr>
                  <w:sz w:val="24"/>
                  <w:szCs w:val="24"/>
                </w:rPr>
                <w:t>СП 20.13330.2016 «Нагрузки и воздействия»</w:t>
              </w:r>
            </w:hyperlink>
            <w:r>
              <w:rPr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jc w:val="left"/>
              <w:rPr/>
            </w:pPr>
            <w:r>
              <w:rPr>
                <w:sz w:val="24"/>
                <w:szCs w:val="24"/>
              </w:rPr>
              <w:t xml:space="preserve">• </w:t>
            </w:r>
            <w:hyperlink r:id="rId7">
              <w:r>
                <w:rPr>
                  <w:sz w:val="24"/>
                  <w:szCs w:val="24"/>
                </w:rPr>
                <w:t>ЭРД-22-02-99 «Руководство по оценке технического состояния стальных подкрановых конструкций»</w:t>
              </w:r>
            </w:hyperlink>
          </w:p>
          <w:p>
            <w:pPr>
              <w:pStyle w:val="Normal"/>
              <w:widowControl w:val="false"/>
              <w:jc w:val="left"/>
              <w:rPr>
                <w:rStyle w:val="Hyperlink"/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 xml:space="preserve">• </w:t>
            </w: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ГОСТ Р 72193-2025 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Организационно -технические мероприятия по допуску персонала исполнителя</w:t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Допуск персонала исполнителя для оказания услуг должен осуществляться в соответствии с регламентом процесса «Допуск персонала подрядных организаций на объекты ПАО «РусГидро» (Приложение 2) с обязательным оформлением необходимых нарядов-допусков согласно ГОСТ Р 72193-2025.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60"/>
              <w:ind w:left="0" w:hanging="0"/>
              <w:contextualSpacing/>
              <w:jc w:val="both"/>
              <w:rPr>
                <w:iCs/>
              </w:rPr>
            </w:pPr>
            <w:r>
              <w:rPr>
                <w:rFonts w:eastAsia="Times New Roman" w:cs="Times New Roman"/>
                <w:iCs/>
                <w:kern w:val="0"/>
                <w:lang w:val="ru-RU" w:eastAsia="ru-RU" w:bidi="ar-SA"/>
              </w:rPr>
              <w:t>При пересылке файлов не допускается использование открытых файлообменных сервисов.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  <w:bookmarkStart w:id="40" w:name="_Ref54012570"/>
            <w:bookmarkStart w:id="41" w:name="_Ref54012570"/>
            <w:bookmarkEnd w:id="41"/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инструментам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ind w:left="174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rFonts w:cs="Times New Roman"/>
                <w:b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используемому оборудованию</w:t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Наличие необходимых технических средств, оборудования и инструментов для проведения ЭПБ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толщиномер ультразвуковой, дефектоскоп ультразвуковой, постоянный магнит, твердомер, дальномер, комплект для визуально-измерительного контроля, магнитометр.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4"/>
                <w:szCs w:val="24"/>
                <w:lang w:val="ru-RU" w:eastAsia="ru-RU" w:bidi="ar-SA"/>
              </w:rPr>
              <w:t>Наличие на праве собственности или на ином законном основании зарегистрированной в органах Ростехнадзора электролаборатории.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Квалификация персонала исполнителя, привлекаемого к оказанию услуг</w:t>
            </w:r>
          </w:p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i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 квалификации персонала: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эксперт в области промышленной безопасности Э14.4 ТУ (аттестованного на визуально-измерительный контроль) и имеющий действующее квалификационное удостоверение на период выполнения работ – не менее 1 человека.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персонала, имеющего выполнять работы на высоте с наличием групп на высоте: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не менее 1 чел с 3 группой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 не менее 1 чел с 2 группой и 1 чел с 1 группой.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072" w:hanging="1199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Аккредитация исполнителя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лицензии Федеральной службы по экологическому, технологическому и атомному надзору на право осуществления деятельности по проведению экспертизы промышленной безопасности технических устройств, применяемых на опасных производственных объектах.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Представить копию лицензии на осуществлении деятельности по проведению экспертизы промышленной безопасности технических устройств, применяемых на опасных производственных объектах.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0" w:hanging="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color w:val="000000" w:themeColor="text1"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318" w:leader="none"/>
              </w:tabs>
              <w:suppressAutoHyphens w:val="true"/>
              <w:spacing w:before="0" w:after="0"/>
              <w:ind w:left="33" w:right="-2" w:hanging="0"/>
              <w:contextualSpacing w:val="false"/>
              <w:jc w:val="both"/>
              <w:rPr>
                <w:iCs/>
              </w:rPr>
            </w:pPr>
            <w:r>
              <w:rPr>
                <w:rFonts w:cs="Times New Roman"/>
                <w:iCs/>
                <w:kern w:val="0"/>
                <w:lang w:val="ru-RU" w:eastAsia="ru-RU" w:bidi="ar-SA"/>
              </w:rPr>
              <w:t>Персонал подрядной организации, при производстве работ на филиале ПАО «РусГидро» - «Загорская ГАЭС» обязан применять сертифицированную специальную одежду, специальную обувь и другие средства индивидуальной защиты, соответствующие характеру выполняемой работы.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техники безопасности при проведении работ – технические и организационные возможности, комплектность персонала, безопасность производства работ должны соответствовать характеру выполняемых работ.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33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Допуск персонала Исполнителя для оказания услуг осуществляется в соответствии с </w:t>
            </w:r>
            <w:r>
              <w:rPr>
                <w:rStyle w:val="Hyperlink"/>
                <w:rFonts w:eastAsia="Times New Roman" w:cs="Times New Roman"/>
                <w:color w:val="auto"/>
                <w:kern w:val="0"/>
                <w:sz w:val="24"/>
                <w:szCs w:val="24"/>
                <w:u w:val="none"/>
                <w:lang w:val="ru-RU" w:eastAsia="ru-RU" w:bidi="ar-SA"/>
              </w:rPr>
              <w:t>ГОСТ Р 72193-2025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равил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ами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по охране труда при работе на высоте с обязательным оформлением необходимых нарядов-допусков и распоряжений.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suppressAutoHyphens w:val="true"/>
              <w:spacing w:before="0" w:after="0"/>
              <w:ind w:left="33" w:hanging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Подготовку рабочих мест и допуск выполняет персонал Заказчика. Разработку ППР и установку средств подмащивания для проведения работ на высоте осуществляет персонал Исполнителя.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осуществляет согласование со Службой эксплуатации Заказчика мест подключения временных коммуникаций (технические условия на подключения выдаются после получения от Подрядчика официального запроса с указанием потребных ресурсов в количественных и качественных показателях).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196" w:hanging="1196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Результат оказания услуг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Заключение по результатам технического диагностирования на каждый ПС и крановый путь с оценкой о возможности дальнейшей эксплуатации данного оборудования.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6952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691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196" w:hanging="1196"/>
              <w:contextualSpacing/>
              <w:jc w:val="center"/>
              <w:rPr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99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3957" w:type="dxa"/>
            <w:tcBorders/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28" w:hanging="2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>1.</w:t>
              <w:tab/>
              <w:t xml:space="preserve">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Акт/Заключение (с приложением технического отчета, включающего определение остаточного ресурса (срока службы) с отражением в выводах отчета установленного срока дальнейшей безопасной эксплуатации ПС, с указанием условий дальнейшей безопасной эксплуатации) в письменной форме, которое подписывается руководителем организации, проводившей техническое диагностирование, и экспертом (экспертами), участвовавшим (участвовавшими) </w:t>
              <w:br/>
              <w:t>в проведении технического диагностирования</w:t>
            </w: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на бумажном носителе в количестве не менее </w:t>
            </w:r>
            <w:commentRangeStart w:id="24"/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>2 (двух)</w:t>
            </w: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</w:r>
            <w:commentRangeEnd w:id="24"/>
            <w:r>
              <w:commentReference w:id="24"/>
            </w: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экземпляров и в сканированном виде в формате PDF на CD или DVD-носителе.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28" w:hanging="2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>2. Предоставляемая документация должна содержать информацию о результатах проведенных обследований с заключением о техническом состоянии ПС и крановых путей и рекомендациями о возможности и условиях их дальнейшей эксплуатации на определенный период или (и) рекомендации по их ремонту, реконструкции или замене. Все имеющиеся повреждения должны быть представлены в виде дефектных ведомостей и фотоиллюстраций.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28" w:hanging="28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iCs/>
                <w:kern w:val="0"/>
                <w:sz w:val="24"/>
                <w:szCs w:val="24"/>
                <w:lang w:val="ru-RU" w:eastAsia="ru-RU" w:bidi="ar-SA"/>
              </w:rPr>
              <w:t>3. Запись в паспорте ПС о проведенных работах.</w:t>
            </w:r>
          </w:p>
        </w:tc>
        <w:tc>
          <w:tcPr>
            <w:tcW w:w="247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7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13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</w:tbl>
    <w:p>
      <w:pPr>
        <w:sectPr>
          <w:headerReference w:type="even" r:id="rId8"/>
          <w:headerReference w:type="default" r:id="rId9"/>
          <w:headerReference w:type="first" r:id="rId10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tabs>
          <w:tab w:val="clear" w:pos="708"/>
          <w:tab w:val="left" w:pos="676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4"/>
        </w:numPr>
        <w:ind w:left="284" w:hanging="0"/>
        <w:jc w:val="center"/>
        <w:rPr>
          <w:sz w:val="28"/>
          <w:szCs w:val="28"/>
        </w:rPr>
      </w:pPr>
      <w:bookmarkStart w:id="42" w:name="_Toc46743519"/>
      <w:bookmarkStart w:id="43" w:name="_Toc53393312"/>
      <w:bookmarkStart w:id="44" w:name="_Toc51339699"/>
      <w:bookmarkStart w:id="45" w:name="_Toc166746733"/>
      <w:bookmarkEnd w:id="42"/>
      <w:bookmarkEnd w:id="44"/>
      <w:r>
        <w:rPr>
          <w:b/>
          <w:sz w:val="28"/>
          <w:szCs w:val="28"/>
        </w:rPr>
        <w:t>Требования к документации по ценообразованию</w:t>
      </w:r>
      <w:bookmarkEnd w:id="43"/>
      <w:r>
        <w:rPr>
          <w:b/>
          <w:sz w:val="28"/>
          <w:szCs w:val="28"/>
        </w:rPr>
        <w:t xml:space="preserve"> на этапе закупки</w:t>
      </w:r>
      <w:bookmarkEnd w:id="4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b w:val="false"/>
          <w:bCs/>
          <w:iCs/>
          <w:sz w:val="28"/>
          <w:szCs w:val="28"/>
        </w:rPr>
      </w:pPr>
      <w:r>
        <w:rPr>
          <w:b w:val="false"/>
          <w:bCs/>
          <w:iCs/>
          <w:sz w:val="28"/>
          <w:szCs w:val="28"/>
        </w:rPr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46" w:name="_Hlk88325985"/>
      <w:r>
        <w:rPr>
          <w:iCs/>
          <w:sz w:val="28"/>
          <w:szCs w:val="28"/>
        </w:rPr>
        <w:t>(с учетом прилагаемой к ней инструкции по заполнению)</w:t>
      </w:r>
      <w:bookmarkEnd w:id="46"/>
      <w:r>
        <w:rPr>
          <w:iCs/>
          <w:sz w:val="28"/>
          <w:szCs w:val="28"/>
        </w:rPr>
        <w:t>, приведенной в Документации о закупке.</w:t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sz w:val="28"/>
          <w:szCs w:val="28"/>
        </w:rPr>
      </w:pPr>
      <w:bookmarkStart w:id="47" w:name="_Hlk88327292"/>
      <w:r>
        <w:rPr>
          <w:iCs/>
          <w:sz w:val="28"/>
          <w:szCs w:val="28"/>
        </w:rPr>
        <w:t>Дополнительные документы по ценообразованию</w:t>
      </w:r>
      <w:bookmarkEnd w:id="47"/>
      <w:r>
        <w:rPr>
          <w:iCs/>
          <w:sz w:val="28"/>
          <w:szCs w:val="28"/>
        </w:rPr>
        <w:t xml:space="preserve"> в состав заявки не включаются.</w:t>
      </w:r>
    </w:p>
    <w:p>
      <w:pPr>
        <w:pStyle w:val="Normal"/>
        <w:spacing w:before="0" w:after="120"/>
        <w:ind w:left="1140" w:hanging="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p>
      <w:pPr>
        <w:pStyle w:val="Heading1"/>
        <w:numPr>
          <w:ilvl w:val="0"/>
          <w:numId w:val="35"/>
        </w:numPr>
        <w:spacing w:before="120" w:after="120"/>
        <w:ind w:left="1140" w:hanging="0"/>
        <w:jc w:val="both"/>
        <w:rPr>
          <w:sz w:val="28"/>
          <w:szCs w:val="28"/>
        </w:rPr>
      </w:pPr>
      <w:bookmarkStart w:id="48" w:name="_Toc166746734"/>
      <w:r>
        <w:rPr>
          <w:b/>
          <w:sz w:val="28"/>
          <w:szCs w:val="28"/>
        </w:rPr>
        <w:t>Т</w:t>
      </w:r>
      <w:r>
        <w:rPr>
          <w:b/>
          <w:bCs/>
          <w:sz w:val="28"/>
          <w:szCs w:val="28"/>
          <w:lang w:val="ru-RU"/>
        </w:rPr>
        <w:t>ребования к документации по ценообразованию на этапе заключения (исполнения) договора</w:t>
      </w:r>
      <w:bookmarkEnd w:id="48"/>
    </w:p>
    <w:p>
      <w:pPr>
        <w:pStyle w:val="ListParagraph"/>
        <w:numPr>
          <w:ilvl w:val="0"/>
          <w:numId w:val="8"/>
        </w:numPr>
        <w:spacing w:before="0" w:after="120"/>
        <w:contextualSpacing w:val="false"/>
        <w:jc w:val="both"/>
        <w:rPr>
          <w:rFonts w:eastAsia="Times New Roman"/>
          <w:iCs/>
          <w:vanish/>
          <w:sz w:val="28"/>
          <w:szCs w:val="28"/>
        </w:rPr>
      </w:pPr>
      <w:r>
        <w:rPr>
          <w:rFonts w:eastAsia="Times New Roman"/>
          <w:iCs/>
          <w:vanish/>
          <w:sz w:val="28"/>
          <w:szCs w:val="28"/>
        </w:rPr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Сметная документация разрабатывается на этапе исполнения Договора в соответствии с требованиями, указанными в Приложении № 3 к Техническим требованиям.</w:t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Если стоимость, будет выше предельной стоимости, установленной КП победителя, то к предельной стоимости НИР применяется понижающий коэффициент (показатель ПК должен содержать не более семи знаков после запятой).</w:t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 случае если стоимость, будет ниже стоимости, указанной в Коммерческом предложении, взаиморасчеты будут осуществляться по данной смете без увеличения стоимости, до указанной в коммерческом предложении.</w:t>
      </w:r>
    </w:p>
    <w:p>
      <w:pPr>
        <w:pStyle w:val="Heading1"/>
        <w:numPr>
          <w:ilvl w:val="0"/>
          <w:numId w:val="0"/>
        </w:numPr>
        <w:spacing w:before="120" w:after="120"/>
        <w:ind w:left="1140" w:hanging="0"/>
        <w:jc w:val="both"/>
        <w:rPr>
          <w:iCs/>
          <w:sz w:val="24"/>
          <w:szCs w:val="24"/>
          <w:lang w:val="ru-RU"/>
        </w:rPr>
      </w:pPr>
      <w:r>
        <w:rPr>
          <w:iCs/>
          <w:sz w:val="24"/>
          <w:szCs w:val="24"/>
          <w:lang w:val="ru-RU"/>
        </w:rPr>
      </w:r>
    </w:p>
    <w:p>
      <w:pPr>
        <w:pStyle w:val="Heading1"/>
        <w:numPr>
          <w:ilvl w:val="0"/>
          <w:numId w:val="36"/>
        </w:numPr>
        <w:rPr>
          <w:b/>
        </w:rPr>
      </w:pPr>
      <w:bookmarkStart w:id="49" w:name="_Toc166746735"/>
      <w:r>
        <w:rPr>
          <w:b/>
          <w:lang w:val="en-US"/>
        </w:rPr>
        <w:t>Приложения</w:t>
      </w:r>
      <w:bookmarkEnd w:id="49"/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/>
      </w:pPr>
      <w:r>
        <w:rPr>
          <w:lang w:eastAsia="x-none"/>
        </w:rPr>
        <w:t>Приложение № 1: Существующее положение;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/>
      </w:pPr>
      <w:r>
        <w:rPr>
          <w:lang w:eastAsia="x-none"/>
        </w:rPr>
        <w:t>Приложение № 2: Методика допуска персонала подрядных организаций к выполнению работ на объектах Общества;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/>
      </w:pPr>
      <w:r>
        <w:rPr>
          <w:lang w:eastAsia="x-none"/>
        </w:rPr>
        <w:t>Приложение № 3: Требования к оформлению и составлению документации по ценообразованию.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850"/>
        <w:jc w:val="both"/>
        <w:rPr>
          <w:rStyle w:val="Hyperlink"/>
        </w:rPr>
      </w:pPr>
      <w:hyperlink r:id="rId11">
        <w:r>
          <w:rPr/>
        </w:r>
      </w:hyperlink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</w:r>
    </w:p>
    <w:p>
      <w:pPr>
        <w:pStyle w:val="BodyText"/>
        <w:spacing w:before="0" w:after="0"/>
        <w:ind w:left="426" w:firstLine="425"/>
        <w:rPr>
          <w:b/>
        </w:rPr>
      </w:pPr>
      <w:r>
        <w:rPr>
          <w:b/>
        </w:rPr>
        <w:t>Согласовано:</w:t>
      </w:r>
    </w:p>
    <w:p>
      <w:pPr>
        <w:pStyle w:val="BodyText"/>
        <w:spacing w:before="0" w:after="0"/>
        <w:ind w:firstLine="425"/>
        <w:rPr>
          <w:b/>
          <w:bCs/>
        </w:rPr>
      </w:pPr>
      <w:r>
        <w:rPr>
          <w:b/>
          <w:bCs/>
        </w:rPr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Зам. главного инженера по технической части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  </w:t>
      </w:r>
    </w:p>
    <w:p>
      <w:pPr>
        <w:pStyle w:val="Normal"/>
        <w:ind w:firstLine="425"/>
        <w:rPr>
          <w:b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Черномор А.Г.</w:t>
      </w:r>
      <w:r>
        <w:rPr>
          <w:b/>
        </w:rPr>
        <w:t xml:space="preserve"> 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/>
      </w:pPr>
      <w:r>
        <w:rPr/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Зам. главного инженера по эксплуатации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  </w:t>
      </w:r>
    </w:p>
    <w:p>
      <w:pPr>
        <w:pStyle w:val="Normal"/>
        <w:ind w:firstLine="425"/>
        <w:rPr>
          <w:b/>
        </w:rPr>
      </w:pPr>
      <w:r>
        <w:rPr>
          <w:b/>
        </w:rPr>
        <w:t xml:space="preserve">________________ </w:t>
      </w:r>
      <w:r>
        <w:rPr/>
        <w:t>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Литвиченко Д.А.</w:t>
      </w:r>
      <w:r>
        <w:rPr>
          <w:b/>
        </w:rPr>
        <w:t xml:space="preserve"> 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>
          <w:b/>
        </w:rPr>
      </w:pPr>
      <w:r>
        <w:rPr>
          <w:b/>
        </w:rPr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Начальник СПСРТПиР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Егоров Д. Н./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</w:t>
      </w:r>
    </w:p>
    <w:p>
      <w:pPr>
        <w:pStyle w:val="Normal"/>
        <w:ind w:firstLine="425"/>
        <w:rPr/>
      </w:pPr>
      <w:r>
        <w:rPr/>
        <w:t xml:space="preserve">            </w:t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Начальник СЭ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</w:t>
      </w:r>
    </w:p>
    <w:p>
      <w:pPr>
        <w:pStyle w:val="Normal"/>
        <w:ind w:firstLine="425"/>
        <w:rPr>
          <w:b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Дмитриев А.Н.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>
          <w:b/>
        </w:rPr>
      </w:pPr>
      <w:r>
        <w:rPr>
          <w:b/>
        </w:rPr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Начальник ПТС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</w:t>
      </w:r>
    </w:p>
    <w:p>
      <w:pPr>
        <w:pStyle w:val="Normal"/>
        <w:ind w:firstLine="425"/>
        <w:rPr>
          <w:b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Горин В.А .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>
          <w:b/>
        </w:rPr>
      </w:pPr>
      <w:r>
        <w:rPr>
          <w:b/>
        </w:rPr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Начальник СОТиПК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</w:t>
      </w:r>
    </w:p>
    <w:p>
      <w:pPr>
        <w:pStyle w:val="Normal"/>
        <w:ind w:firstLine="425"/>
        <w:rPr>
          <w:b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Машков М.М.</w:t>
      </w:r>
      <w:r>
        <w:rPr>
          <w:b/>
        </w:rPr>
        <w:t xml:space="preserve"> 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>
          <w:b/>
        </w:rPr>
      </w:pPr>
      <w:r>
        <w:rPr>
          <w:b/>
        </w:rPr>
      </w:r>
    </w:p>
    <w:p>
      <w:pPr>
        <w:pStyle w:val="Normal"/>
        <w:ind w:firstLine="425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ind w:firstLine="425"/>
        <w:rPr>
          <w:b/>
        </w:rPr>
      </w:pPr>
      <w:r>
        <w:rPr>
          <w:b/>
        </w:rPr>
        <w:t>Согласовано:</w:t>
      </w:r>
    </w:p>
    <w:p>
      <w:pPr>
        <w:pStyle w:val="Normal"/>
        <w:ind w:firstLine="425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Начальник отдела закупок</w:t>
      </w:r>
    </w:p>
    <w:p>
      <w:pPr>
        <w:pStyle w:val="Normal"/>
        <w:ind w:left="708" w:firstLine="425"/>
        <w:rPr>
          <w:b/>
        </w:rPr>
      </w:pPr>
      <w:r>
        <w:rPr>
          <w:sz w:val="16"/>
          <w:szCs w:val="16"/>
        </w:rPr>
        <w:t xml:space="preserve">должность   </w:t>
      </w:r>
    </w:p>
    <w:p>
      <w:pPr>
        <w:pStyle w:val="Normal"/>
        <w:ind w:firstLine="425"/>
        <w:rPr>
          <w:b/>
        </w:rPr>
      </w:pPr>
      <w:r>
        <w:rPr>
          <w:b/>
        </w:rPr>
        <w:t>________________ /</w:t>
      </w:r>
      <w:r>
        <w:rPr>
          <w:u w:val="single"/>
        </w:rPr>
        <w:t xml:space="preserve"> </w:t>
      </w:r>
      <w:r>
        <w:rPr>
          <w:sz w:val="26"/>
          <w:szCs w:val="26"/>
          <w:u w:val="single"/>
        </w:rPr>
        <w:t>Кузьмин А.В</w:t>
      </w:r>
      <w:r>
        <w:rPr>
          <w:u w:val="single"/>
        </w:rPr>
        <w:t>.</w:t>
      </w:r>
    </w:p>
    <w:p>
      <w:pPr>
        <w:pStyle w:val="Normal"/>
        <w:ind w:firstLine="425"/>
        <w:rPr/>
      </w:pPr>
      <w:r>
        <w:rPr>
          <w:sz w:val="16"/>
          <w:szCs w:val="16"/>
        </w:rPr>
        <w:t xml:space="preserve">                    </w:t>
      </w:r>
      <w:r>
        <w:rPr>
          <w:sz w:val="16"/>
          <w:szCs w:val="16"/>
        </w:rPr>
        <w:t>подпись                                            Ф.И.О.</w:t>
      </w:r>
      <w:r>
        <w:rPr/>
        <w:t xml:space="preserve">                </w:t>
      </w:r>
    </w:p>
    <w:p>
      <w:pPr>
        <w:pStyle w:val="Normal"/>
        <w:ind w:firstLine="425"/>
        <w:rPr/>
      </w:pPr>
      <w:r>
        <w:rPr/>
        <w:t xml:space="preserve"> </w:t>
      </w:r>
    </w:p>
    <w:p>
      <w:pPr>
        <w:pStyle w:val="Normal"/>
        <w:rPr>
          <w:iCs/>
        </w:rPr>
      </w:pPr>
      <w:r>
        <w:rPr>
          <w:iCs/>
        </w:rPr>
      </w:r>
      <w:bookmarkStart w:id="50" w:name="_Toc46743519_Копия_1"/>
      <w:bookmarkStart w:id="51" w:name="_Toc51339699_Копия_1"/>
      <w:bookmarkStart w:id="52" w:name="_Toc46743519_Копия_1"/>
      <w:bookmarkStart w:id="53" w:name="_Toc51339699_Копия_1"/>
      <w:bookmarkEnd w:id="52"/>
      <w:bookmarkEnd w:id="53"/>
    </w:p>
    <w:p>
      <w:pPr>
        <w:pStyle w:val="Normal"/>
        <w:rPr/>
      </w:pPr>
      <w:r>
        <w:rPr/>
      </w:r>
    </w:p>
    <w:sectPr>
      <w:headerReference w:type="even" r:id="rId12"/>
      <w:headerReference w:type="default" r:id="rId13"/>
      <w:headerReference w:type="first" r:id="rId14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2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3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4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5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6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7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8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9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0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1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2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3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4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5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6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7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8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19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20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21" w:author="popovve@corp.gidroogk.com" w:date="2025-09-30T08:45:46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тут и далее</w:t>
      </w:r>
    </w:p>
  </w:comment>
  <w:comment w:id="22" w:author="popovve@corp.gidroogk.com" w:date="2025-09-30T08:52:28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здесь и далее убрать эти работы для ручных кранов</w:t>
      </w:r>
    </w:p>
  </w:comment>
  <w:comment w:id="23" w:author="popovve@corp.gidroogk.com" w:date="2025-09-30T08:56:19Z" w:initials="p"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ОЗП там есть?</w:t>
      </w:r>
    </w:p>
    <w:p>
      <w:pPr>
        <w:overflowPunct w:val="true"/>
        <w:bidi w:val="0"/>
        <w:spacing w:before="0" w:after="0" w:lineRule="auto" w:line="240"/>
        <w:ind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Лучше заменить на ПОТ на высоте.</w:t>
      </w:r>
    </w:p>
  </w:comment>
  <w:comment w:id="24" w:author="popovve@corp.gidroogk.com" w:date="2025-09-30T09:17:12Z" w:initials="p">
    <w:p>
      <w:pPr>
        <w:overflowPunct w:val="true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Зачем в двух? Заключения ЭПБ делают в двух экземплярах, чтобы сдать один экземпляр в РТН. Тут мы в РТН ничего не сдаем. Нам одного экземпляра достаточно.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2603063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20</w:t>
        </w:r>
        <w:r>
          <w:rPr/>
          <w:fldChar w:fldCharType="end"/>
        </w:r>
      </w:p>
    </w:sdtContent>
  </w:sdt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25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5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30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885" w:hanging="52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mallCaps w:val="false"/>
        <w:caps w:val="false"/>
        <w:outline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shadow w:val="false"/>
        <w:u w:val="none"/>
        <w:b w:val="false"/>
        <w:kern w:val="0"/>
        <w:effect w:val="none"/>
        <w:iCs w:val="false"/>
        <w:bCs w:val="false"/>
        <w:em w:val="none"/>
        <w:emboss w:val="false"/>
        <w:imprint w:val="false"/>
        <w:vanish w:val="false"/>
        <w:rFonts w:ascii="Times New Roman" w:hAnsi="Times New Roman" w:cs="Times New Roman"/>
        <w:lang w:val="x-none" w:eastAsia="x-none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12"/>
    <w:lvlOverride w:ilvl="0">
      <w:startOverride w:val="1"/>
    </w:lvlOverride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</w:numbering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  <w:numId w:val="3"/>
      </w:numPr>
      <w:outlineLvl w:val="0"/>
    </w:pPr>
    <w:rPr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1330c"/>
    <w:pPr>
      <w:keepNext w:val="true"/>
      <w:spacing w:before="120" w:after="60"/>
      <w:ind w:left="1276" w:hanging="0"/>
      <w:outlineLvl w:val="2"/>
    </w:pPr>
    <w:rPr>
      <w:rFonts w:eastAsia="Calibri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  <w:numId w:val="3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1330c"/>
    <w:rPr>
      <w:rFonts w:eastAsia="Calibri"/>
      <w:sz w:val="28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A11yhidden" w:customStyle="1">
    <w:name w:val="a11yhidden"/>
    <w:basedOn w:val="DefaultParagraphFont"/>
    <w:qFormat/>
    <w:rsid w:val="00f32fda"/>
    <w:rPr/>
  </w:style>
  <w:style w:type="character" w:styleId="Organictitlecontentspan" w:customStyle="1">
    <w:name w:val="organictitlecontentspan"/>
    <w:basedOn w:val="DefaultParagraphFont"/>
    <w:qFormat/>
    <w:rsid w:val="00f32fda"/>
    <w:rPr/>
  </w:style>
  <w:style w:type="character" w:styleId="Style14" w:customStyle="1">
    <w:name w:val="Заголовок Знак"/>
    <w:basedOn w:val="DefaultParagraphFont"/>
    <w:qFormat/>
    <w:rsid w:val="00e5781f"/>
    <w:rPr>
      <w:sz w:val="28"/>
    </w:rPr>
  </w:style>
  <w:style w:type="character" w:styleId="Style15">
    <w:name w:val="Ссылка указателя"/>
    <w:qFormat/>
    <w:rPr/>
  </w:style>
  <w:style w:type="character" w:styleId="LineNumber">
    <w:name w:val="Line Number"/>
    <w:rPr/>
  </w:style>
  <w:style w:type="character" w:styleId="FollowedHyperlink">
    <w:name w:val="FollowedHyperlink"/>
    <w:rPr>
      <w:color w:val="8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10f8c"/>
    <w:pPr>
      <w:tabs>
        <w:tab w:val="clear" w:pos="708"/>
        <w:tab w:val="left" w:pos="1120" w:leader="none"/>
        <w:tab w:val="right" w:pos="9911" w:leader="dot"/>
      </w:tabs>
      <w:ind w:left="567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2a79f6"/>
    <w:pPr>
      <w:spacing w:beforeAutospacing="1" w:afterAutospacing="1"/>
    </w:pPr>
    <w:rPr>
      <w:sz w:val="24"/>
      <w:szCs w:val="24"/>
    </w:rPr>
  </w:style>
  <w:style w:type="paragraph" w:styleId="110" w:customStyle="1">
    <w:name w:val="Верхний колонтитул1"/>
    <w:basedOn w:val="Normal"/>
    <w:qFormat/>
    <w:rsid w:val="0090730b"/>
    <w:pPr>
      <w:spacing w:beforeAutospacing="1" w:afterAutospacing="1"/>
    </w:pPr>
    <w:rPr>
      <w:sz w:val="24"/>
      <w:szCs w:val="24"/>
    </w:rPr>
  </w:style>
  <w:style w:type="paragraph" w:styleId="Title">
    <w:name w:val="Title"/>
    <w:basedOn w:val="Normal"/>
    <w:link w:val="Style14"/>
    <w:qFormat/>
    <w:rsid w:val="00e5781f"/>
    <w:pPr>
      <w:jc w:val="center"/>
    </w:pPr>
    <w:rPr>
      <w:szCs w:val="20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docs.cntd.ru/document/456069588" TargetMode="External"/><Relationship Id="rId6" Type="http://schemas.openxmlformats.org/officeDocument/2006/relationships/hyperlink" Target="https://docs.cntd.ru/document/456044318" TargetMode="External"/><Relationship Id="rId7" Type="http://schemas.openxmlformats.org/officeDocument/2006/relationships/hyperlink" Target="https://docs.cntd.ru/document/1200031781" TargetMode="Externa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yperlink" Target="https://storage.yandexcloud.net/storage.rushydro.ru/iblock/fb5/fb5b5f9b10650b6234ed062ab8776155/STO RusGidro 05.02.126-2020_POBO GTSiGMO.pdf" TargetMode="Externa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comments" Target="comments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61F35-B988-4CB2-ABA8-8FFD5ED70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Application>AlterOffice/3.4.0.9$Linux_X86_64 LibreOffice_project/b8daf9e823b1a5463a2f48435ddc2e8696e7d4fc</Application>
  <AppVersion>15.0000</AppVersion>
  <Pages>30</Pages>
  <Words>4899</Words>
  <Characters>38377</Characters>
  <CharactersWithSpaces>41265</CharactersWithSpaces>
  <Paragraphs>825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2024-06-13T13:57:00Z</dcterms:created>
  <dc:creator>Быстров Олег Геннадьевич</dc:creator>
  <dc:description/>
  <dc:language>ru-RU</dc:language>
  <cp:lastModifiedBy>Александр Алексеевич Зайцев</cp:lastModifiedBy>
  <cp:lastPrinted>2006-07-26T14:04:00Z</cp:lastPrinted>
  <dcterms:modified xsi:type="dcterms:W3CDTF">2025-11-25T14:34:29Z</dcterms:modified>
  <cp:revision>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