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sz w:val="24"/>
          <w:szCs w:val="24"/>
          <w:lang w:val="en-US"/>
        </w:rPr>
      </w:pPr>
      <w:r>
        <w:rPr>
          <w:sz w:val="24"/>
          <w:szCs w:val="24"/>
          <w:lang w:val="en-US"/>
        </w:rPr>
      </w:r>
    </w:p>
    <w:p>
      <w:pPr>
        <w:pStyle w:val="Normal"/>
        <w:keepNext w:val="true"/>
        <w:keepLines/>
        <w:rPr>
          <w:sz w:val="24"/>
          <w:szCs w:val="24"/>
        </w:rPr>
      </w:pPr>
      <w:r>
        <w:rPr>
          <w:sz w:val="24"/>
          <w:szCs w:val="24"/>
        </w:rPr>
      </w:r>
    </w:p>
    <w:p>
      <w:pPr>
        <w:pStyle w:val="Normal"/>
        <w:keepNext w:val="true"/>
        <w:keepLines/>
        <w:rPr>
          <w:sz w:val="24"/>
          <w:szCs w:val="24"/>
        </w:rPr>
      </w:pPr>
      <w:r>
        <w:rPr>
          <w:sz w:val="24"/>
          <w:szCs w:val="24"/>
        </w:rPr>
      </w:r>
    </w:p>
    <w:p>
      <w:pPr>
        <w:pStyle w:val="Normal"/>
        <w:keepNext w:val="true"/>
        <w:keepLines/>
        <w:rPr>
          <w:sz w:val="24"/>
          <w:szCs w:val="24"/>
        </w:rPr>
      </w:pPr>
      <w:r>
        <w:rPr>
          <w:sz w:val="24"/>
          <w:szCs w:val="24"/>
        </w:rPr>
      </w:r>
    </w:p>
    <w:p>
      <w:pPr>
        <w:pStyle w:val="Normal"/>
        <w:keepNext w:val="true"/>
        <w:keepLines/>
        <w:rPr>
          <w:sz w:val="24"/>
          <w:szCs w:val="24"/>
        </w:rPr>
      </w:pPr>
      <w:r>
        <w:rPr>
          <w:sz w:val="24"/>
          <w:szCs w:val="24"/>
        </w:rPr>
      </w:r>
    </w:p>
    <w:p>
      <w:pPr>
        <w:pStyle w:val="Normal"/>
        <w:keepNext w:val="true"/>
        <w:keepLines/>
        <w:jc w:val="center"/>
        <w:rPr>
          <w:sz w:val="24"/>
          <w:szCs w:val="24"/>
        </w:rPr>
      </w:pPr>
      <w:r>
        <w:rPr>
          <w:rFonts w:eastAsia="Calibri"/>
          <w:b/>
          <w:sz w:val="24"/>
          <w:szCs w:val="24"/>
        </w:rPr>
        <w:t>Технические требования на поставку МТР</w:t>
      </w:r>
    </w:p>
    <w:p>
      <w:pPr>
        <w:pStyle w:val="Normal"/>
        <w:keepNext w:val="true"/>
        <w:keepLines/>
        <w:jc w:val="center"/>
        <w:rPr>
          <w:rFonts w:eastAsia="Calibri"/>
          <w:b/>
          <w:bCs/>
          <w:i/>
          <w:i/>
          <w:iCs/>
          <w:sz w:val="24"/>
          <w:szCs w:val="24"/>
        </w:rPr>
      </w:pPr>
      <w:r>
        <w:rPr>
          <w:rFonts w:eastAsia="Calibri"/>
          <w:b/>
          <w:bCs/>
          <w:i/>
          <w:iCs/>
          <w:sz w:val="24"/>
          <w:szCs w:val="24"/>
        </w:rPr>
      </w:r>
    </w:p>
    <w:p>
      <w:pPr>
        <w:pStyle w:val="Normal"/>
        <w:jc w:val="center"/>
        <w:rPr>
          <w:sz w:val="24"/>
          <w:szCs w:val="24"/>
        </w:rPr>
      </w:pPr>
      <w:r>
        <w:rPr>
          <w:b/>
          <w:bCs/>
          <w:i/>
          <w:iCs/>
          <w:sz w:val="24"/>
          <w:szCs w:val="24"/>
        </w:rPr>
        <w:t>ОКПД2 27.33.14.000 Поставка линейно-сцепной арматуры для СИП в рамках инвестиционной программы</w:t>
      </w:r>
    </w:p>
    <w:p>
      <w:pPr>
        <w:pStyle w:val="Normal"/>
        <w:jc w:val="center"/>
        <w:rPr>
          <w:sz w:val="24"/>
          <w:szCs w:val="24"/>
        </w:rPr>
      </w:pPr>
      <w:r>
        <w:rPr>
          <w:b/>
          <w:bCs/>
          <w:i/>
          <w:iCs/>
          <w:sz w:val="24"/>
          <w:szCs w:val="24"/>
        </w:rPr>
        <w:t>для нужд филиала АО "ДРСК""Электрические сети Еврейской автономной области"</w:t>
      </w:r>
    </w:p>
    <w:p>
      <w:pPr>
        <w:pStyle w:val="Normal"/>
        <w:jc w:val="center"/>
        <w:rPr>
          <w:sz w:val="24"/>
          <w:szCs w:val="24"/>
        </w:rPr>
      </w:pPr>
      <w:r>
        <w:rPr/>
      </w:r>
    </w:p>
    <w:p>
      <w:pPr>
        <w:pStyle w:val="Normal"/>
        <w:jc w:val="center"/>
        <w:rPr>
          <w:sz w:val="24"/>
          <w:szCs w:val="24"/>
        </w:rPr>
      </w:pPr>
      <w:r>
        <w:rPr>
          <w:b/>
          <w:bCs/>
          <w:i/>
          <w:iCs/>
          <w:sz w:val="24"/>
          <w:szCs w:val="24"/>
        </w:rPr>
        <w:t>Закупка № 5161.1</w:t>
      </w:r>
    </w:p>
    <w:p>
      <w:pPr>
        <w:pStyle w:val="Normal"/>
        <w:jc w:val="center"/>
        <w:rPr>
          <w:sz w:val="24"/>
          <w:szCs w:val="24"/>
        </w:rPr>
      </w:pPr>
      <w:r>
        <w:rPr>
          <w:sz w:val="24"/>
          <w:szCs w:val="24"/>
        </w:rPr>
      </w:r>
    </w:p>
    <w:p>
      <w:pPr>
        <w:pStyle w:val="Normal"/>
        <w:keepNext w:val="true"/>
        <w:keepLines/>
        <w:jc w:val="both"/>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r>
        <w:br w:type="page"/>
      </w:r>
    </w:p>
    <w:p>
      <w:pPr>
        <w:pStyle w:val="Heading1"/>
        <w:keepLines/>
        <w:numPr>
          <w:ilvl w:val="0"/>
          <w:numId w:val="3"/>
        </w:numPr>
        <w:spacing w:before="0" w:after="0"/>
        <w:ind w:hanging="357" w:left="357"/>
        <w:jc w:val="center"/>
        <w:rPr>
          <w:sz w:val="24"/>
          <w:szCs w:val="24"/>
        </w:rPr>
      </w:pPr>
      <w:bookmarkStart w:id="0" w:name="_Toc51339692"/>
      <w:bookmarkStart w:id="1" w:name="_Toc75446566"/>
      <w:r>
        <w:rPr>
          <w:sz w:val="24"/>
          <w:szCs w:val="24"/>
          <w:lang w:val="ru-RU"/>
        </w:rPr>
        <w:t>Общие сведения</w:t>
      </w:r>
      <w:bookmarkEnd w:id="0"/>
      <w:bookmarkEnd w:id="1"/>
    </w:p>
    <w:p>
      <w:pPr>
        <w:pStyle w:val="Heading4"/>
        <w:numPr>
          <w:ilvl w:val="1"/>
          <w:numId w:val="3"/>
        </w:numPr>
        <w:spacing w:before="0" w:after="0"/>
        <w:rPr/>
      </w:pPr>
      <w:r>
        <w:rPr/>
        <w:t>Обозначения и сокращения</w:t>
      </w:r>
    </w:p>
    <w:p>
      <w:pPr>
        <w:pStyle w:val="Heading4"/>
        <w:tabs>
          <w:tab w:val="clear" w:pos="0"/>
        </w:tabs>
        <w:spacing w:before="0" w:after="0"/>
        <w:ind w:hanging="0" w:left="432"/>
        <w:rPr/>
      </w:pPr>
      <w:r>
        <w:rPr/>
      </w:r>
    </w:p>
    <w:tbl>
      <w:tblPr>
        <w:tblW w:w="14714" w:type="dxa"/>
        <w:jc w:val="left"/>
        <w:tblInd w:w="334" w:type="dxa"/>
        <w:tblLayout w:type="fixed"/>
        <w:tblCellMar>
          <w:top w:w="0" w:type="dxa"/>
          <w:left w:w="108" w:type="dxa"/>
          <w:bottom w:w="0" w:type="dxa"/>
          <w:right w:w="108" w:type="dxa"/>
        </w:tblCellMar>
        <w:tblLook w:val="04a0" w:noHBand="0" w:noVBand="1" w:firstColumn="1" w:lastRow="0" w:lastColumn="0" w:firstRow="1"/>
      </w:tblPr>
      <w:tblGrid>
        <w:gridCol w:w="1783"/>
        <w:gridCol w:w="12930"/>
      </w:tblGrid>
      <w:tr>
        <w:trPr>
          <w:cantSplit w:val="true"/>
        </w:trPr>
        <w:tc>
          <w:tcPr>
            <w:tcW w:w="17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iCs/>
                <w:sz w:val="24"/>
                <w:szCs w:val="24"/>
                <w:lang w:eastAsia="x-none"/>
              </w:rPr>
              <w:t>СИП</w:t>
            </w:r>
          </w:p>
        </w:tc>
        <w:tc>
          <w:tcPr>
            <w:tcW w:w="1293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iCs/>
                <w:sz w:val="24"/>
                <w:szCs w:val="24"/>
                <w:lang w:eastAsia="x-none"/>
              </w:rPr>
              <w:t>Самонесущий изолированный провод</w:t>
            </w:r>
          </w:p>
        </w:tc>
      </w:tr>
      <w:tr>
        <w:trPr>
          <w:cantSplit w:val="true"/>
        </w:trPr>
        <w:tc>
          <w:tcPr>
            <w:tcW w:w="17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4"/>
                <w:szCs w:val="24"/>
              </w:rPr>
            </w:pPr>
            <w:r>
              <w:rPr>
                <w:sz w:val="24"/>
                <w:szCs w:val="24"/>
              </w:rPr>
              <w:t>МРНЗ</w:t>
            </w:r>
          </w:p>
        </w:tc>
        <w:tc>
          <w:tcPr>
            <w:tcW w:w="129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4"/>
                <w:szCs w:val="24"/>
              </w:rPr>
            </w:pPr>
            <w:r>
              <w:rPr>
                <w:bCs/>
                <w:sz w:val="24"/>
                <w:szCs w:val="24"/>
              </w:rPr>
              <w:t>Максимально разрушающая нагрузка зажима</w:t>
            </w:r>
          </w:p>
        </w:tc>
      </w:tr>
      <w:tr>
        <w:trPr>
          <w:cantSplit w:val="true"/>
        </w:trPr>
        <w:tc>
          <w:tcPr>
            <w:tcW w:w="17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4"/>
                <w:szCs w:val="24"/>
              </w:rPr>
            </w:pPr>
            <w:r>
              <w:rPr>
                <w:sz w:val="24"/>
                <w:szCs w:val="24"/>
              </w:rPr>
              <w:t>МРН</w:t>
            </w:r>
          </w:p>
        </w:tc>
        <w:tc>
          <w:tcPr>
            <w:tcW w:w="129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4"/>
                <w:szCs w:val="24"/>
              </w:rPr>
            </w:pPr>
            <w:r>
              <w:rPr>
                <w:bCs/>
                <w:sz w:val="24"/>
                <w:szCs w:val="24"/>
              </w:rPr>
              <w:t>Максимально разрушающая нагрузка</w:t>
            </w:r>
          </w:p>
        </w:tc>
      </w:tr>
    </w:tbl>
    <w:p>
      <w:pPr>
        <w:pStyle w:val="Normal"/>
        <w:rPr>
          <w:sz w:val="24"/>
          <w:szCs w:val="24"/>
          <w:lang w:eastAsia="x-none"/>
        </w:rPr>
      </w:pPr>
      <w:r>
        <w:rPr>
          <w:sz w:val="24"/>
          <w:szCs w:val="24"/>
          <w:lang w:eastAsia="x-none"/>
        </w:rPr>
      </w:r>
    </w:p>
    <w:p>
      <w:pPr>
        <w:pStyle w:val="Heading4"/>
        <w:numPr>
          <w:ilvl w:val="1"/>
          <w:numId w:val="3"/>
        </w:numPr>
        <w:spacing w:before="0" w:after="0"/>
        <w:rPr/>
      </w:pPr>
      <w:bookmarkStart w:id="2" w:name="_Toc75446568"/>
      <w:bookmarkStart w:id="3" w:name="_Toc46743506"/>
      <w:r>
        <w:rPr/>
        <w:t>Наименование закупаемой продукции</w:t>
      </w:r>
      <w:bookmarkEnd w:id="2"/>
      <w:bookmarkEnd w:id="3"/>
    </w:p>
    <w:p>
      <w:pPr>
        <w:pStyle w:val="Normal"/>
        <w:widowControl w:val="false"/>
        <w:tabs>
          <w:tab w:val="clear" w:pos="708"/>
          <w:tab w:val="left" w:pos="426" w:leader="none"/>
        </w:tabs>
        <w:jc w:val="both"/>
        <w:rPr>
          <w:sz w:val="24"/>
          <w:szCs w:val="24"/>
        </w:rPr>
      </w:pPr>
      <w:r>
        <w:rPr>
          <w:i/>
          <w:sz w:val="24"/>
          <w:szCs w:val="24"/>
        </w:rPr>
        <w:t xml:space="preserve">ОКПД2 27.33.14.000 Поставка линейно-сцепной арматуры для СИП в рамках ремонтной  программы для нужд филиала АО "ДРСК" "Электрические сети Еврейской автономной области" </w:t>
      </w:r>
      <w:r>
        <w:rPr>
          <w:b/>
          <w:i/>
          <w:sz w:val="24"/>
          <w:szCs w:val="24"/>
        </w:rPr>
        <w:t xml:space="preserve"> </w:t>
      </w:r>
    </w:p>
    <w:p>
      <w:pPr>
        <w:pStyle w:val="Heading1"/>
        <w:keepLines/>
        <w:numPr>
          <w:ilvl w:val="0"/>
          <w:numId w:val="3"/>
        </w:numPr>
        <w:spacing w:before="0" w:after="0"/>
        <w:ind w:hanging="357" w:left="357"/>
        <w:jc w:val="center"/>
        <w:rPr>
          <w:sz w:val="24"/>
          <w:szCs w:val="24"/>
        </w:rPr>
      </w:pPr>
      <w:bookmarkStart w:id="4" w:name="_Toc51339693"/>
      <w:bookmarkStart w:id="5" w:name="_Toc75446573"/>
      <w:bookmarkStart w:id="6" w:name="_Toc50125126"/>
      <w:bookmarkStart w:id="7" w:name="_Toc46743510"/>
      <w:bookmarkEnd w:id="6"/>
      <w:bookmarkEnd w:id="7"/>
      <w:r>
        <w:rPr>
          <w:iCs/>
          <w:sz w:val="24"/>
          <w:szCs w:val="24"/>
        </w:rPr>
        <w:t>Требования к продукции</w:t>
      </w:r>
      <w:bookmarkEnd w:id="4"/>
      <w:bookmarkEnd w:id="5"/>
    </w:p>
    <w:p>
      <w:pPr>
        <w:pStyle w:val="Heading4"/>
        <w:numPr>
          <w:ilvl w:val="1"/>
          <w:numId w:val="3"/>
        </w:numPr>
        <w:spacing w:before="0" w:after="0"/>
        <w:rPr/>
      </w:pPr>
      <w:bookmarkStart w:id="8" w:name="_Toc75446574"/>
      <w:r>
        <w:rPr/>
        <w:t>Требования к техническим и функциональным характеристикам, к конструкции изделия, материалам</w:t>
      </w:r>
      <w:r>
        <w:rPr>
          <w:lang w:val="ru-RU"/>
        </w:rPr>
        <w:t>,</w:t>
      </w:r>
      <w:r>
        <w:rPr/>
        <w:t xml:space="preserve"> объемам и срокам </w:t>
      </w:r>
      <w:r>
        <w:rPr>
          <w:lang w:val="ru-RU"/>
        </w:rPr>
        <w:t>поставки</w:t>
      </w:r>
      <w:bookmarkEnd w:id="8"/>
    </w:p>
    <w:p>
      <w:pPr>
        <w:pStyle w:val="Heading3"/>
        <w:numPr>
          <w:ilvl w:val="2"/>
          <w:numId w:val="3"/>
        </w:numPr>
        <w:spacing w:before="0" w:after="0"/>
        <w:rPr/>
      </w:pPr>
      <w:r>
        <w:rPr>
          <w:lang w:val="ru-RU"/>
        </w:rPr>
        <w:t>Перечень и объем закупаемой продукции</w:t>
      </w:r>
    </w:p>
    <w:p>
      <w:pPr>
        <w:pStyle w:val="Heading1"/>
        <w:keepLines/>
        <w:tabs>
          <w:tab w:val="clear" w:pos="0"/>
        </w:tabs>
        <w:spacing w:before="0" w:after="0"/>
        <w:ind w:hanging="0" w:left="0"/>
        <w:rPr>
          <w:sz w:val="24"/>
          <w:szCs w:val="24"/>
        </w:rPr>
      </w:pPr>
      <w:bookmarkStart w:id="9" w:name="_Toc75446576"/>
      <w:bookmarkStart w:id="10" w:name="_Toc51339695"/>
      <w:r>
        <w:rPr>
          <w:sz w:val="24"/>
          <w:szCs w:val="24"/>
        </w:rPr>
        <w:t xml:space="preserve">Таблица </w:t>
      </w:r>
      <w:r>
        <w:rPr>
          <w:sz w:val="24"/>
          <w:szCs w:val="24"/>
          <w:lang w:val="ru-RU"/>
        </w:rPr>
        <w:t>2.1.1.</w:t>
      </w:r>
      <w:r>
        <w:rPr>
          <w:sz w:val="24"/>
          <w:szCs w:val="24"/>
        </w:rPr>
        <w:t xml:space="preserve"> </w:t>
      </w:r>
      <w:r>
        <w:rPr>
          <w:sz w:val="24"/>
          <w:szCs w:val="24"/>
          <w:lang w:val="ru-RU"/>
        </w:rPr>
        <w:t xml:space="preserve">Перечень </w:t>
      </w:r>
      <w:bookmarkEnd w:id="10"/>
      <w:r>
        <w:rPr>
          <w:sz w:val="24"/>
          <w:szCs w:val="24"/>
          <w:lang w:val="ru-RU"/>
        </w:rPr>
        <w:t>и объем закупаемой продукции</w:t>
      </w:r>
      <w:bookmarkEnd w:id="9"/>
    </w:p>
    <w:p>
      <w:pPr>
        <w:pStyle w:val="Normal"/>
        <w:rPr>
          <w:sz w:val="24"/>
          <w:szCs w:val="24"/>
        </w:rPr>
      </w:pPr>
      <w:r>
        <w:rPr>
          <w:sz w:val="24"/>
          <w:szCs w:val="24"/>
        </w:rPr>
      </w:r>
    </w:p>
    <w:tbl>
      <w:tblPr>
        <w:tblW w:w="335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839"/>
        <w:gridCol w:w="6874"/>
        <w:gridCol w:w="1409"/>
        <w:gridCol w:w="1398"/>
      </w:tblGrid>
      <w:tr>
        <w:trPr>
          <w:trHeight w:val="460" w:hRule="atLeast"/>
        </w:trPr>
        <w:tc>
          <w:tcPr>
            <w:tcW w:w="8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i/>
                <w:color w:val="000000"/>
                <w:sz w:val="24"/>
                <w:szCs w:val="24"/>
              </w:rPr>
              <w:t xml:space="preserve">№ </w:t>
            </w:r>
            <w:r>
              <w:rPr>
                <w:b/>
                <w:i/>
                <w:color w:val="000000"/>
                <w:sz w:val="24"/>
                <w:szCs w:val="24"/>
              </w:rPr>
              <w:t>п/п</w:t>
            </w:r>
          </w:p>
        </w:tc>
        <w:tc>
          <w:tcPr>
            <w:tcW w:w="68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i/>
                <w:color w:val="000000"/>
                <w:sz w:val="24"/>
                <w:szCs w:val="24"/>
                <w:lang w:val="en-US"/>
              </w:rPr>
              <w:t>Наименование продукции</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i/>
                <w:color w:val="000000"/>
                <w:sz w:val="24"/>
                <w:szCs w:val="24"/>
              </w:rPr>
              <w:t>Ед. измер.</w:t>
            </w:r>
          </w:p>
        </w:tc>
        <w:tc>
          <w:tcPr>
            <w:tcW w:w="13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i/>
                <w:color w:val="000000"/>
                <w:sz w:val="24"/>
                <w:szCs w:val="24"/>
              </w:rPr>
              <w:t>Кол-во.</w:t>
            </w:r>
          </w:p>
        </w:tc>
      </w:tr>
      <w:tr>
        <w:trPr>
          <w:trHeight w:val="134" w:hRule="atLeast"/>
        </w:trPr>
        <w:tc>
          <w:tcPr>
            <w:tcW w:w="8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color w:val="000000"/>
                <w:sz w:val="24"/>
                <w:szCs w:val="24"/>
              </w:rPr>
              <w:t>1</w:t>
            </w:r>
          </w:p>
        </w:tc>
        <w:tc>
          <w:tcPr>
            <w:tcW w:w="68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color w:val="000000"/>
                <w:sz w:val="24"/>
                <w:szCs w:val="24"/>
              </w:rPr>
              <w:t>2</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color w:val="000000"/>
                <w:sz w:val="24"/>
                <w:szCs w:val="24"/>
                <w:lang w:val="en-US"/>
              </w:rPr>
              <w:t>3</w:t>
            </w:r>
          </w:p>
        </w:tc>
        <w:tc>
          <w:tcPr>
            <w:tcW w:w="13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color w:val="000000"/>
                <w:sz w:val="24"/>
                <w:szCs w:val="24"/>
                <w:lang w:val="en-US"/>
              </w:rPr>
              <w:t>4</w:t>
            </w:r>
          </w:p>
        </w:tc>
      </w:tr>
      <w:tr>
        <w:trPr>
          <w:trHeight w:val="340" w:hRule="atLeast"/>
        </w:trPr>
        <w:tc>
          <w:tcPr>
            <w:tcW w:w="10520"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bCs/>
                <w:i/>
                <w:color w:val="000000"/>
                <w:sz w:val="24"/>
                <w:szCs w:val="24"/>
              </w:rPr>
              <w:t>1.1 Филиал АО «ДРСК» «Электрические сети ЕАО»</w:t>
            </w:r>
          </w:p>
        </w:tc>
      </w:tr>
      <w:tr>
        <w:trPr>
          <w:trHeight w:val="340" w:hRule="atLeast"/>
        </w:trPr>
        <w:tc>
          <w:tcPr>
            <w:tcW w:w="8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1</w:t>
            </w:r>
          </w:p>
        </w:tc>
        <w:tc>
          <w:tcPr>
            <w:tcW w:w="68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rPr>
                <w:sz w:val="24"/>
                <w:szCs w:val="24"/>
              </w:rPr>
            </w:pPr>
            <w:r>
              <w:rPr>
                <w:sz w:val="24"/>
                <w:szCs w:val="24"/>
              </w:rPr>
              <w:t>Кронштейн анкерный CS10.3</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шт</w:t>
            </w:r>
          </w:p>
        </w:tc>
        <w:tc>
          <w:tcPr>
            <w:tcW w:w="13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jc w:val="center"/>
              <w:rPr>
                <w:sz w:val="24"/>
                <w:szCs w:val="24"/>
              </w:rPr>
            </w:pPr>
            <w:r>
              <w:rPr>
                <w:sz w:val="24"/>
                <w:szCs w:val="24"/>
              </w:rPr>
              <w:t>120</w:t>
            </w:r>
          </w:p>
        </w:tc>
      </w:tr>
      <w:tr>
        <w:trPr>
          <w:trHeight w:val="340" w:hRule="atLeast"/>
        </w:trPr>
        <w:tc>
          <w:tcPr>
            <w:tcW w:w="8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2</w:t>
            </w:r>
          </w:p>
        </w:tc>
        <w:tc>
          <w:tcPr>
            <w:tcW w:w="68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rPr>
                <w:sz w:val="24"/>
                <w:szCs w:val="24"/>
              </w:rPr>
            </w:pPr>
            <w:r>
              <w:rPr>
                <w:sz w:val="24"/>
                <w:szCs w:val="24"/>
              </w:rPr>
              <w:t>Зажим анкерный клиновой РА 2000</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шт</w:t>
            </w:r>
          </w:p>
        </w:tc>
        <w:tc>
          <w:tcPr>
            <w:tcW w:w="13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jc w:val="center"/>
              <w:rPr>
                <w:sz w:val="24"/>
                <w:szCs w:val="24"/>
              </w:rPr>
            </w:pPr>
            <w:r>
              <w:rPr>
                <w:sz w:val="24"/>
                <w:szCs w:val="24"/>
              </w:rPr>
              <w:t>30</w:t>
            </w:r>
          </w:p>
        </w:tc>
      </w:tr>
      <w:tr>
        <w:trPr>
          <w:trHeight w:val="340" w:hRule="atLeast"/>
        </w:trPr>
        <w:tc>
          <w:tcPr>
            <w:tcW w:w="83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3</w:t>
            </w:r>
          </w:p>
        </w:tc>
        <w:tc>
          <w:tcPr>
            <w:tcW w:w="6874" w:type="dxa"/>
            <w:tcBorders>
              <w:left w:val="single" w:sz="4" w:space="0" w:color="000000"/>
              <w:bottom w:val="single" w:sz="4" w:space="0" w:color="000000"/>
              <w:right w:val="single" w:sz="4" w:space="0" w:color="000000"/>
            </w:tcBorders>
            <w:shd w:color="auto" w:fill="auto" w:val="clear"/>
            <w:vAlign w:val="center"/>
          </w:tcPr>
          <w:p>
            <w:pPr>
              <w:pStyle w:val="Style38"/>
              <w:widowControl w:val="false"/>
              <w:rPr>
                <w:sz w:val="24"/>
                <w:szCs w:val="24"/>
              </w:rPr>
            </w:pPr>
            <w:r>
              <w:rPr>
                <w:sz w:val="24"/>
                <w:szCs w:val="24"/>
              </w:rPr>
              <w:t>Зажим анкерный клиновой РА 1500</w:t>
            </w:r>
          </w:p>
        </w:tc>
        <w:tc>
          <w:tcPr>
            <w:tcW w:w="14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шт</w:t>
            </w:r>
          </w:p>
        </w:tc>
        <w:tc>
          <w:tcPr>
            <w:tcW w:w="1398" w:type="dxa"/>
            <w:tcBorders>
              <w:left w:val="single" w:sz="4" w:space="0" w:color="000000"/>
              <w:bottom w:val="single" w:sz="4" w:space="0" w:color="000000"/>
              <w:right w:val="single" w:sz="4" w:space="0" w:color="000000"/>
            </w:tcBorders>
            <w:shd w:color="auto" w:fill="auto" w:val="clear"/>
            <w:vAlign w:val="center"/>
          </w:tcPr>
          <w:p>
            <w:pPr>
              <w:pStyle w:val="Style38"/>
              <w:widowControl w:val="false"/>
              <w:jc w:val="center"/>
              <w:rPr>
                <w:sz w:val="24"/>
                <w:szCs w:val="24"/>
              </w:rPr>
            </w:pPr>
            <w:r>
              <w:rPr>
                <w:sz w:val="24"/>
                <w:szCs w:val="24"/>
              </w:rPr>
              <w:t>120</w:t>
            </w:r>
          </w:p>
        </w:tc>
      </w:tr>
      <w:tr>
        <w:trPr>
          <w:trHeight w:val="340" w:hRule="atLeast"/>
        </w:trPr>
        <w:tc>
          <w:tcPr>
            <w:tcW w:w="8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4</w:t>
            </w:r>
          </w:p>
        </w:tc>
        <w:tc>
          <w:tcPr>
            <w:tcW w:w="68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rPr>
                <w:sz w:val="24"/>
                <w:szCs w:val="24"/>
              </w:rPr>
            </w:pPr>
            <w:r>
              <w:rPr>
                <w:sz w:val="24"/>
                <w:szCs w:val="24"/>
              </w:rPr>
              <w:t>Комплект промежуточной подвески ЕS 1500</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шт</w:t>
            </w:r>
          </w:p>
        </w:tc>
        <w:tc>
          <w:tcPr>
            <w:tcW w:w="13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jc w:val="center"/>
              <w:rPr>
                <w:sz w:val="24"/>
                <w:szCs w:val="24"/>
              </w:rPr>
            </w:pPr>
            <w:r>
              <w:rPr>
                <w:sz w:val="24"/>
                <w:szCs w:val="24"/>
              </w:rPr>
              <w:t>100</w:t>
            </w:r>
          </w:p>
        </w:tc>
      </w:tr>
      <w:tr>
        <w:trPr>
          <w:trHeight w:val="340" w:hRule="atLeast"/>
        </w:trPr>
        <w:tc>
          <w:tcPr>
            <w:tcW w:w="8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5</w:t>
            </w:r>
          </w:p>
        </w:tc>
        <w:tc>
          <w:tcPr>
            <w:tcW w:w="68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rPr>
                <w:sz w:val="24"/>
                <w:szCs w:val="24"/>
              </w:rPr>
            </w:pPr>
            <w:r>
              <w:rPr>
                <w:sz w:val="24"/>
                <w:szCs w:val="24"/>
              </w:rPr>
              <w:t>Кронштейн анкерный СА 2000</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color w:val="000000"/>
                <w:sz w:val="24"/>
                <w:szCs w:val="24"/>
              </w:rPr>
              <w:t>шт</w:t>
            </w:r>
          </w:p>
        </w:tc>
        <w:tc>
          <w:tcPr>
            <w:tcW w:w="13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jc w:val="center"/>
              <w:rPr>
                <w:sz w:val="24"/>
                <w:szCs w:val="24"/>
              </w:rPr>
            </w:pPr>
            <w:r>
              <w:rPr>
                <w:sz w:val="24"/>
                <w:szCs w:val="24"/>
              </w:rPr>
              <w:t>30</w:t>
            </w:r>
          </w:p>
        </w:tc>
      </w:tr>
    </w:tbl>
    <w:p>
      <w:pPr>
        <w:pStyle w:val="Normal"/>
        <w:rPr>
          <w:sz w:val="24"/>
          <w:szCs w:val="24"/>
          <w:lang w:eastAsia="x-none"/>
        </w:rPr>
      </w:pPr>
      <w:r>
        <w:rPr>
          <w:sz w:val="24"/>
          <w:szCs w:val="24"/>
          <w:lang w:eastAsia="x-none"/>
        </w:rPr>
      </w:r>
    </w:p>
    <w:p>
      <w:pPr>
        <w:pStyle w:val="Heading3"/>
        <w:numPr>
          <w:ilvl w:val="2"/>
          <w:numId w:val="3"/>
        </w:numPr>
        <w:spacing w:before="0" w:after="0"/>
        <w:rPr/>
      </w:pPr>
      <w:bookmarkStart w:id="11" w:name="_Toc75446578"/>
      <w:bookmarkStart w:id="12" w:name="_Toc51339696"/>
      <w:r>
        <w:rPr>
          <w:lang w:val="ru-RU"/>
        </w:rPr>
        <w:t xml:space="preserve"> </w:t>
      </w:r>
      <w:r>
        <w:rPr>
          <w:lang w:val="ru-RU"/>
        </w:rPr>
        <w:t xml:space="preserve">Требования </w:t>
      </w:r>
      <w:bookmarkEnd w:id="12"/>
      <w:r>
        <w:rPr>
          <w:lang w:val="ru-RU"/>
        </w:rPr>
        <w:t xml:space="preserve">к срокам поставки продукции </w:t>
      </w:r>
      <w:bookmarkEnd w:id="11"/>
    </w:p>
    <w:p>
      <w:pPr>
        <w:pStyle w:val="Heading1"/>
        <w:keepLines/>
        <w:tabs>
          <w:tab w:val="clear" w:pos="0"/>
        </w:tabs>
        <w:spacing w:before="0" w:after="0"/>
        <w:ind w:hanging="0" w:left="0"/>
        <w:rPr>
          <w:sz w:val="24"/>
          <w:szCs w:val="24"/>
        </w:rPr>
      </w:pPr>
      <w:r>
        <w:rPr>
          <w:sz w:val="24"/>
          <w:szCs w:val="24"/>
        </w:rPr>
        <w:t xml:space="preserve">    </w:t>
      </w:r>
      <w:bookmarkStart w:id="13" w:name="_Toc75446579"/>
      <w:bookmarkStart w:id="14" w:name="_Toc50125127"/>
      <w:bookmarkStart w:id="15" w:name="_Toc51339697"/>
      <w:r>
        <w:rPr>
          <w:sz w:val="24"/>
          <w:szCs w:val="24"/>
        </w:rPr>
        <w:t xml:space="preserve">Таблица </w:t>
      </w:r>
      <w:r>
        <w:rPr>
          <w:sz w:val="24"/>
          <w:szCs w:val="24"/>
          <w:lang w:val="ru-RU"/>
        </w:rPr>
        <w:t>2</w:t>
      </w:r>
      <w:r>
        <w:rPr>
          <w:sz w:val="24"/>
          <w:szCs w:val="24"/>
        </w:rPr>
        <w:t>.</w:t>
      </w:r>
      <w:r>
        <w:rPr>
          <w:sz w:val="24"/>
          <w:szCs w:val="24"/>
          <w:lang w:val="ru-RU"/>
        </w:rPr>
        <w:t>1.2</w:t>
      </w:r>
      <w:r>
        <w:rPr>
          <w:sz w:val="24"/>
          <w:szCs w:val="24"/>
        </w:rPr>
        <w:t xml:space="preserve"> </w:t>
      </w:r>
      <w:bookmarkStart w:id="16" w:name="_Hlk50465284"/>
      <w:r>
        <w:rPr>
          <w:sz w:val="24"/>
          <w:szCs w:val="24"/>
        </w:rPr>
        <w:t xml:space="preserve">Требования по срокам </w:t>
      </w:r>
      <w:bookmarkEnd w:id="14"/>
      <w:bookmarkEnd w:id="15"/>
      <w:bookmarkEnd w:id="16"/>
      <w:r>
        <w:rPr>
          <w:sz w:val="24"/>
          <w:szCs w:val="24"/>
          <w:lang w:val="ru-RU"/>
        </w:rPr>
        <w:t>поставки продукции</w:t>
      </w:r>
      <w:bookmarkEnd w:id="13"/>
      <w:r>
        <w:rPr>
          <w:sz w:val="24"/>
          <w:szCs w:val="24"/>
          <w:lang w:val="ru-RU"/>
        </w:rPr>
        <w:t xml:space="preserve"> </w:t>
      </w:r>
    </w:p>
    <w:tbl>
      <w:tblPr>
        <w:tblW w:w="13065" w:type="dxa"/>
        <w:jc w:val="left"/>
        <w:tblInd w:w="339" w:type="dxa"/>
        <w:tblLayout w:type="fixed"/>
        <w:tblCellMar>
          <w:top w:w="0" w:type="dxa"/>
          <w:left w:w="108" w:type="dxa"/>
          <w:bottom w:w="0" w:type="dxa"/>
          <w:right w:w="108" w:type="dxa"/>
        </w:tblCellMar>
        <w:tblLook w:val="04a0" w:noHBand="0" w:noVBand="1" w:firstColumn="1" w:lastRow="0" w:lastColumn="0" w:firstRow="1"/>
      </w:tblPr>
      <w:tblGrid>
        <w:gridCol w:w="671"/>
        <w:gridCol w:w="2898"/>
        <w:gridCol w:w="4110"/>
        <w:gridCol w:w="5385"/>
      </w:tblGrid>
      <w:tr>
        <w:trPr/>
        <w:tc>
          <w:tcPr>
            <w:tcW w:w="6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 xml:space="preserve">№ </w:t>
            </w:r>
            <w:r>
              <w:rPr>
                <w:b/>
                <w:sz w:val="24"/>
                <w:szCs w:val="24"/>
              </w:rPr>
              <w:t>п/п</w:t>
            </w:r>
          </w:p>
        </w:tc>
        <w:tc>
          <w:tcPr>
            <w:tcW w:w="28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Наименование продукции</w:t>
            </w:r>
          </w:p>
        </w:tc>
        <w:tc>
          <w:tcPr>
            <w:tcW w:w="4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Требования к началу срока поставки продукции</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Требования к окончанию срока поставки продукции</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1</w:t>
            </w:r>
          </w:p>
        </w:tc>
        <w:tc>
          <w:tcPr>
            <w:tcW w:w="2898" w:type="dxa"/>
            <w:tcBorders>
              <w:top w:val="single" w:sz="4" w:space="0" w:color="000000"/>
              <w:left w:val="single" w:sz="4" w:space="0" w:color="000000"/>
              <w:bottom w:val="single" w:sz="4" w:space="0" w:color="000000"/>
              <w:right w:val="single" w:sz="4" w:space="0" w:color="000000"/>
            </w:tcBorders>
          </w:tcPr>
          <w:p>
            <w:pPr>
              <w:pStyle w:val="Style32"/>
              <w:keepNext w:val="false"/>
              <w:widowControl w:val="false"/>
              <w:spacing w:before="0" w:after="0"/>
              <w:jc w:val="center"/>
              <w:rPr>
                <w:sz w:val="24"/>
                <w:szCs w:val="24"/>
              </w:rPr>
            </w:pPr>
            <w:r>
              <w:rPr>
                <w:b/>
                <w:sz w:val="24"/>
                <w:szCs w:val="24"/>
                <w:lang w:val="en-US"/>
              </w:rPr>
              <w:t>2</w:t>
            </w:r>
          </w:p>
        </w:tc>
        <w:tc>
          <w:tcPr>
            <w:tcW w:w="4110" w:type="dxa"/>
            <w:tcBorders>
              <w:top w:val="single" w:sz="4" w:space="0" w:color="000000"/>
              <w:left w:val="single" w:sz="4" w:space="0" w:color="000000"/>
              <w:bottom w:val="single" w:sz="4" w:space="0" w:color="000000"/>
              <w:right w:val="single" w:sz="4" w:space="0" w:color="000000"/>
            </w:tcBorders>
            <w:vAlign w:val="center"/>
          </w:tcPr>
          <w:p>
            <w:pPr>
              <w:pStyle w:val="Style32"/>
              <w:keepNext w:val="false"/>
              <w:widowControl w:val="false"/>
              <w:spacing w:before="0" w:after="0"/>
              <w:jc w:val="center"/>
              <w:rPr>
                <w:sz w:val="24"/>
                <w:szCs w:val="24"/>
              </w:rPr>
            </w:pPr>
            <w:r>
              <w:rPr>
                <w:b/>
                <w:sz w:val="24"/>
                <w:szCs w:val="24"/>
                <w:lang w:val="en-US"/>
              </w:rPr>
              <w:t>3</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Style32"/>
              <w:keepNext w:val="false"/>
              <w:widowControl w:val="false"/>
              <w:spacing w:before="0" w:after="0"/>
              <w:jc w:val="center"/>
              <w:rPr>
                <w:sz w:val="24"/>
                <w:szCs w:val="24"/>
              </w:rPr>
            </w:pPr>
            <w:r>
              <w:rPr>
                <w:b/>
                <w:sz w:val="24"/>
                <w:szCs w:val="24"/>
                <w:lang w:val="en-US"/>
              </w:rPr>
              <w:t>4</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7"/>
              </w:numPr>
              <w:spacing w:before="0" w:after="0"/>
              <w:contextualSpacing w:val="false"/>
              <w:rPr/>
            </w:pPr>
            <w:r>
              <w:rPr/>
            </w:r>
          </w:p>
        </w:tc>
        <w:tc>
          <w:tcPr>
            <w:tcW w:w="28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Cs/>
                <w:sz w:val="24"/>
                <w:szCs w:val="24"/>
              </w:rPr>
              <w:t>Позиции в соответствии с Таблицей 2.1.1 настоящих Технических требований</w:t>
            </w:r>
          </w:p>
        </w:tc>
        <w:tc>
          <w:tcPr>
            <w:tcW w:w="4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Cs/>
                <w:sz w:val="24"/>
                <w:szCs w:val="24"/>
              </w:rPr>
              <w:t>с даты заключения договора</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rPr>
            </w:pPr>
            <w:r>
              <w:rPr>
                <w:bCs/>
                <w:iCs/>
                <w:sz w:val="24"/>
                <w:szCs w:val="24"/>
              </w:rPr>
              <w:t xml:space="preserve">в течение 30 календарных дней </w:t>
            </w:r>
            <w:r>
              <w:rPr>
                <w:bCs/>
                <w:sz w:val="24"/>
                <w:szCs w:val="24"/>
              </w:rPr>
              <w:t>с даты заключения договора поставки</w:t>
            </w:r>
          </w:p>
        </w:tc>
      </w:tr>
    </w:tbl>
    <w:p>
      <w:pPr>
        <w:pStyle w:val="Heading4"/>
        <w:spacing w:before="0" w:after="0"/>
        <w:ind w:hanging="0" w:left="432"/>
        <w:rPr/>
      </w:pPr>
      <w:r>
        <w:rPr/>
      </w:r>
    </w:p>
    <w:p>
      <w:pPr>
        <w:pStyle w:val="Heading4"/>
        <w:numPr>
          <w:ilvl w:val="1"/>
          <w:numId w:val="3"/>
        </w:numPr>
        <w:spacing w:before="0" w:after="0"/>
        <w:rPr/>
      </w:pPr>
      <w:bookmarkStart w:id="17" w:name="_Toc75446581"/>
      <w:bookmarkStart w:id="18" w:name="_Toc46743511"/>
      <w:bookmarkStart w:id="19" w:name="_Toc46743510_Копия_1"/>
      <w:bookmarkEnd w:id="19"/>
      <w:r>
        <w:rPr/>
        <w:t xml:space="preserve">Требования к </w:t>
      </w:r>
      <w:bookmarkEnd w:id="18"/>
      <w:r>
        <w:rPr>
          <w:lang w:val="ru-RU"/>
        </w:rPr>
        <w:t>качеству продукции</w:t>
      </w:r>
      <w:bookmarkEnd w:id="17"/>
    </w:p>
    <w:p>
      <w:pPr>
        <w:pStyle w:val="Heading1"/>
        <w:keepLines/>
        <w:tabs>
          <w:tab w:val="clear" w:pos="0"/>
        </w:tabs>
        <w:spacing w:before="0" w:after="0"/>
        <w:ind w:hanging="0" w:left="0"/>
        <w:rPr>
          <w:sz w:val="24"/>
          <w:szCs w:val="24"/>
        </w:rPr>
      </w:pPr>
      <w:r>
        <w:rPr>
          <w:sz w:val="24"/>
          <w:szCs w:val="24"/>
        </w:rPr>
        <w:t xml:space="preserve">         </w:t>
      </w:r>
      <w:bookmarkStart w:id="20" w:name="_Toc75446582"/>
      <w:r>
        <w:rPr>
          <w:sz w:val="24"/>
          <w:szCs w:val="24"/>
        </w:rPr>
        <w:t>Таблица </w:t>
      </w:r>
      <w:r>
        <w:rPr>
          <w:sz w:val="24"/>
          <w:szCs w:val="24"/>
          <w:lang w:val="ru-RU"/>
        </w:rPr>
        <w:t>2</w:t>
      </w:r>
      <w:r>
        <w:rPr>
          <w:sz w:val="24"/>
          <w:szCs w:val="24"/>
        </w:rPr>
        <w:t>.</w:t>
      </w:r>
      <w:r>
        <w:rPr>
          <w:sz w:val="24"/>
          <w:szCs w:val="24"/>
          <w:lang w:val="ru-RU"/>
        </w:rPr>
        <w:t>2.</w:t>
      </w:r>
      <w:r>
        <w:rPr>
          <w:sz w:val="24"/>
          <w:szCs w:val="24"/>
        </w:rPr>
        <w:t xml:space="preserve"> Требования к </w:t>
      </w:r>
      <w:r>
        <w:rPr>
          <w:sz w:val="24"/>
          <w:szCs w:val="24"/>
          <w:lang w:val="ru-RU"/>
        </w:rPr>
        <w:t>продукции</w:t>
      </w:r>
      <w:bookmarkEnd w:id="20"/>
      <w:r>
        <w:rPr>
          <w:sz w:val="24"/>
          <w:szCs w:val="24"/>
        </w:rPr>
        <w:t xml:space="preserve"> </w:t>
      </w:r>
    </w:p>
    <w:p>
      <w:pPr>
        <w:pStyle w:val="Normal"/>
        <w:widowControl w:val="false"/>
        <w:tabs>
          <w:tab w:val="clear" w:pos="708"/>
          <w:tab w:val="left" w:pos="426" w:leader="none"/>
        </w:tabs>
        <w:jc w:val="both"/>
        <w:rPr/>
      </w:pPr>
      <w:r>
        <w:rPr>
          <w:b/>
          <w:bCs/>
          <w:i/>
          <w:iCs/>
          <w:sz w:val="24"/>
          <w:szCs w:val="24"/>
        </w:rPr>
        <w:t xml:space="preserve">         </w:t>
      </w:r>
      <w:r>
        <w:rPr>
          <w:b/>
          <w:bCs/>
          <w:i/>
          <w:iCs/>
          <w:sz w:val="24"/>
          <w:szCs w:val="24"/>
        </w:rPr>
        <w:t xml:space="preserve">Наименование продукции </w:t>
      </w:r>
      <w:r>
        <w:rPr>
          <w:rFonts w:eastAsia="Calibri"/>
          <w:i/>
          <w:sz w:val="24"/>
          <w:szCs w:val="24"/>
          <w:lang w:eastAsia="x-none"/>
        </w:rPr>
        <w:t>«</w:t>
      </w:r>
      <w:r>
        <w:rPr>
          <w:b/>
          <w:i/>
          <w:sz w:val="24"/>
          <w:szCs w:val="24"/>
        </w:rPr>
        <w:t>Линейно – сцепная арматура и инструмент для СИП»</w:t>
      </w:r>
      <w:r>
        <w:rPr>
          <w:rStyle w:val="Style8"/>
          <w:b w:val="false"/>
          <w:iCs/>
          <w:sz w:val="24"/>
          <w:szCs w:val="24"/>
        </w:rPr>
        <w:t xml:space="preserve"> </w:t>
      </w:r>
    </w:p>
    <w:tbl>
      <w:tblPr>
        <w:tblStyle w:val="affffb"/>
        <w:tblW w:w="15451" w:type="dxa"/>
        <w:jc w:val="left"/>
        <w:tblInd w:w="589" w:type="dxa"/>
        <w:tblLayout w:type="fixed"/>
        <w:tblCellMar>
          <w:top w:w="0" w:type="dxa"/>
          <w:left w:w="108" w:type="dxa"/>
          <w:bottom w:w="0" w:type="dxa"/>
          <w:right w:w="108" w:type="dxa"/>
        </w:tblCellMar>
        <w:tblLook w:val="04a0" w:noHBand="0" w:noVBand="1" w:firstColumn="1" w:lastRow="0" w:lastColumn="0" w:firstRow="1"/>
      </w:tblPr>
      <w:tblGrid>
        <w:gridCol w:w="568"/>
        <w:gridCol w:w="3543"/>
        <w:gridCol w:w="3968"/>
        <w:gridCol w:w="2268"/>
        <w:gridCol w:w="2693"/>
        <w:gridCol w:w="2410"/>
      </w:tblGrid>
      <w:tr>
        <w:trPr/>
        <w:tc>
          <w:tcPr>
            <w:tcW w:w="568" w:type="dxa"/>
            <w:vMerge w:val="restart"/>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3543" w:type="dxa"/>
            <w:vMerge w:val="restart"/>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Наименование параметра</w:t>
            </w:r>
          </w:p>
        </w:tc>
        <w:tc>
          <w:tcPr>
            <w:tcW w:w="3968" w:type="dxa"/>
            <w:vMerge w:val="restart"/>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Требование заказчика</w:t>
            </w:r>
          </w:p>
        </w:tc>
        <w:tc>
          <w:tcPr>
            <w:tcW w:w="4961" w:type="dxa"/>
            <w:gridSpan w:val="2"/>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Способ подтверждения участником соответствия требованиям</w:t>
            </w:r>
          </w:p>
        </w:tc>
        <w:tc>
          <w:tcPr>
            <w:tcW w:w="2410" w:type="dxa"/>
            <w:vMerge w:val="restart"/>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Предложение участника по характеристикам и параметрам</w:t>
            </w:r>
          </w:p>
        </w:tc>
      </w:tr>
      <w:tr>
        <w:trPr/>
        <w:tc>
          <w:tcPr>
            <w:tcW w:w="568"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3543"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3968"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268" w:type="dxa"/>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Согласие с требованием/ указание характеристик</w:t>
            </w:r>
          </w:p>
        </w:tc>
        <w:tc>
          <w:tcPr>
            <w:tcW w:w="2693" w:type="dxa"/>
            <w:tcBorders/>
            <w:vAlign w:val="center"/>
          </w:tcPr>
          <w:p>
            <w:pPr>
              <w:pStyle w:val="Normal"/>
              <w:widowControl w:val="false"/>
              <w:suppressAutoHyphens w:val="true"/>
              <w:spacing w:before="0" w:after="0"/>
              <w:jc w:val="center"/>
              <w:rPr>
                <w:sz w:val="20"/>
                <w:szCs w:val="20"/>
              </w:rPr>
            </w:pPr>
            <w:r>
              <w:rPr>
                <w:rFonts w:eastAsia="Times New Roman" w:cs="Times New Roman"/>
                <w:b/>
                <w:bCs/>
                <w:kern w:val="0"/>
                <w:sz w:val="20"/>
                <w:szCs w:val="20"/>
                <w:lang w:val="ru-RU" w:eastAsia="ru-RU" w:bidi="ar-SA"/>
              </w:rPr>
              <w:t>Предоставление подтверждающего документа или иной способ подтверждения</w:t>
            </w:r>
          </w:p>
        </w:tc>
        <w:tc>
          <w:tcPr>
            <w:tcW w:w="2410" w:type="dxa"/>
            <w:vMerge w:val="continue"/>
            <w:tcBorders/>
            <w:vAlign w:val="center"/>
          </w:tcPr>
          <w:p>
            <w:pPr>
              <w:pStyle w:val="Normal"/>
              <w:widowControl w:val="false"/>
              <w:suppressAutoHyphens w:val="true"/>
              <w:spacing w:before="0" w:after="0"/>
              <w:jc w:val="left"/>
              <w:rPr>
                <w:b/>
                <w:bCs/>
                <w:sz w:val="20"/>
                <w:szCs w:val="20"/>
              </w:rPr>
            </w:pPr>
            <w:r>
              <w:rPr>
                <w:b/>
                <w:bCs/>
                <w:sz w:val="20"/>
                <w:szCs w:val="20"/>
              </w:rPr>
            </w:r>
          </w:p>
        </w:tc>
      </w:tr>
      <w:tr>
        <w:trPr/>
        <w:tc>
          <w:tcPr>
            <w:tcW w:w="568"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1</w:t>
            </w:r>
          </w:p>
        </w:tc>
        <w:tc>
          <w:tcPr>
            <w:tcW w:w="3543"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2</w:t>
            </w:r>
          </w:p>
        </w:tc>
        <w:tc>
          <w:tcPr>
            <w:tcW w:w="3968"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3</w:t>
            </w:r>
          </w:p>
        </w:tc>
        <w:tc>
          <w:tcPr>
            <w:tcW w:w="2268"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4</w:t>
            </w:r>
          </w:p>
        </w:tc>
        <w:tc>
          <w:tcPr>
            <w:tcW w:w="2693"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5</w:t>
            </w:r>
          </w:p>
        </w:tc>
        <w:tc>
          <w:tcPr>
            <w:tcW w:w="2410"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6</w:t>
            </w:r>
          </w:p>
        </w:tc>
      </w:tr>
      <w:tr>
        <w:trPr>
          <w:trHeight w:val="408" w:hRule="atLeast"/>
        </w:trPr>
        <w:tc>
          <w:tcPr>
            <w:tcW w:w="568" w:type="dxa"/>
            <w:tcBorders/>
            <w:vAlign w:val="center"/>
          </w:tcPr>
          <w:p>
            <w:pPr>
              <w:pStyle w:val="ListParagraph"/>
              <w:widowControl w:val="false"/>
              <w:numPr>
                <w:ilvl w:val="0"/>
                <w:numId w:val="6"/>
              </w:numPr>
              <w:suppressAutoHyphens w:val="true"/>
              <w:spacing w:before="0" w:after="0"/>
              <w:contextualSpacing w:val="false"/>
              <w:jc w:val="center"/>
              <w:rPr>
                <w:rFonts w:ascii="Times New Roman" w:hAnsi="Times New Roman" w:cs="Times New Roman"/>
                <w:kern w:val="0"/>
                <w:lang w:val="ru-RU" w:eastAsia="ru-RU" w:bidi="ar-SA"/>
              </w:rPr>
            </w:pPr>
            <w:r>
              <w:rPr>
                <w:rFonts w:cs="Times New Roman"/>
                <w:kern w:val="0"/>
                <w:lang w:val="ru-RU" w:eastAsia="ru-RU" w:bidi="ar-SA"/>
              </w:rPr>
            </w:r>
          </w:p>
        </w:tc>
        <w:tc>
          <w:tcPr>
            <w:tcW w:w="14882" w:type="dxa"/>
            <w:gridSpan w:val="5"/>
            <w:tcBorders/>
            <w:vAlign w:val="center"/>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Требования к гарантиям</w:t>
            </w:r>
          </w:p>
        </w:tc>
      </w:tr>
      <w:tr>
        <w:trPr/>
        <w:tc>
          <w:tcPr>
            <w:tcW w:w="568" w:type="dxa"/>
            <w:tcBorders/>
            <w:vAlign w:val="center"/>
          </w:tcPr>
          <w:p>
            <w:pPr>
              <w:pStyle w:val="ListParagraph"/>
              <w:widowControl w:val="false"/>
              <w:numPr>
                <w:ilvl w:val="1"/>
                <w:numId w:val="6"/>
              </w:numPr>
              <w:suppressAutoHyphens w:val="true"/>
              <w:spacing w:before="0" w:after="0"/>
              <w:ind w:firstLine="142" w:left="-117"/>
              <w:contextualSpacing w:val="false"/>
              <w:jc w:val="center"/>
              <w:rPr>
                <w:rFonts w:ascii="Times New Roman" w:hAnsi="Times New Roman" w:cs="Times New Roman"/>
                <w:kern w:val="0"/>
                <w:lang w:val="ru-RU" w:eastAsia="ru-RU" w:bidi="ar-SA"/>
              </w:rPr>
            </w:pPr>
            <w:r>
              <w:rPr>
                <w:rFonts w:cs="Times New Roman"/>
                <w:kern w:val="0"/>
                <w:lang w:val="ru-RU" w:eastAsia="ru-RU" w:bidi="ar-SA"/>
              </w:rPr>
            </w:r>
          </w:p>
        </w:tc>
        <w:tc>
          <w:tcPr>
            <w:tcW w:w="3543" w:type="dxa"/>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Срок гарантии на поставляемую </w:t>
            </w:r>
            <w:r>
              <w:rPr>
                <w:rFonts w:eastAsia="Times New Roman" w:cs="Times New Roman"/>
                <w:iCs/>
                <w:kern w:val="0"/>
                <w:sz w:val="24"/>
                <w:szCs w:val="24"/>
                <w:lang w:val="ru-RU" w:eastAsia="ru-RU" w:bidi="ar-SA"/>
              </w:rPr>
              <w:t>продукцию</w:t>
            </w:r>
          </w:p>
        </w:tc>
        <w:tc>
          <w:tcPr>
            <w:tcW w:w="3968" w:type="dxa"/>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Гарантия на продукцию должна распространяться не менее 60 месяцев. Время начала исчисления гарантийного срока – с даты подписания Сторонами накладной ТОРГ-12 или УПД.</w:t>
            </w:r>
          </w:p>
        </w:tc>
        <w:tc>
          <w:tcPr>
            <w:tcW w:w="2268" w:type="dxa"/>
            <w:tcBorders/>
            <w:vAlign w:val="center"/>
          </w:tcPr>
          <w:p>
            <w:pPr>
              <w:pStyle w:val="Normal"/>
              <w:widowControl w:val="false"/>
              <w:suppressAutoHyphens w:val="true"/>
              <w:spacing w:before="0" w:after="0"/>
              <w:jc w:val="center"/>
              <w:rPr>
                <w:sz w:val="24"/>
                <w:szCs w:val="24"/>
              </w:rPr>
            </w:pPr>
            <w:r>
              <w:rPr>
                <w:rFonts w:eastAsia="Times New Roman" w:cs="Times New Roman"/>
                <w:i/>
                <w:iCs/>
                <w:color w:val="808080"/>
                <w:kern w:val="0"/>
                <w:sz w:val="24"/>
                <w:szCs w:val="24"/>
                <w:lang w:val="ru-RU" w:eastAsia="ru-RU" w:bidi="ar-SA"/>
              </w:rPr>
              <w:t>Указать срок гарантии на предлагаемую продукцию</w:t>
            </w:r>
          </w:p>
        </w:tc>
        <w:tc>
          <w:tcPr>
            <w:tcW w:w="2693" w:type="dxa"/>
            <w:tcBorders/>
            <w:vAlign w:val="center"/>
          </w:tcPr>
          <w:p>
            <w:pPr>
              <w:pStyle w:val="Normal"/>
              <w:widowControl w:val="false"/>
              <w:suppressAutoHyphens w:val="true"/>
              <w:spacing w:before="0" w:after="0"/>
              <w:jc w:val="center"/>
              <w:rPr>
                <w:sz w:val="24"/>
                <w:szCs w:val="24"/>
              </w:rPr>
            </w:pPr>
            <w:r>
              <w:rPr>
                <w:rFonts w:eastAsia="Times New Roman" w:cs="Times New Roman"/>
                <w:b/>
                <w:i/>
                <w:iCs/>
                <w:color w:val="808080"/>
                <w:kern w:val="0"/>
                <w:sz w:val="24"/>
                <w:szCs w:val="24"/>
                <w:lang w:val="ru-RU" w:eastAsia="ru-RU" w:bidi="ar-SA"/>
              </w:rPr>
              <w:t>-//-</w:t>
            </w:r>
          </w:p>
          <w:p>
            <w:pPr>
              <w:pStyle w:val="Normal"/>
              <w:widowControl w:val="false"/>
              <w:tabs>
                <w:tab w:val="clear" w:pos="708"/>
                <w:tab w:val="left" w:pos="426" w:leader="none"/>
              </w:tabs>
              <w:suppressAutoHyphens w:val="true"/>
              <w:spacing w:before="0" w:after="0"/>
              <w:jc w:val="center"/>
              <w:rPr>
                <w:sz w:val="24"/>
                <w:szCs w:val="24"/>
              </w:rPr>
            </w:pPr>
            <w:r>
              <w:rPr>
                <w:sz w:val="24"/>
                <w:szCs w:val="24"/>
              </w:rPr>
            </w:r>
          </w:p>
        </w:tc>
        <w:tc>
          <w:tcPr>
            <w:tcW w:w="2410" w:type="dxa"/>
            <w:tcBorders/>
          </w:tcPr>
          <w:p>
            <w:pPr>
              <w:pStyle w:val="Style31"/>
              <w:keepNext w:val="false"/>
              <w:widowControl w:val="false"/>
              <w:numPr>
                <w:ilvl w:val="0"/>
                <w:numId w:val="0"/>
              </w:numPr>
              <w:suppressAutoHyphens w:val="true"/>
              <w:spacing w:before="0" w:after="0"/>
              <w:ind w:hanging="0" w:left="0"/>
              <w:jc w:val="left"/>
              <w:outlineLvl w:val="2"/>
              <w:rPr>
                <w:rFonts w:eastAsia="Times New Roman"/>
                <w:b w:val="false"/>
                <w:lang w:val="ru-RU" w:eastAsia="ru-RU"/>
              </w:rPr>
            </w:pPr>
            <w:r>
              <w:rPr>
                <w:rFonts w:eastAsia="Times New Roman" w:cs="Times New Roman"/>
                <w:b w:val="false"/>
                <w:kern w:val="0"/>
                <w:sz w:val="20"/>
                <w:szCs w:val="20"/>
                <w:lang w:val="ru-RU" w:eastAsia="ru-RU" w:bidi="ar-SA"/>
              </w:rPr>
            </w:r>
          </w:p>
        </w:tc>
      </w:tr>
      <w:tr>
        <w:trPr/>
        <w:tc>
          <w:tcPr>
            <w:tcW w:w="568" w:type="dxa"/>
            <w:tcBorders/>
            <w:vAlign w:val="center"/>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2.</w:t>
            </w:r>
          </w:p>
        </w:tc>
        <w:tc>
          <w:tcPr>
            <w:tcW w:w="14882" w:type="dxa"/>
            <w:gridSpan w:val="5"/>
            <w:tcBorders/>
            <w:vAlign w:val="center"/>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Требование к доставке</w:t>
            </w:r>
          </w:p>
        </w:tc>
      </w:tr>
      <w:tr>
        <w:trPr>
          <w:trHeight w:val="646" w:hRule="atLeast"/>
        </w:trPr>
        <w:tc>
          <w:tcPr>
            <w:tcW w:w="568" w:type="dxa"/>
            <w:tcBorders/>
            <w:vAlign w:val="center"/>
          </w:tcPr>
          <w:p>
            <w:pPr>
              <w:pStyle w:val="Normal"/>
              <w:widowControl w:val="false"/>
              <w:suppressAutoHyphens w:val="true"/>
              <w:spacing w:before="0" w:after="0"/>
              <w:ind w:hanging="0" w:right="-109"/>
              <w:jc w:val="left"/>
              <w:rPr>
                <w:sz w:val="24"/>
                <w:szCs w:val="24"/>
              </w:rPr>
            </w:pPr>
            <w:r>
              <w:rPr>
                <w:sz w:val="24"/>
                <w:szCs w:val="24"/>
              </w:rPr>
            </w:r>
          </w:p>
        </w:tc>
        <w:tc>
          <w:tcPr>
            <w:tcW w:w="3543" w:type="dxa"/>
            <w:tcBorders/>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Место поставки для</w:t>
            </w:r>
          </w:p>
          <w:p>
            <w:pPr>
              <w:pStyle w:val="Normal"/>
              <w:widowControl w:val="false"/>
              <w:suppressAutoHyphens w:val="true"/>
              <w:spacing w:before="0" w:after="0"/>
              <w:ind w:hanging="0" w:right="145"/>
              <w:jc w:val="left"/>
              <w:rPr>
                <w:sz w:val="24"/>
                <w:szCs w:val="24"/>
              </w:rPr>
            </w:pPr>
            <w:r>
              <w:rPr>
                <w:rFonts w:eastAsia="Times New Roman" w:cs="Times New Roman"/>
                <w:b/>
                <w:bCs/>
                <w:i/>
                <w:color w:val="000000"/>
                <w:kern w:val="0"/>
                <w:sz w:val="24"/>
                <w:szCs w:val="24"/>
                <w:lang w:val="ru-RU" w:eastAsia="ru-RU" w:bidi="ar-SA"/>
              </w:rPr>
              <w:t>1.4. Филиал АО «ДРСК» «Электрические сети ЕАО»</w:t>
            </w:r>
          </w:p>
        </w:tc>
        <w:tc>
          <w:tcPr>
            <w:tcW w:w="3968" w:type="dxa"/>
            <w:tcBorders/>
            <w:vAlign w:val="center"/>
          </w:tcPr>
          <w:p>
            <w:pPr>
              <w:pStyle w:val="Normal"/>
              <w:widowControl w:val="false"/>
              <w:suppressAutoHyphens w:val="true"/>
              <w:spacing w:before="0" w:after="0"/>
              <w:jc w:val="left"/>
              <w:rPr>
                <w:sz w:val="24"/>
                <w:szCs w:val="24"/>
              </w:rPr>
            </w:pPr>
            <w:r>
              <w:rPr>
                <w:rFonts w:eastAsia="Times New Roman" w:cs="Times New Roman"/>
                <w:bCs/>
                <w:spacing w:val="-1"/>
                <w:kern w:val="0"/>
                <w:sz w:val="24"/>
                <w:szCs w:val="24"/>
                <w:lang w:val="ru-RU" w:eastAsia="ru-RU" w:bidi="ar-SA"/>
              </w:rPr>
              <w:t>679011, Еврейская Автономная обл.,</w:t>
            </w:r>
          </w:p>
          <w:p>
            <w:pPr>
              <w:pStyle w:val="Normal"/>
              <w:widowControl w:val="false"/>
              <w:suppressAutoHyphens w:val="true"/>
              <w:spacing w:before="0" w:after="0"/>
              <w:jc w:val="left"/>
              <w:rPr>
                <w:sz w:val="24"/>
                <w:szCs w:val="24"/>
              </w:rPr>
            </w:pPr>
            <w:r>
              <w:rPr>
                <w:rFonts w:eastAsia="Times New Roman" w:cs="Times New Roman"/>
                <w:bCs/>
                <w:spacing w:val="-1"/>
                <w:kern w:val="0"/>
                <w:sz w:val="24"/>
                <w:szCs w:val="24"/>
                <w:lang w:val="ru-RU" w:eastAsia="ru-RU" w:bidi="ar-SA"/>
              </w:rPr>
              <w:t>г. Биробиджан, ул. Черноморская, 6</w:t>
            </w:r>
          </w:p>
        </w:tc>
        <w:tc>
          <w:tcPr>
            <w:tcW w:w="2268" w:type="dxa"/>
            <w:tcBorders/>
            <w:vAlign w:val="center"/>
          </w:tcPr>
          <w:p>
            <w:pPr>
              <w:pStyle w:val="Normal"/>
              <w:widowControl w:val="false"/>
              <w:suppressAutoHyphens w:val="true"/>
              <w:spacing w:before="0" w:after="0"/>
              <w:jc w:val="center"/>
              <w:rPr>
                <w:i/>
                <w:i/>
                <w:iCs/>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vAlign w:val="center"/>
          </w:tcPr>
          <w:p>
            <w:pPr>
              <w:pStyle w:val="Normal"/>
              <w:widowControl w:val="false"/>
              <w:suppressAutoHyphens w:val="true"/>
              <w:spacing w:before="0" w:after="0"/>
              <w:jc w:val="center"/>
              <w:rPr>
                <w:sz w:val="24"/>
                <w:szCs w:val="24"/>
              </w:rPr>
            </w:pPr>
            <w:r>
              <w:rPr>
                <w:rFonts w:eastAsia="Times New Roman" w:cs="Times New Roman"/>
                <w:i/>
                <w:iCs/>
                <w:color w:val="808080"/>
                <w:kern w:val="0"/>
                <w:lang w:val="ru-RU" w:eastAsia="ru-RU" w:bidi="ar-SA"/>
              </w:rPr>
              <w:t>-//-</w:t>
            </w:r>
          </w:p>
        </w:tc>
        <w:tc>
          <w:tcPr>
            <w:tcW w:w="2410" w:type="dxa"/>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b/>
                <w:kern w:val="0"/>
                <w:sz w:val="24"/>
                <w:szCs w:val="24"/>
                <w:lang w:val="ru-RU" w:eastAsia="ru-RU" w:bidi="ar-SA"/>
              </w:rPr>
              <w:t>3.</w:t>
            </w:r>
          </w:p>
        </w:tc>
        <w:tc>
          <w:tcPr>
            <w:tcW w:w="14882" w:type="dxa"/>
            <w:gridSpan w:val="5"/>
            <w:tcBorders/>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Требования к новизне поставляемой продукции</w:t>
            </w:r>
          </w:p>
        </w:tc>
      </w:tr>
      <w:tr>
        <w:trPr/>
        <w:tc>
          <w:tcPr>
            <w:tcW w:w="568" w:type="dxa"/>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3.1.</w:t>
            </w:r>
          </w:p>
        </w:tc>
        <w:tc>
          <w:tcPr>
            <w:tcW w:w="3543" w:type="dxa"/>
            <w:tcBorders/>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Требования к году выпуска</w:t>
            </w:r>
          </w:p>
        </w:tc>
        <w:tc>
          <w:tcPr>
            <w:tcW w:w="3968" w:type="dxa"/>
            <w:tcBorders/>
            <w:vAlign w:val="center"/>
          </w:tcPr>
          <w:p>
            <w:pPr>
              <w:pStyle w:val="Normal"/>
              <w:widowControl w:val="false"/>
              <w:suppressAutoHyphens w:val="true"/>
              <w:spacing w:before="0" w:after="0"/>
              <w:jc w:val="left"/>
              <w:rPr>
                <w:sz w:val="24"/>
                <w:szCs w:val="24"/>
              </w:rPr>
            </w:pPr>
            <w:r>
              <w:rPr>
                <w:rFonts w:eastAsia="Calibri" w:cs="Times New Roman"/>
                <w:kern w:val="0"/>
                <w:sz w:val="24"/>
                <w:szCs w:val="24"/>
                <w:lang w:val="ru-RU" w:eastAsia="en-US" w:bidi="ar-SA"/>
              </w:rPr>
              <w:t>Продукция должна быть новой и ранее неиспользованной,</w:t>
            </w:r>
            <w:r>
              <w:rPr>
                <w:rFonts w:eastAsia="Times New Roman" w:cs="Times New Roman"/>
                <w:kern w:val="0"/>
                <w:sz w:val="24"/>
                <w:szCs w:val="24"/>
                <w:lang w:val="ru-RU" w:eastAsia="ru-RU" w:bidi="ar-SA"/>
              </w:rPr>
              <w:t xml:space="preserve"> изготовлена в 2025-2026 гг.</w:t>
            </w:r>
          </w:p>
        </w:tc>
        <w:tc>
          <w:tcPr>
            <w:tcW w:w="2268" w:type="dxa"/>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b/>
                <w:kern w:val="0"/>
                <w:sz w:val="24"/>
                <w:szCs w:val="24"/>
                <w:lang w:val="ru-RU" w:eastAsia="ru-RU" w:bidi="ar-SA"/>
              </w:rPr>
              <w:t>4.</w:t>
            </w:r>
          </w:p>
        </w:tc>
        <w:tc>
          <w:tcPr>
            <w:tcW w:w="14882" w:type="dxa"/>
            <w:gridSpan w:val="5"/>
            <w:tcBorders/>
          </w:tcPr>
          <w:p>
            <w:pPr>
              <w:pStyle w:val="Normal"/>
              <w:widowControl w:val="false"/>
              <w:suppressAutoHyphens w:val="true"/>
              <w:spacing w:before="0" w:after="0"/>
              <w:jc w:val="left"/>
              <w:rPr>
                <w:sz w:val="24"/>
                <w:szCs w:val="24"/>
              </w:rPr>
            </w:pPr>
            <w:r>
              <w:rPr>
                <w:rFonts w:eastAsia="Calibri" w:cs="Times New Roman"/>
                <w:b/>
                <w:kern w:val="0"/>
                <w:sz w:val="24"/>
                <w:szCs w:val="24"/>
                <w:lang w:val="ru-RU" w:eastAsia="en-US" w:bidi="ar-SA"/>
              </w:rPr>
              <w:t>Требование к совместимости с СИП</w:t>
            </w:r>
          </w:p>
        </w:tc>
      </w:tr>
      <w:tr>
        <w:trPr/>
        <w:tc>
          <w:tcPr>
            <w:tcW w:w="568" w:type="dxa"/>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4.1.</w:t>
            </w:r>
          </w:p>
        </w:tc>
        <w:tc>
          <w:tcPr>
            <w:tcW w:w="3543" w:type="dxa"/>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Совместимость с СИП</w:t>
            </w:r>
          </w:p>
        </w:tc>
        <w:tc>
          <w:tcPr>
            <w:tcW w:w="3968" w:type="dxa"/>
            <w:tcBorders/>
            <w:vAlign w:val="center"/>
          </w:tcPr>
          <w:p>
            <w:pPr>
              <w:pStyle w:val="Normal"/>
              <w:widowControl w:val="false"/>
              <w:suppressAutoHyphens w:val="true"/>
              <w:spacing w:before="0" w:after="0"/>
              <w:jc w:val="left"/>
              <w:rPr>
                <w:sz w:val="24"/>
                <w:szCs w:val="24"/>
              </w:rPr>
            </w:pPr>
            <w:r>
              <w:rPr>
                <w:rFonts w:eastAsia="Times New Roman" w:cs="Times New Roman"/>
                <w:bCs/>
                <w:kern w:val="0"/>
                <w:sz w:val="24"/>
                <w:szCs w:val="24"/>
                <w:lang w:val="ru-RU" w:eastAsia="ru-RU" w:bidi="ar-SA"/>
              </w:rPr>
              <w:t>Предлагаемая линейная сцепная арматуры должна быть совместима с СИП, изготовленным в соответствии с ГОСТ 31946-2012 «Провода самонесущие изолированные и защищенные для воздушных линий электропередачи. Общие технические условия».</w:t>
            </w:r>
          </w:p>
        </w:tc>
        <w:tc>
          <w:tcPr>
            <w:tcW w:w="2268" w:type="dxa"/>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vAlign w:val="center"/>
          </w:tcPr>
          <w:p>
            <w:pPr>
              <w:pStyle w:val="Normal"/>
              <w:widowControl w:val="false"/>
              <w:suppressAutoHyphens w:val="true"/>
              <w:spacing w:before="0" w:after="0"/>
              <w:jc w:val="center"/>
              <w:rPr>
                <w:sz w:val="24"/>
                <w:szCs w:val="24"/>
              </w:rPr>
            </w:pPr>
            <w:r>
              <w:rPr>
                <w:rFonts w:eastAsia="Times New Roman" w:cs="Times New Roman"/>
                <w:b/>
                <w:i/>
                <w:color w:val="A6A6A6" w:themeColor="background1" w:themeShade="a6"/>
                <w:kern w:val="0"/>
                <w:sz w:val="24"/>
                <w:szCs w:val="24"/>
                <w:lang w:val="ru-RU" w:eastAsia="ru-RU" w:bidi="ar-SA"/>
              </w:rPr>
              <w:t xml:space="preserve">-//- </w:t>
            </w:r>
          </w:p>
        </w:tc>
        <w:tc>
          <w:tcPr>
            <w:tcW w:w="2410" w:type="dxa"/>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b/>
                <w:kern w:val="0"/>
                <w:sz w:val="24"/>
                <w:szCs w:val="24"/>
                <w:lang w:val="ru-RU" w:eastAsia="ru-RU" w:bidi="ar-SA"/>
              </w:rPr>
              <w:t>5.</w:t>
            </w:r>
          </w:p>
        </w:tc>
        <w:tc>
          <w:tcPr>
            <w:tcW w:w="14882" w:type="dxa"/>
            <w:gridSpan w:val="5"/>
            <w:tcBorders/>
          </w:tcPr>
          <w:p>
            <w:pPr>
              <w:pStyle w:val="Normal"/>
              <w:widowControl w:val="false"/>
              <w:suppressAutoHyphens w:val="true"/>
              <w:spacing w:before="0" w:after="0"/>
              <w:jc w:val="left"/>
              <w:rPr>
                <w:sz w:val="24"/>
                <w:szCs w:val="24"/>
              </w:rPr>
            </w:pPr>
            <w:r>
              <w:rPr>
                <w:rFonts w:eastAsia="Calibri" w:cs="Times New Roman"/>
                <w:b/>
                <w:kern w:val="0"/>
                <w:sz w:val="24"/>
                <w:szCs w:val="24"/>
                <w:lang w:val="ru-RU" w:eastAsia="en-US" w:bidi="ar-SA"/>
              </w:rPr>
              <w:t>Требование к нормативному сроку службы</w:t>
            </w:r>
          </w:p>
        </w:tc>
      </w:tr>
      <w:tr>
        <w:trPr/>
        <w:tc>
          <w:tcPr>
            <w:tcW w:w="568" w:type="dxa"/>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5.1.</w:t>
            </w:r>
          </w:p>
        </w:tc>
        <w:tc>
          <w:tcPr>
            <w:tcW w:w="3543" w:type="dxa"/>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Срок службы</w:t>
            </w:r>
          </w:p>
        </w:tc>
        <w:tc>
          <w:tcPr>
            <w:tcW w:w="3968" w:type="dxa"/>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Нормативный срок службы линейной сцепной арматуры должен быть не менее 40 лет.</w:t>
            </w:r>
          </w:p>
        </w:tc>
        <w:tc>
          <w:tcPr>
            <w:tcW w:w="2268" w:type="dxa"/>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b/>
                <w:bCs/>
                <w:kern w:val="0"/>
                <w:sz w:val="24"/>
                <w:szCs w:val="24"/>
                <w:lang w:val="ru-RU" w:eastAsia="ru-RU" w:bidi="ar-SA"/>
              </w:rPr>
              <w:t>6.</w:t>
            </w:r>
          </w:p>
        </w:tc>
        <w:tc>
          <w:tcPr>
            <w:tcW w:w="14882" w:type="dxa"/>
            <w:gridSpan w:val="5"/>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b/>
                <w:bCs/>
                <w:kern w:val="0"/>
                <w:sz w:val="24"/>
                <w:szCs w:val="24"/>
                <w:lang w:val="ru-RU" w:eastAsia="ru-RU" w:bidi="ar-SA"/>
              </w:rPr>
              <w:t>Технические требования к арматуре</w:t>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6.1.</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Линейная арматура до 1 кВ для СИП</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Линейная арматура 0,4 кВ для СИП должна соответствовать требованиям ГОСТ Р 70352-2022 «Арматура для воздушных линий электропередачи напряжением до 1 кВ с самонесущими изолированными проводами. Общие технические условия»</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6.2.</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Климатическое исполнении, категории размещения</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УХЛ, категории 1 по ГОСТ 15150-69.</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Указание характеристик: Указать климатическое исполнение, категорию размещения на предлагаемую продукцию</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i/>
                <w:iCs/>
                <w:color w:val="808080"/>
                <w:kern w:val="0"/>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6.3.</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Контактные соединения арматуры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обеспечивать надежный электрический контакт между проводом и зажимом и/или между проводом магистрали и проводом ответвления в соответствии с ГОСТ 10434 в течение всего срока службы.</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6.4.</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Контактные соединения арматуры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быть изготовлены из цветных металлов или их сплавов.</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6.5.</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Анкерные зажимы для крепления нулевой несущей жилы СИП-1 (СИП-2), анкерные зажимы для крепления всех жил СИП-4.</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иметь самозаклинивающуюся или болтовую конструкцию.</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6.6.</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Комплекты промежуточной подвески</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Конструкция подвески должна обеспечивать возможность крепления раскаточного ролика.</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6.7.</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Ответвительные зажимы со срывными головками резьбового соединения</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Срывные головки резьбового соединения ответвительных зажимов должны изготавливаться из металлических материалов.</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6.8.</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Ответвительные переходные зажимы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обеспечивать герметичность жилы СИП при нахождении в воде в течение 24 ч.</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6.9.</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Герметичные ответвительные зажимы и зажимы-адаптеры (кроме ответвительных переходных зажимов)</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выдерживать приложение в воде переменного напряжения 6 кВ в течение 60 с.</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6.10.</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Влагозащищенные ответвительные зажимы (кроме ответвительных переходных зажимов)</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выдерживать приложение на воздухе переменного напряжения 6 кВ в течение 60 с.</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6.11.</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Наличие защитной смазки на внутренней полости гильз соединительных зажимов и наконечников для СИП</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Да</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6.12.</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Герметичные наконечники для СИП</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Должны обеспечивать герметичность соединения с жилой провода после выдержки в воде в течение (24±1) ч.</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6.13.</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Стойкость арматуры к воздействию температуры окружающей среды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 50°С</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Указание характеристик: Указать значение температуры окружающей среды на предлагаемую продукцию</w:t>
            </w:r>
          </w:p>
        </w:tc>
        <w:tc>
          <w:tcPr>
            <w:tcW w:w="2693" w:type="dxa"/>
            <w:tcBorders>
              <w:top w:val="nil"/>
            </w:tcBorders>
            <w:vAlign w:val="center"/>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6.14.</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Стойкость арматуры к воздействию температуры окружающей среды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 минус 60°С</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Указание характеристик: Указать значение температуры окружающей среды на предлагаемую продукцию</w:t>
            </w:r>
          </w:p>
        </w:tc>
        <w:tc>
          <w:tcPr>
            <w:tcW w:w="2693" w:type="dxa"/>
            <w:tcBorders>
              <w:top w:val="nil"/>
            </w:tcBorders>
            <w:vAlign w:val="center"/>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b/>
                <w:bCs/>
                <w:kern w:val="0"/>
                <w:sz w:val="24"/>
                <w:szCs w:val="24"/>
                <w:lang w:val="ru-RU" w:eastAsia="ru-RU" w:bidi="ar-SA"/>
              </w:rPr>
              <w:t>7.</w:t>
            </w:r>
          </w:p>
        </w:tc>
        <w:tc>
          <w:tcPr>
            <w:tcW w:w="14882" w:type="dxa"/>
            <w:gridSpan w:val="5"/>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b/>
                <w:bCs/>
                <w:kern w:val="0"/>
                <w:sz w:val="24"/>
                <w:szCs w:val="24"/>
                <w:lang w:val="ru-RU" w:eastAsia="ru-RU" w:bidi="ar-SA"/>
              </w:rPr>
              <w:t>Требования к маркировке арматуры</w:t>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7.1.</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Маркировка должна быть нанесена на видном месте арматуры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Да</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7.2.</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Маркировка на монтажной ленте по всей длине через (1,0±0,1) погонный метр.</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Да</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7.3.</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Наличие четкости и долговечности маркировки в течение всего срока службы. Стойкость маркировки к механическим и химическим воздействиям.</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Да</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r>
        <w:trPr/>
        <w:tc>
          <w:tcPr>
            <w:tcW w:w="568" w:type="dxa"/>
            <w:tcBorders>
              <w:top w:val="nil"/>
            </w:tcBorders>
            <w:vAlign w:val="center"/>
          </w:tcPr>
          <w:p>
            <w:pPr>
              <w:pStyle w:val="Normal"/>
              <w:widowControl w:val="false"/>
              <w:suppressAutoHyphens w:val="true"/>
              <w:spacing w:before="0" w:after="0"/>
              <w:ind w:hanging="0" w:right="-109"/>
              <w:jc w:val="left"/>
              <w:rPr>
                <w:sz w:val="24"/>
                <w:szCs w:val="24"/>
              </w:rPr>
            </w:pPr>
            <w:r>
              <w:rPr>
                <w:rFonts w:eastAsia="Times New Roman" w:cs="Times New Roman"/>
                <w:kern w:val="0"/>
                <w:sz w:val="24"/>
                <w:szCs w:val="24"/>
                <w:lang w:val="ru-RU" w:eastAsia="ru-RU" w:bidi="ar-SA"/>
              </w:rPr>
              <w:t>7.4.</w:t>
            </w:r>
          </w:p>
        </w:tc>
        <w:tc>
          <w:tcPr>
            <w:tcW w:w="3543" w:type="dxa"/>
            <w:tcBorders>
              <w:top w:val="nil"/>
            </w:tcBorders>
            <w:vAlign w:val="center"/>
          </w:tcPr>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Маркировка арматуры должна содержать:</w:t>
            </w:r>
          </w:p>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 товарный знак или наименование изготовителя;</w:t>
            </w:r>
          </w:p>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 условное обозначение арматуры;</w:t>
            </w:r>
          </w:p>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 год изготовления (допускается наносить две последние цифры);</w:t>
            </w:r>
          </w:p>
          <w:p>
            <w:pPr>
              <w:pStyle w:val="Normal"/>
              <w:widowControl w:val="false"/>
              <w:suppressAutoHyphens w:val="true"/>
              <w:spacing w:before="0" w:after="0"/>
              <w:ind w:hanging="0" w:right="145"/>
              <w:jc w:val="left"/>
              <w:rPr>
                <w:sz w:val="24"/>
                <w:szCs w:val="24"/>
              </w:rPr>
            </w:pPr>
            <w:r>
              <w:rPr>
                <w:rFonts w:eastAsia="Times New Roman" w:cs="Times New Roman"/>
                <w:kern w:val="0"/>
                <w:sz w:val="24"/>
                <w:szCs w:val="24"/>
                <w:lang w:val="ru-RU" w:eastAsia="ru-RU" w:bidi="ar-SA"/>
              </w:rPr>
              <w:t>- диапазон сечений проводов, на который рассчитана арматура (за исключением вспомогательной арматуры).</w:t>
            </w:r>
          </w:p>
        </w:tc>
        <w:tc>
          <w:tcPr>
            <w:tcW w:w="3968" w:type="dxa"/>
            <w:tcBorders>
              <w:top w:val="nil"/>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Да</w:t>
            </w:r>
          </w:p>
        </w:tc>
        <w:tc>
          <w:tcPr>
            <w:tcW w:w="2268"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i/>
                <w:iCs/>
                <w:kern w:val="0"/>
                <w:sz w:val="24"/>
                <w:szCs w:val="24"/>
                <w:lang w:val="ru-RU" w:eastAsia="ru-RU" w:bidi="ar-SA"/>
              </w:rPr>
              <w:t>Согласие с требованием</w:t>
            </w:r>
          </w:p>
        </w:tc>
        <w:tc>
          <w:tcPr>
            <w:tcW w:w="2693" w:type="dxa"/>
            <w:tcBorders>
              <w:top w:val="nil"/>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410" w:type="dxa"/>
            <w:tcBorders>
              <w:top w:val="nil"/>
            </w:tcBorders>
            <w:vAlign w:val="center"/>
          </w:tcPr>
          <w:p>
            <w:pPr>
              <w:pStyle w:val="Normal"/>
              <w:widowControl w:val="false"/>
              <w:suppressAutoHyphens w:val="true"/>
              <w:spacing w:before="0" w:after="0"/>
              <w:jc w:val="center"/>
              <w:rPr>
                <w:sz w:val="24"/>
                <w:szCs w:val="24"/>
              </w:rPr>
            </w:pPr>
            <w:r>
              <w:rPr>
                <w:sz w:val="24"/>
                <w:szCs w:val="24"/>
              </w:rPr>
            </w:r>
          </w:p>
        </w:tc>
      </w:tr>
    </w:tbl>
    <w:p>
      <w:pPr>
        <w:pStyle w:val="Normal"/>
        <w:tabs>
          <w:tab w:val="clear" w:pos="708"/>
          <w:tab w:val="left" w:pos="6090" w:leader="none"/>
        </w:tabs>
        <w:suppressAutoHyphens w:val="false"/>
        <w:ind w:hanging="0" w:left="360"/>
        <w:jc w:val="both"/>
        <w:rPr>
          <w:sz w:val="24"/>
          <w:szCs w:val="24"/>
        </w:rPr>
      </w:pPr>
      <w:r>
        <w:rPr>
          <w:sz w:val="24"/>
          <w:szCs w:val="24"/>
        </w:rPr>
      </w:r>
    </w:p>
    <w:p>
      <w:pPr>
        <w:pStyle w:val="ListParagraph"/>
        <w:numPr>
          <w:ilvl w:val="0"/>
          <w:numId w:val="8"/>
        </w:numPr>
        <w:spacing w:before="0" w:after="60"/>
        <w:contextualSpacing/>
        <w:jc w:val="both"/>
        <w:outlineLvl w:val="2"/>
        <w:rPr>
          <w:i/>
          <w:i/>
          <w:iCs/>
          <w:vanish/>
        </w:rPr>
      </w:pPr>
      <w:r>
        <w:rPr>
          <w:i/>
          <w:iCs/>
          <w:vanish/>
        </w:rPr>
      </w:r>
    </w:p>
    <w:p>
      <w:pPr>
        <w:pStyle w:val="ListParagraph"/>
        <w:numPr>
          <w:ilvl w:val="0"/>
          <w:numId w:val="8"/>
        </w:numPr>
        <w:spacing w:before="0" w:after="60"/>
        <w:contextualSpacing/>
        <w:jc w:val="both"/>
        <w:outlineLvl w:val="2"/>
        <w:rPr>
          <w:i/>
          <w:i/>
          <w:iCs/>
          <w:vanish/>
        </w:rPr>
      </w:pPr>
      <w:r>
        <w:rPr>
          <w:i/>
          <w:iCs/>
          <w:vanish/>
        </w:rPr>
      </w:r>
    </w:p>
    <w:p>
      <w:pPr>
        <w:pStyle w:val="ListParagraph"/>
        <w:numPr>
          <w:ilvl w:val="1"/>
          <w:numId w:val="8"/>
        </w:numPr>
        <w:spacing w:before="0" w:after="60"/>
        <w:contextualSpacing/>
        <w:jc w:val="both"/>
        <w:outlineLvl w:val="2"/>
        <w:rPr>
          <w:i/>
          <w:i/>
          <w:iCs/>
          <w:vanish/>
        </w:rPr>
      </w:pPr>
      <w:r>
        <w:rPr>
          <w:i/>
          <w:iCs/>
          <w:vanish/>
        </w:rPr>
      </w:r>
    </w:p>
    <w:p>
      <w:pPr>
        <w:pStyle w:val="ListParagraph"/>
        <w:numPr>
          <w:ilvl w:val="1"/>
          <w:numId w:val="8"/>
        </w:numPr>
        <w:spacing w:before="0" w:after="60"/>
        <w:contextualSpacing/>
        <w:jc w:val="both"/>
        <w:outlineLvl w:val="2"/>
        <w:rPr>
          <w:i/>
          <w:i/>
          <w:iCs/>
          <w:vanish/>
        </w:rPr>
      </w:pPr>
      <w:r>
        <w:rPr>
          <w:i/>
          <w:iCs/>
          <w:vanish/>
        </w:rPr>
      </w:r>
    </w:p>
    <w:p>
      <w:pPr>
        <w:pStyle w:val="Normal"/>
        <w:tabs>
          <w:tab w:val="clear" w:pos="708"/>
          <w:tab w:val="left" w:pos="6090" w:leader="none"/>
        </w:tabs>
        <w:suppressAutoHyphens w:val="false"/>
        <w:ind w:hanging="0" w:left="360"/>
        <w:jc w:val="both"/>
        <w:rPr>
          <w:sz w:val="24"/>
          <w:szCs w:val="24"/>
        </w:rPr>
      </w:pPr>
      <w:r>
        <w:rPr>
          <w:sz w:val="24"/>
          <w:szCs w:val="24"/>
        </w:rPr>
      </w:r>
    </w:p>
    <w:p>
      <w:pPr>
        <w:pStyle w:val="Normal"/>
        <w:rPr>
          <w:rFonts w:eastAsia="Calibri"/>
          <w:b/>
          <w:bCs/>
          <w:sz w:val="24"/>
          <w:szCs w:val="24"/>
        </w:rPr>
      </w:pPr>
      <w:r>
        <w:rPr>
          <w:rFonts w:eastAsia="Calibri"/>
          <w:b/>
          <w:bCs/>
          <w:sz w:val="24"/>
          <w:szCs w:val="24"/>
        </w:rPr>
      </w:r>
    </w:p>
    <w:p>
      <w:pPr>
        <w:pStyle w:val="Normal"/>
        <w:rPr>
          <w:sz w:val="24"/>
          <w:szCs w:val="24"/>
        </w:rPr>
      </w:pPr>
      <w:bookmarkStart w:id="21" w:name="_Toc46743519"/>
      <w:bookmarkStart w:id="22" w:name="_Toc51339699"/>
      <w:bookmarkStart w:id="23" w:name="_Toc75446583"/>
      <w:r>
        <w:rPr>
          <w:rFonts w:eastAsia="Calibri"/>
          <w:b/>
          <w:bCs/>
          <w:sz w:val="24"/>
          <w:szCs w:val="24"/>
          <w:lang w:val="x-none"/>
        </w:rPr>
        <w:t>Таблица </w:t>
      </w:r>
      <w:r>
        <w:rPr>
          <w:rFonts w:eastAsia="Calibri"/>
          <w:b/>
          <w:bCs/>
          <w:sz w:val="24"/>
          <w:szCs w:val="24"/>
        </w:rPr>
        <w:t>2.3.</w:t>
      </w:r>
      <w:r>
        <w:rPr>
          <w:rFonts w:eastAsia="Calibri"/>
          <w:b/>
          <w:bCs/>
          <w:sz w:val="24"/>
          <w:szCs w:val="24"/>
          <w:lang w:val="x-none"/>
        </w:rPr>
        <w:t xml:space="preserve"> </w:t>
      </w:r>
      <w:r>
        <w:rPr>
          <w:rFonts w:eastAsia="Calibri"/>
          <w:b/>
          <w:bCs/>
          <w:sz w:val="24"/>
          <w:szCs w:val="24"/>
        </w:rPr>
        <w:t>Требования к продукции (индивидуальные требования по каждой позиции перечня продукции)</w:t>
      </w:r>
    </w:p>
    <w:p>
      <w:pPr>
        <w:pStyle w:val="Normal"/>
        <w:rPr>
          <w:rFonts w:eastAsia="Calibri"/>
          <w:b/>
          <w:bCs/>
          <w:sz w:val="24"/>
          <w:szCs w:val="24"/>
        </w:rPr>
      </w:pPr>
      <w:r>
        <w:rPr>
          <w:rFonts w:eastAsia="Calibri"/>
          <w:b/>
          <w:bCs/>
          <w:sz w:val="24"/>
          <w:szCs w:val="24"/>
        </w:rPr>
      </w:r>
    </w:p>
    <w:p>
      <w:pPr>
        <w:pStyle w:val="Normal"/>
        <w:ind w:hanging="0" w:left="720" w:right="397"/>
        <w:jc w:val="both"/>
        <w:rPr>
          <w:sz w:val="24"/>
          <w:szCs w:val="24"/>
        </w:rPr>
      </w:pPr>
      <w:r>
        <w:rPr>
          <w:b/>
          <w:bCs/>
          <w:sz w:val="24"/>
          <w:szCs w:val="24"/>
        </w:rPr>
        <w:t xml:space="preserve">Наименование продукции: </w:t>
      </w:r>
      <w:r>
        <w:rPr>
          <w:sz w:val="24"/>
          <w:szCs w:val="24"/>
        </w:rPr>
        <w:t>Линейно – сцепная арматура и инструмент для СИП</w:t>
      </w:r>
    </w:p>
    <w:tbl>
      <w:tblPr>
        <w:tblStyle w:val="1d"/>
        <w:tblW w:w="15451"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710"/>
        <w:gridCol w:w="1842"/>
        <w:gridCol w:w="1701"/>
        <w:gridCol w:w="4379"/>
        <w:gridCol w:w="2591"/>
        <w:gridCol w:w="1636"/>
        <w:gridCol w:w="2591"/>
      </w:tblGrid>
      <w:tr>
        <w:trPr>
          <w:tblHeader w:val="true"/>
          <w:trHeight w:val="299" w:hRule="atLeast"/>
        </w:trPr>
        <w:tc>
          <w:tcPr>
            <w:tcW w:w="710" w:type="dxa"/>
            <w:vMerge w:val="restart"/>
            <w:tcBorders/>
            <w:vAlign w:val="center"/>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 xml:space="preserve">№ </w:t>
            </w:r>
            <w:r>
              <w:rPr>
                <w:rFonts w:eastAsia="Calibri" w:cs=""/>
                <w:b/>
                <w:kern w:val="0"/>
                <w:sz w:val="18"/>
                <w:szCs w:val="18"/>
                <w:lang w:val="ru-RU" w:eastAsia="en-US" w:bidi="ar-SA"/>
              </w:rPr>
              <w:t>п/п</w:t>
            </w:r>
          </w:p>
        </w:tc>
        <w:tc>
          <w:tcPr>
            <w:tcW w:w="1842" w:type="dxa"/>
            <w:vMerge w:val="restart"/>
            <w:tcBorders/>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 xml:space="preserve">№ </w:t>
            </w:r>
            <w:r>
              <w:rPr>
                <w:rFonts w:eastAsia="Calibri" w:cs=""/>
                <w:b/>
                <w:kern w:val="0"/>
                <w:sz w:val="18"/>
                <w:szCs w:val="18"/>
                <w:lang w:val="ru-RU" w:eastAsia="en-US" w:bidi="ar-SA"/>
              </w:rPr>
              <w:t xml:space="preserve">позиции </w:t>
              <w:br/>
              <w:t>Таблицы 2.1.1. «Перечень и объем закупаемой продукции»</w:t>
            </w:r>
          </w:p>
        </w:tc>
        <w:tc>
          <w:tcPr>
            <w:tcW w:w="1701" w:type="dxa"/>
            <w:vMerge w:val="restart"/>
            <w:tcBorders/>
            <w:vAlign w:val="center"/>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Наименование продукции</w:t>
            </w:r>
          </w:p>
        </w:tc>
        <w:tc>
          <w:tcPr>
            <w:tcW w:w="4379" w:type="dxa"/>
            <w:tcBorders/>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Требования заказчика *</w:t>
            </w:r>
          </w:p>
        </w:tc>
        <w:tc>
          <w:tcPr>
            <w:tcW w:w="6818" w:type="dxa"/>
            <w:gridSpan w:val="3"/>
            <w:tcBorders/>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Предложения участника**</w:t>
            </w:r>
          </w:p>
        </w:tc>
      </w:tr>
      <w:tr>
        <w:trPr>
          <w:tblHeader w:val="true"/>
          <w:trHeight w:val="833" w:hRule="atLeast"/>
        </w:trPr>
        <w:tc>
          <w:tcPr>
            <w:tcW w:w="710" w:type="dxa"/>
            <w:vMerge w:val="continue"/>
            <w:tcBorders/>
            <w:vAlign w:val="center"/>
          </w:tcPr>
          <w:p>
            <w:pPr>
              <w:pStyle w:val="Normal"/>
              <w:widowControl w:val="false"/>
              <w:suppressAutoHyphens w:val="true"/>
              <w:spacing w:before="0" w:after="0"/>
              <w:jc w:val="left"/>
              <w:rPr>
                <w:rFonts w:ascii="Times New Roman" w:hAnsi="Times New Roman"/>
                <w:b/>
                <w:sz w:val="18"/>
                <w:szCs w:val="18"/>
              </w:rPr>
            </w:pPr>
            <w:r>
              <w:rPr>
                <w:b/>
                <w:sz w:val="18"/>
                <w:szCs w:val="18"/>
              </w:rPr>
            </w:r>
          </w:p>
        </w:tc>
        <w:tc>
          <w:tcPr>
            <w:tcW w:w="1842" w:type="dxa"/>
            <w:vMerge w:val="continue"/>
            <w:tcBorders/>
          </w:tcPr>
          <w:p>
            <w:pPr>
              <w:pStyle w:val="Normal"/>
              <w:widowControl w:val="false"/>
              <w:suppressAutoHyphens w:val="true"/>
              <w:spacing w:before="0" w:after="0"/>
              <w:jc w:val="left"/>
              <w:rPr>
                <w:rFonts w:ascii="Times New Roman" w:hAnsi="Times New Roman"/>
                <w:sz w:val="18"/>
                <w:szCs w:val="18"/>
              </w:rPr>
            </w:pPr>
            <w:r>
              <w:rPr>
                <w:sz w:val="18"/>
                <w:szCs w:val="18"/>
              </w:rPr>
            </w:r>
          </w:p>
        </w:tc>
        <w:tc>
          <w:tcPr>
            <w:tcW w:w="1701" w:type="dxa"/>
            <w:vMerge w:val="continue"/>
            <w:tcBorders/>
            <w:vAlign w:val="center"/>
          </w:tcPr>
          <w:p>
            <w:pPr>
              <w:pStyle w:val="Normal"/>
              <w:widowControl w:val="false"/>
              <w:suppressAutoHyphens w:val="true"/>
              <w:spacing w:before="0" w:after="0"/>
              <w:jc w:val="left"/>
              <w:rPr>
                <w:rFonts w:ascii="Times New Roman" w:hAnsi="Times New Roman"/>
                <w:sz w:val="18"/>
                <w:szCs w:val="18"/>
              </w:rPr>
            </w:pPr>
            <w:r>
              <w:rPr>
                <w:sz w:val="18"/>
                <w:szCs w:val="18"/>
              </w:rPr>
            </w:r>
          </w:p>
        </w:tc>
        <w:tc>
          <w:tcPr>
            <w:tcW w:w="4379" w:type="dxa"/>
            <w:tcBorders/>
            <w:vAlign w:val="center"/>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Технические и функциональные характеристики</w:t>
            </w:r>
          </w:p>
          <w:p>
            <w:pPr>
              <w:pStyle w:val="Normal"/>
              <w:widowControl w:val="false"/>
              <w:suppressAutoHyphens w:val="true"/>
              <w:spacing w:before="0" w:after="0"/>
              <w:jc w:val="center"/>
              <w:rPr>
                <w:rFonts w:ascii="Times New Roman" w:hAnsi="Times New Roman"/>
                <w:sz w:val="18"/>
                <w:szCs w:val="18"/>
              </w:rPr>
            </w:pPr>
            <w:r>
              <w:rPr>
                <w:rFonts w:eastAsia="Calibri" w:cs=""/>
                <w:b/>
                <w:bCs/>
                <w:kern w:val="0"/>
                <w:sz w:val="18"/>
                <w:szCs w:val="18"/>
                <w:lang w:val="ru-RU" w:eastAsia="en-US" w:bidi="ar-SA"/>
              </w:rPr>
              <w:t>(параметры эквивалентности)</w:t>
            </w:r>
          </w:p>
        </w:tc>
        <w:tc>
          <w:tcPr>
            <w:tcW w:w="2591" w:type="dxa"/>
            <w:tcBorders/>
            <w:vAlign w:val="center"/>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Наименование продукции</w:t>
            </w:r>
            <w:r>
              <w:rPr>
                <w:rFonts w:eastAsia="Calibri" w:cs=""/>
                <w:b/>
                <w:kern w:val="0"/>
                <w:sz w:val="18"/>
                <w:szCs w:val="18"/>
                <w:lang w:val="en-US" w:eastAsia="en-US" w:bidi="ar-SA"/>
              </w:rPr>
              <w:t>, марка</w:t>
            </w:r>
          </w:p>
        </w:tc>
        <w:tc>
          <w:tcPr>
            <w:tcW w:w="1636" w:type="dxa"/>
            <w:tcBorders/>
            <w:vAlign w:val="center"/>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en-US" w:eastAsia="en-US" w:bidi="ar-SA"/>
              </w:rPr>
              <w:t>Производитель</w:t>
            </w:r>
          </w:p>
        </w:tc>
        <w:tc>
          <w:tcPr>
            <w:tcW w:w="2591" w:type="dxa"/>
            <w:tcBorders/>
            <w:vAlign w:val="center"/>
          </w:tcPr>
          <w:p>
            <w:pPr>
              <w:pStyle w:val="Normal"/>
              <w:widowControl w:val="false"/>
              <w:suppressAutoHyphens w:val="true"/>
              <w:spacing w:before="0" w:after="0"/>
              <w:jc w:val="center"/>
              <w:rPr>
                <w:rFonts w:ascii="Times New Roman" w:hAnsi="Times New Roman"/>
                <w:sz w:val="18"/>
                <w:szCs w:val="18"/>
              </w:rPr>
            </w:pPr>
            <w:r>
              <w:rPr>
                <w:rFonts w:eastAsia="Calibri" w:cs=""/>
                <w:b/>
                <w:kern w:val="0"/>
                <w:sz w:val="18"/>
                <w:szCs w:val="18"/>
                <w:lang w:val="ru-RU" w:eastAsia="en-US" w:bidi="ar-SA"/>
              </w:rPr>
              <w:t>Технические и функциональные характеристики</w:t>
            </w:r>
          </w:p>
        </w:tc>
      </w:tr>
      <w:tr>
        <w:trPr>
          <w:trHeight w:val="214" w:hRule="atLeast"/>
        </w:trPr>
        <w:tc>
          <w:tcPr>
            <w:tcW w:w="710"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ru-RU" w:eastAsia="en-US" w:bidi="ar-SA"/>
              </w:rPr>
              <w:t>1</w:t>
            </w:r>
          </w:p>
        </w:tc>
        <w:tc>
          <w:tcPr>
            <w:tcW w:w="1842"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ru-RU" w:eastAsia="en-US" w:bidi="ar-SA"/>
              </w:rPr>
              <w:t>2</w:t>
            </w:r>
          </w:p>
        </w:tc>
        <w:tc>
          <w:tcPr>
            <w:tcW w:w="1701"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ru-RU" w:eastAsia="en-US" w:bidi="ar-SA"/>
              </w:rPr>
              <w:t>3</w:t>
            </w:r>
          </w:p>
        </w:tc>
        <w:tc>
          <w:tcPr>
            <w:tcW w:w="4379"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en-US" w:eastAsia="en-US" w:bidi="ar-SA"/>
              </w:rPr>
              <w:t>4</w:t>
            </w:r>
          </w:p>
        </w:tc>
        <w:tc>
          <w:tcPr>
            <w:tcW w:w="2591"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en-US" w:eastAsia="en-US" w:bidi="ar-SA"/>
              </w:rPr>
              <w:t>5</w:t>
            </w:r>
          </w:p>
        </w:tc>
        <w:tc>
          <w:tcPr>
            <w:tcW w:w="1636"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en-US" w:eastAsia="en-US" w:bidi="ar-SA"/>
              </w:rPr>
              <w:t>6</w:t>
            </w:r>
          </w:p>
        </w:tc>
        <w:tc>
          <w:tcPr>
            <w:tcW w:w="2591" w:type="dxa"/>
            <w:tcBorders/>
            <w:vAlign w:val="center"/>
          </w:tcPr>
          <w:p>
            <w:pPr>
              <w:pStyle w:val="Normal"/>
              <w:widowControl w:val="false"/>
              <w:suppressAutoHyphens w:val="true"/>
              <w:spacing w:before="0" w:after="0"/>
              <w:jc w:val="center"/>
              <w:rPr>
                <w:rFonts w:ascii="Times New Roman" w:hAnsi="Times New Roman"/>
              </w:rPr>
            </w:pPr>
            <w:r>
              <w:rPr>
                <w:rFonts w:eastAsia="Calibri" w:cs=""/>
                <w:b/>
                <w:kern w:val="0"/>
                <w:sz w:val="24"/>
                <w:szCs w:val="24"/>
                <w:lang w:val="en-US" w:eastAsia="en-US" w:bidi="ar-SA"/>
              </w:rPr>
              <w:t>7</w:t>
            </w:r>
          </w:p>
        </w:tc>
      </w:tr>
      <w:tr>
        <w:trPr>
          <w:trHeight w:val="309" w:hRule="atLeast"/>
        </w:trPr>
        <w:tc>
          <w:tcPr>
            <w:tcW w:w="15450" w:type="dxa"/>
            <w:gridSpan w:val="7"/>
            <w:tcBorders/>
            <w:vAlign w:val="center"/>
          </w:tcPr>
          <w:p>
            <w:pPr>
              <w:pStyle w:val="Normal"/>
              <w:widowControl w:val="false"/>
              <w:suppressAutoHyphens w:val="true"/>
              <w:spacing w:before="0" w:after="0"/>
              <w:jc w:val="center"/>
              <w:rPr>
                <w:rFonts w:ascii="Times New Roman" w:hAnsi="Times New Roman"/>
                <w:color w:val="000000"/>
              </w:rPr>
            </w:pPr>
            <w:r>
              <w:rPr>
                <w:rFonts w:eastAsia="Calibri" w:cs=""/>
                <w:b/>
                <w:i/>
                <w:iCs/>
                <w:color w:val="000000" w:themeShade="80"/>
                <w:kern w:val="0"/>
                <w:sz w:val="24"/>
                <w:szCs w:val="24"/>
                <w:lang w:val="ru-RU" w:eastAsia="en-US" w:bidi="ar-SA"/>
              </w:rPr>
              <w:t>1.1.</w:t>
              <w:tab/>
              <w:t>Филиал АО «ДРСК» «Электрические сети ЕАО»‍</w:t>
            </w:r>
          </w:p>
        </w:tc>
      </w:tr>
      <w:tr>
        <w:trPr>
          <w:trHeight w:val="964" w:hRule="atLeast"/>
        </w:trPr>
        <w:tc>
          <w:tcPr>
            <w:tcW w:w="710" w:type="dxa"/>
            <w:tcBorders/>
            <w:vAlign w:val="center"/>
          </w:tcPr>
          <w:p>
            <w:pPr>
              <w:pStyle w:val="ListParagraph"/>
              <w:widowControl w:val="false"/>
              <w:numPr>
                <w:ilvl w:val="0"/>
                <w:numId w:val="0"/>
              </w:numPr>
              <w:suppressAutoHyphens w:val="true"/>
              <w:spacing w:before="0" w:after="0"/>
              <w:ind w:hanging="0" w:left="0"/>
              <w:contextualSpacing w:val="false"/>
              <w:jc w:val="left"/>
              <w:rPr>
                <w:rFonts w:ascii="Times New Roman" w:hAnsi="Times New Roman"/>
                <w:lang w:eastAsia="en-US"/>
              </w:rPr>
            </w:pPr>
            <w:r>
              <w:rPr>
                <w:lang w:eastAsia="en-US"/>
              </w:rPr>
              <w:t>1</w:t>
            </w:r>
          </w:p>
        </w:tc>
        <w:tc>
          <w:tcPr>
            <w:tcW w:w="1842" w:type="dxa"/>
            <w:tcBorders/>
          </w:tcPr>
          <w:p>
            <w:pPr>
              <w:pStyle w:val="Normal"/>
              <w:widowControl w:val="false"/>
              <w:suppressAutoHyphens w:val="true"/>
              <w:spacing w:before="0" w:after="0"/>
              <w:jc w:val="left"/>
              <w:rPr/>
            </w:pPr>
            <w:r>
              <w:rPr>
                <w:rFonts w:eastAsia="Calibri" w:cs=""/>
                <w:iCs/>
                <w:color w:val="000000"/>
                <w:kern w:val="0"/>
                <w:sz w:val="22"/>
                <w:szCs w:val="22"/>
                <w:lang w:val="ru-RU" w:eastAsia="en-US" w:bidi="ar-SA"/>
              </w:rPr>
              <w:t>Позиция 1</w:t>
            </w:r>
          </w:p>
        </w:tc>
        <w:tc>
          <w:tcPr>
            <w:tcW w:w="1701" w:type="dxa"/>
            <w:tcBorders/>
          </w:tcPr>
          <w:p>
            <w:pPr>
              <w:pStyle w:val="Style38"/>
              <w:widowControl w:val="false"/>
              <w:suppressAutoHyphens w:val="true"/>
              <w:spacing w:before="0" w:after="0"/>
              <w:jc w:val="left"/>
              <w:rPr>
                <w:rFonts w:ascii="Liberation Serif" w:hAnsi="Liberation Serif"/>
              </w:rPr>
            </w:pPr>
            <w:r>
              <w:rPr>
                <w:rFonts w:eastAsia="Calibri" w:cs="" w:ascii="Liberation Serif" w:hAnsi="Liberation Serif"/>
                <w:kern w:val="0"/>
                <w:sz w:val="22"/>
                <w:szCs w:val="22"/>
                <w:lang w:val="ru-RU" w:eastAsia="en-US" w:bidi="ar-SA"/>
              </w:rPr>
              <w:t>Кронштейн анкерный CS10.3</w:t>
            </w:r>
          </w:p>
        </w:tc>
        <w:tc>
          <w:tcPr>
            <w:tcW w:w="4379" w:type="dxa"/>
            <w:tcBorders/>
          </w:tcPr>
          <w:p>
            <w:pPr>
              <w:pStyle w:val="Style38"/>
              <w:widowControl w:val="false"/>
              <w:suppressAutoHyphens w:val="true"/>
              <w:spacing w:before="0" w:after="0"/>
              <w:jc w:val="left"/>
              <w:rPr>
                <w:rFonts w:ascii="Liberation Serif" w:hAnsi="Liberation Serif"/>
              </w:rPr>
            </w:pPr>
            <w:r>
              <w:rPr>
                <w:rFonts w:eastAsia="Calibri" w:cs="" w:ascii="Liberation Serif" w:hAnsi="Liberation Serif"/>
                <w:kern w:val="0"/>
                <w:sz w:val="22"/>
                <w:szCs w:val="22"/>
                <w:lang w:val="ru-RU" w:eastAsia="en-US" w:bidi="ar-SA"/>
              </w:rPr>
              <w:t>МРН, кН: не менее 15. Масса, г: не более 195. Крепление монтажной лентой, одним или двумя болтами. Предназначен для крепления анкерных зажимов на опоре или фасаде здания.</w:t>
            </w:r>
          </w:p>
        </w:tc>
        <w:tc>
          <w:tcPr>
            <w:tcW w:w="2591" w:type="dxa"/>
            <w:tcBorders/>
          </w:tcPr>
          <w:p>
            <w:pPr>
              <w:pStyle w:val="Normal"/>
              <w:widowControl w:val="false"/>
              <w:suppressAutoHyphens w:val="true"/>
              <w:spacing w:before="0" w:after="0"/>
              <w:jc w:val="left"/>
              <w:rPr/>
            </w:pPr>
            <w:r>
              <w:rPr>
                <w:rFonts w:eastAsia="Calibri" w:cs=""/>
                <w:i/>
                <w:iCs/>
                <w:color w:val="808080" w:themeColor="background1" w:themeShade="80"/>
                <w:kern w:val="0"/>
                <w:sz w:val="22"/>
                <w:szCs w:val="22"/>
                <w:lang w:val="ru-RU" w:eastAsia="en-US" w:bidi="ar-SA"/>
              </w:rPr>
              <w:t>Способ подтверждения: указание наименования, марки продукции</w:t>
            </w:r>
          </w:p>
        </w:tc>
        <w:tc>
          <w:tcPr>
            <w:tcW w:w="1636" w:type="dxa"/>
            <w:tcBorders/>
          </w:tcPr>
          <w:p>
            <w:pPr>
              <w:pStyle w:val="Normal"/>
              <w:widowControl w:val="false"/>
              <w:suppressAutoHyphens w:val="true"/>
              <w:spacing w:before="0" w:after="0"/>
              <w:jc w:val="left"/>
              <w:rPr/>
            </w:pPr>
            <w:r>
              <w:rPr>
                <w:rFonts w:eastAsia="Calibri" w:cs=""/>
                <w:i/>
                <w:iCs/>
                <w:color w:val="808080" w:themeColor="background1" w:themeShade="80"/>
                <w:kern w:val="0"/>
                <w:sz w:val="22"/>
                <w:szCs w:val="22"/>
                <w:lang w:val="ru-RU" w:eastAsia="en-US" w:bidi="ar-SA"/>
              </w:rPr>
              <w:t xml:space="preserve">Способ подтверждения: указание </w:t>
            </w:r>
            <w:r>
              <w:rPr>
                <w:rFonts w:eastAsia="Calibri" w:cs=""/>
                <w:i/>
                <w:iCs/>
                <w:color w:val="808080" w:themeColor="background1" w:themeShade="80"/>
                <w:kern w:val="0"/>
                <w:sz w:val="22"/>
                <w:szCs w:val="22"/>
                <w:lang w:val="en-US" w:eastAsia="en-US" w:bidi="ar-SA"/>
              </w:rPr>
              <w:t>Производителя</w:t>
            </w:r>
          </w:p>
        </w:tc>
        <w:tc>
          <w:tcPr>
            <w:tcW w:w="2591" w:type="dxa"/>
            <w:tcBorders/>
          </w:tcPr>
          <w:p>
            <w:pPr>
              <w:pStyle w:val="Normal"/>
              <w:widowControl w:val="false"/>
              <w:suppressAutoHyphens w:val="true"/>
              <w:spacing w:before="0" w:after="0"/>
              <w:jc w:val="left"/>
              <w:rPr/>
            </w:pPr>
            <w:r>
              <w:rPr>
                <w:rFonts w:eastAsia="Calibri" w:cs=""/>
                <w:i/>
                <w:iCs/>
                <w:color w:val="808080" w:themeColor="background1" w:themeShade="80"/>
                <w:kern w:val="0"/>
                <w:sz w:val="22"/>
                <w:szCs w:val="22"/>
                <w:lang w:val="ru-RU" w:eastAsia="en-US" w:bidi="ar-SA"/>
              </w:rPr>
              <w:t>Способ подтверждения: указание технических характеристик.</w:t>
            </w:r>
          </w:p>
        </w:tc>
      </w:tr>
      <w:tr>
        <w:trPr>
          <w:trHeight w:val="143" w:hRule="atLeast"/>
        </w:trPr>
        <w:tc>
          <w:tcPr>
            <w:tcW w:w="710" w:type="dxa"/>
            <w:tcBorders/>
            <w:vAlign w:val="center"/>
          </w:tcPr>
          <w:p>
            <w:pPr>
              <w:pStyle w:val="ListParagraph"/>
              <w:widowControl w:val="false"/>
              <w:numPr>
                <w:ilvl w:val="0"/>
                <w:numId w:val="0"/>
              </w:numPr>
              <w:suppressAutoHyphens w:val="true"/>
              <w:spacing w:before="0" w:after="0"/>
              <w:ind w:hanging="0" w:left="0"/>
              <w:contextualSpacing w:val="false"/>
              <w:jc w:val="left"/>
              <w:rPr>
                <w:rFonts w:ascii="Times New Roman" w:hAnsi="Times New Roman"/>
              </w:rPr>
            </w:pPr>
            <w:r>
              <w:rPr>
                <w:rFonts w:cs=""/>
                <w:kern w:val="0"/>
                <w:lang w:val="ru-RU" w:eastAsia="en-US" w:bidi="ar-SA"/>
              </w:rPr>
              <w:t>2‍</w:t>
            </w:r>
          </w:p>
        </w:tc>
        <w:tc>
          <w:tcPr>
            <w:tcW w:w="1842" w:type="dxa"/>
            <w:tcBorders/>
          </w:tcPr>
          <w:p>
            <w:pPr>
              <w:pStyle w:val="Normal"/>
              <w:widowControl w:val="false"/>
              <w:suppressAutoHyphens w:val="true"/>
              <w:spacing w:before="0" w:after="0"/>
              <w:jc w:val="left"/>
              <w:rPr>
                <w:rFonts w:ascii="Times New Roman" w:hAnsi="Times New Roman"/>
              </w:rPr>
            </w:pPr>
            <w:r>
              <w:rPr>
                <w:rFonts w:eastAsia="Calibri" w:cs=""/>
                <w:iCs/>
                <w:kern w:val="0"/>
                <w:sz w:val="22"/>
                <w:szCs w:val="22"/>
                <w:lang w:val="ru-RU" w:eastAsia="en-US" w:bidi="ar-SA"/>
              </w:rPr>
              <w:t>Позиция 2</w:t>
            </w:r>
          </w:p>
        </w:tc>
        <w:tc>
          <w:tcPr>
            <w:tcW w:w="1701" w:type="dxa"/>
            <w:tcBorders/>
          </w:tcPr>
          <w:p>
            <w:pPr>
              <w:pStyle w:val="Style38"/>
              <w:widowControl w:val="false"/>
              <w:suppressAutoHyphens w:val="true"/>
              <w:spacing w:before="0" w:after="0"/>
              <w:jc w:val="left"/>
              <w:rPr>
                <w:rFonts w:ascii="Liberation Serif" w:hAnsi="Liberation Serif"/>
                <w:kern w:val="0"/>
                <w:lang w:val="ru-RU" w:bidi="ar-SA"/>
              </w:rPr>
            </w:pPr>
            <w:r>
              <w:rPr>
                <w:rFonts w:eastAsia="Calibri" w:cs="" w:ascii="Liberation Serif" w:hAnsi="Liberation Serif"/>
                <w:kern w:val="0"/>
                <w:sz w:val="22"/>
                <w:szCs w:val="22"/>
                <w:lang w:val="ru-RU" w:eastAsia="en-US" w:bidi="ar-SA"/>
              </w:rPr>
              <w:t xml:space="preserve">Зажим анкерный клиновой РА </w:t>
            </w:r>
            <w:r>
              <w:rPr>
                <w:rFonts w:eastAsia="Calibri" w:cs="" w:ascii="Liberation Serif" w:hAnsi="Liberation Serif"/>
                <w:b w:val="false"/>
                <w:bCs w:val="false"/>
                <w:kern w:val="0"/>
                <w:sz w:val="22"/>
                <w:szCs w:val="22"/>
                <w:lang w:val="ru-RU" w:eastAsia="en-US" w:bidi="ar-SA"/>
              </w:rPr>
              <w:t>2000</w:t>
            </w:r>
          </w:p>
        </w:tc>
        <w:tc>
          <w:tcPr>
            <w:tcW w:w="4379" w:type="dxa"/>
            <w:tcBorders/>
          </w:tcPr>
          <w:p>
            <w:pPr>
              <w:pStyle w:val="Normal"/>
              <w:widowControl w:val="false"/>
              <w:suppressAutoHyphens w:val="true"/>
              <w:spacing w:before="0" w:after="0"/>
              <w:jc w:val="left"/>
              <w:rPr>
                <w:rFonts w:ascii="Liberation Serif" w:hAnsi="Liberation Serif"/>
              </w:rPr>
            </w:pPr>
            <w:r>
              <w:rPr>
                <w:rFonts w:ascii="Liberation Serif" w:hAnsi="Liberation Serif"/>
                <w:sz w:val="22"/>
                <w:szCs w:val="22"/>
              </w:rPr>
              <w:t>Номинальное сечение несущей жилы, мм2: 95-120. Разрушающая нагрузка, кН, не менее 20,0. Предназначен для анкерного крепления изолированной несущей жилы СИП-2 на анкерных, анкерно-угловых опорах.</w:t>
            </w:r>
          </w:p>
        </w:tc>
        <w:tc>
          <w:tcPr>
            <w:tcW w:w="2591" w:type="dxa"/>
            <w:tcBorders/>
          </w:tcPr>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Способ подтверждения: указание наименования, марки продукции</w:t>
            </w:r>
          </w:p>
        </w:tc>
        <w:tc>
          <w:tcPr>
            <w:tcW w:w="1636" w:type="dxa"/>
            <w:tcBorders/>
          </w:tcPr>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 xml:space="preserve">Способ подтверждения: указание </w:t>
            </w:r>
            <w:r>
              <w:rPr>
                <w:rFonts w:eastAsia="Calibri" w:cs=""/>
                <w:i/>
                <w:iCs/>
                <w:color w:val="808080" w:themeColor="background1" w:themeShade="80"/>
                <w:kern w:val="0"/>
                <w:sz w:val="22"/>
                <w:szCs w:val="22"/>
                <w:lang w:val="en-US" w:eastAsia="en-US" w:bidi="ar-SA"/>
              </w:rPr>
              <w:t>Производителя</w:t>
            </w:r>
          </w:p>
        </w:tc>
        <w:tc>
          <w:tcPr>
            <w:tcW w:w="2591" w:type="dxa"/>
            <w:tcBorders/>
          </w:tcPr>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Способ подтверждения: указание технических характеристик.</w:t>
            </w:r>
          </w:p>
        </w:tc>
      </w:tr>
      <w:tr>
        <w:trPr>
          <w:trHeight w:val="143" w:hRule="atLeast"/>
        </w:trPr>
        <w:tc>
          <w:tcPr>
            <w:tcW w:w="710" w:type="dxa"/>
            <w:tcBorders>
              <w:top w:val="nil"/>
            </w:tcBorders>
            <w:vAlign w:val="center"/>
          </w:tcPr>
          <w:p>
            <w:pPr>
              <w:pStyle w:val="ListParagraph"/>
              <w:widowControl w:val="false"/>
              <w:numPr>
                <w:ilvl w:val="0"/>
                <w:numId w:val="0"/>
              </w:numPr>
              <w:suppressAutoHyphens w:val="true"/>
              <w:spacing w:before="0" w:after="0"/>
              <w:ind w:hanging="0" w:left="0"/>
              <w:contextualSpacing w:val="false"/>
              <w:jc w:val="left"/>
              <w:rPr>
                <w:rFonts w:ascii="Times New Roman" w:hAnsi="Times New Roman"/>
              </w:rPr>
            </w:pPr>
            <w:r>
              <w:rPr/>
              <w:t>3</w:t>
            </w:r>
          </w:p>
        </w:tc>
        <w:tc>
          <w:tcPr>
            <w:tcW w:w="1842" w:type="dxa"/>
            <w:tcBorders>
              <w:top w:val="nil"/>
            </w:tcBorders>
          </w:tcPr>
          <w:p>
            <w:pPr>
              <w:pStyle w:val="Normal"/>
              <w:widowControl w:val="false"/>
              <w:suppressAutoHyphens w:val="true"/>
              <w:spacing w:before="0" w:after="0"/>
              <w:jc w:val="left"/>
              <w:rPr>
                <w:rFonts w:ascii="Times New Roman" w:hAnsi="Times New Roman"/>
                <w:sz w:val="22"/>
                <w:szCs w:val="22"/>
              </w:rPr>
            </w:pPr>
            <w:r>
              <w:rPr>
                <w:sz w:val="22"/>
                <w:szCs w:val="22"/>
              </w:rPr>
              <w:t>Позиция 3</w:t>
            </w:r>
          </w:p>
        </w:tc>
        <w:tc>
          <w:tcPr>
            <w:tcW w:w="1701" w:type="dxa"/>
            <w:tcBorders>
              <w:top w:val="nil"/>
            </w:tcBorders>
          </w:tcPr>
          <w:p>
            <w:pPr>
              <w:pStyle w:val="Style38"/>
              <w:widowControl w:val="false"/>
              <w:suppressAutoHyphens w:val="true"/>
              <w:spacing w:before="0" w:after="0"/>
              <w:jc w:val="left"/>
              <w:rPr>
                <w:rFonts w:ascii="Liberation Serif" w:hAnsi="Liberation Serif"/>
              </w:rPr>
            </w:pPr>
            <w:r>
              <w:rPr>
                <w:rFonts w:eastAsia="Calibri" w:cs="" w:ascii="Liberation Serif" w:hAnsi="Liberation Serif"/>
                <w:kern w:val="0"/>
                <w:sz w:val="22"/>
                <w:szCs w:val="22"/>
                <w:lang w:val="ru-RU" w:eastAsia="en-US" w:bidi="ar-SA"/>
              </w:rPr>
              <w:t>Зажим анкерный клиновый РА 1500</w:t>
            </w:r>
          </w:p>
        </w:tc>
        <w:tc>
          <w:tcPr>
            <w:tcW w:w="4379" w:type="dxa"/>
            <w:tcBorders>
              <w:top w:val="nil"/>
            </w:tcBorders>
          </w:tcPr>
          <w:p>
            <w:pPr>
              <w:pStyle w:val="Normal"/>
              <w:widowControl w:val="false"/>
              <w:suppressAutoHyphens w:val="true"/>
              <w:spacing w:before="0" w:after="0"/>
              <w:jc w:val="left"/>
              <w:rPr>
                <w:rFonts w:ascii="Liberation Serif" w:hAnsi="Liberation Serif"/>
              </w:rPr>
            </w:pPr>
            <w:r>
              <w:rPr>
                <w:rFonts w:eastAsia="Calibri" w:cs="" w:ascii="Liberation Serif" w:hAnsi="Liberation Serif"/>
                <w:color w:val="000000"/>
                <w:kern w:val="0"/>
                <w:sz w:val="22"/>
                <w:szCs w:val="22"/>
                <w:lang w:val="ru-RU" w:eastAsia="en-US" w:bidi="ar-SA"/>
              </w:rPr>
              <w:t>Сечение жилы, мм2: 50-70. МРН3, кН: не менее 15. Корпус изготовлен из алюминиевого сплава. Тросик зажима из нержавеющей стали c оконцевателями и пластмассовой накладкой. Предназначен для крепления изолированной нулевой жилы СИП-2 на анкерных и анкерно-угловых опорах.</w:t>
            </w:r>
          </w:p>
        </w:tc>
        <w:tc>
          <w:tcPr>
            <w:tcW w:w="2591" w:type="dxa"/>
            <w:tcBorders>
              <w:top w:val="nil"/>
            </w:tcBorders>
          </w:tcPr>
          <w:p>
            <w:pPr>
              <w:pStyle w:val="Normal"/>
              <w:widowControl w:val="false"/>
              <w:suppressAutoHyphens w:val="true"/>
              <w:spacing w:before="0" w:after="0"/>
              <w:jc w:val="left"/>
              <w:rPr>
                <w:sz w:val="24"/>
                <w:szCs w:val="24"/>
              </w:rPr>
            </w:pPr>
            <w:r>
              <w:rPr>
                <w:rFonts w:eastAsia="Calibri" w:cs="" w:ascii="Calibri" w:hAnsi="Calibri"/>
                <w:i/>
                <w:iCs/>
                <w:color w:val="808080" w:themeColor="background1" w:themeShade="80"/>
                <w:kern w:val="0"/>
                <w:sz w:val="24"/>
                <w:szCs w:val="24"/>
                <w:lang w:val="ru-RU" w:eastAsia="en-US" w:bidi="ar-SA"/>
              </w:rPr>
              <w:t>Способ подтверждения: указание наименования, марки продукции</w:t>
            </w:r>
          </w:p>
        </w:tc>
        <w:tc>
          <w:tcPr>
            <w:tcW w:w="1636" w:type="dxa"/>
            <w:tcBorders>
              <w:top w:val="nil"/>
            </w:tcBorders>
          </w:tcPr>
          <w:p>
            <w:pPr>
              <w:pStyle w:val="Normal"/>
              <w:widowControl w:val="false"/>
              <w:suppressAutoHyphens w:val="true"/>
              <w:spacing w:before="0" w:after="0"/>
              <w:jc w:val="left"/>
              <w:rPr>
                <w:sz w:val="24"/>
                <w:szCs w:val="24"/>
              </w:rPr>
            </w:pPr>
            <w:r>
              <w:rPr>
                <w:rFonts w:eastAsia="Calibri" w:cs="" w:ascii="Calibri" w:hAnsi="Calibri"/>
                <w:i/>
                <w:iCs/>
                <w:color w:val="808080" w:themeColor="background1" w:themeShade="80"/>
                <w:kern w:val="0"/>
                <w:sz w:val="24"/>
                <w:szCs w:val="24"/>
                <w:lang w:val="ru-RU" w:eastAsia="en-US" w:bidi="ar-SA"/>
              </w:rPr>
              <w:t xml:space="preserve">Способ подтверждения: указание </w:t>
            </w:r>
            <w:r>
              <w:rPr>
                <w:rFonts w:eastAsia="Calibri" w:cs="" w:ascii="Calibri" w:hAnsi="Calibri"/>
                <w:i/>
                <w:iCs/>
                <w:color w:val="808080" w:themeColor="background1" w:themeShade="80"/>
                <w:kern w:val="0"/>
                <w:sz w:val="24"/>
                <w:szCs w:val="24"/>
                <w:lang w:val="en-US" w:eastAsia="en-US" w:bidi="ar-SA"/>
              </w:rPr>
              <w:t>Производителя</w:t>
            </w:r>
          </w:p>
        </w:tc>
        <w:tc>
          <w:tcPr>
            <w:tcW w:w="2591" w:type="dxa"/>
            <w:tcBorders>
              <w:top w:val="nil"/>
            </w:tcBorders>
          </w:tcPr>
          <w:p>
            <w:pPr>
              <w:pStyle w:val="Normal"/>
              <w:widowControl w:val="false"/>
              <w:suppressAutoHyphens w:val="true"/>
              <w:spacing w:before="0" w:after="0"/>
              <w:jc w:val="left"/>
              <w:rPr>
                <w:sz w:val="24"/>
                <w:szCs w:val="24"/>
              </w:rPr>
            </w:pPr>
            <w:r>
              <w:rPr>
                <w:rFonts w:eastAsia="Calibri" w:cs="" w:ascii="Calibri" w:hAnsi="Calibri"/>
                <w:i/>
                <w:iCs/>
                <w:color w:val="808080" w:themeColor="background1" w:themeShade="80"/>
                <w:kern w:val="0"/>
                <w:sz w:val="24"/>
                <w:szCs w:val="24"/>
                <w:lang w:val="ru-RU" w:eastAsia="en-US" w:bidi="ar-SA"/>
              </w:rPr>
              <w:t>Способ подтверждения: указание технических характеристик.</w:t>
            </w:r>
          </w:p>
        </w:tc>
      </w:tr>
      <w:tr>
        <w:trPr>
          <w:trHeight w:val="143" w:hRule="atLeast"/>
        </w:trPr>
        <w:tc>
          <w:tcPr>
            <w:tcW w:w="710" w:type="dxa"/>
            <w:tcBorders>
              <w:top w:val="nil"/>
            </w:tcBorders>
            <w:vAlign w:val="center"/>
          </w:tcPr>
          <w:p>
            <w:pPr>
              <w:pStyle w:val="ListParagraph"/>
              <w:widowControl w:val="false"/>
              <w:numPr>
                <w:ilvl w:val="0"/>
                <w:numId w:val="0"/>
              </w:numPr>
              <w:suppressAutoHyphens w:val="true"/>
              <w:spacing w:before="0" w:after="0"/>
              <w:ind w:hanging="0" w:left="0"/>
              <w:contextualSpacing w:val="false"/>
              <w:jc w:val="left"/>
              <w:rPr>
                <w:rFonts w:ascii="Times New Roman" w:hAnsi="Times New Roman"/>
              </w:rPr>
            </w:pPr>
            <w:r>
              <w:rPr/>
            </w:r>
          </w:p>
          <w:p>
            <w:pPr>
              <w:pStyle w:val="ListParagraph"/>
              <w:widowControl w:val="false"/>
              <w:numPr>
                <w:ilvl w:val="0"/>
                <w:numId w:val="0"/>
              </w:numPr>
              <w:suppressAutoHyphens w:val="true"/>
              <w:spacing w:before="0" w:after="0"/>
              <w:ind w:hanging="0" w:left="0"/>
              <w:contextualSpacing w:val="false"/>
              <w:jc w:val="left"/>
              <w:rPr>
                <w:rFonts w:ascii="Times New Roman" w:hAnsi="Times New Roman"/>
              </w:rPr>
            </w:pPr>
            <w:r>
              <w:rPr/>
              <w:t>4</w:t>
            </w:r>
          </w:p>
        </w:tc>
        <w:tc>
          <w:tcPr>
            <w:tcW w:w="1842" w:type="dxa"/>
            <w:tcBorders>
              <w:top w:val="nil"/>
            </w:tcBorders>
          </w:tcPr>
          <w:p>
            <w:pPr>
              <w:pStyle w:val="Normal"/>
              <w:widowControl w:val="false"/>
              <w:suppressAutoHyphens w:val="true"/>
              <w:spacing w:before="0" w:after="0"/>
              <w:jc w:val="left"/>
              <w:rPr>
                <w:rFonts w:ascii="Times New Roman" w:hAnsi="Times New Roman"/>
              </w:rPr>
            </w:pPr>
            <w:r>
              <w:rPr/>
            </w:r>
          </w:p>
          <w:p>
            <w:pPr>
              <w:pStyle w:val="Normal"/>
              <w:widowControl w:val="false"/>
              <w:suppressAutoHyphens w:val="true"/>
              <w:spacing w:before="0" w:after="0"/>
              <w:jc w:val="left"/>
              <w:rPr>
                <w:rFonts w:ascii="Times New Roman" w:hAnsi="Times New Roman"/>
              </w:rPr>
            </w:pPr>
            <w:r>
              <w:rPr>
                <w:rFonts w:eastAsia="Calibri" w:cs=""/>
                <w:iCs/>
                <w:kern w:val="0"/>
                <w:sz w:val="22"/>
                <w:szCs w:val="22"/>
                <w:lang w:val="ru-RU" w:eastAsia="en-US" w:bidi="ar-SA"/>
              </w:rPr>
              <w:t>Позиция 4</w:t>
            </w:r>
          </w:p>
        </w:tc>
        <w:tc>
          <w:tcPr>
            <w:tcW w:w="1701" w:type="dxa"/>
            <w:tcBorders>
              <w:top w:val="nil"/>
            </w:tcBorders>
          </w:tcPr>
          <w:p>
            <w:pPr>
              <w:pStyle w:val="Style38"/>
              <w:widowControl w:val="false"/>
              <w:suppressAutoHyphens w:val="true"/>
              <w:spacing w:before="0" w:after="0"/>
              <w:jc w:val="left"/>
              <w:rPr>
                <w:rFonts w:ascii="Liberation Serif" w:hAnsi="Liberation Serif" w:eastAsia="Calibri" w:cs=""/>
                <w:kern w:val="0"/>
                <w:sz w:val="22"/>
                <w:szCs w:val="22"/>
                <w:lang w:val="ru-RU" w:eastAsia="en-US" w:bidi="ar-SA"/>
              </w:rPr>
            </w:pPr>
            <w:r>
              <w:rPr>
                <w:rFonts w:eastAsia="Calibri" w:cs="" w:ascii="Liberation Serif" w:hAnsi="Liberation Serif"/>
                <w:kern w:val="0"/>
                <w:sz w:val="22"/>
                <w:szCs w:val="22"/>
                <w:lang w:val="ru-RU" w:eastAsia="en-US" w:bidi="ar-SA"/>
              </w:rPr>
            </w:r>
          </w:p>
          <w:p>
            <w:pPr>
              <w:pStyle w:val="Style38"/>
              <w:widowControl w:val="false"/>
              <w:suppressAutoHyphens w:val="true"/>
              <w:spacing w:before="0" w:after="0"/>
              <w:jc w:val="left"/>
              <w:rPr>
                <w:rFonts w:ascii="Liberation Serif" w:hAnsi="Liberation Serif"/>
                <w:sz w:val="22"/>
                <w:szCs w:val="22"/>
              </w:rPr>
            </w:pPr>
            <w:r>
              <w:rPr>
                <w:rFonts w:eastAsia="Calibri" w:cs="" w:ascii="Liberation Serif" w:hAnsi="Liberation Serif"/>
                <w:kern w:val="0"/>
                <w:sz w:val="22"/>
                <w:szCs w:val="22"/>
                <w:lang w:val="ru-RU" w:eastAsia="en-US" w:bidi="ar-SA"/>
              </w:rPr>
              <w:t>Комплект промежуточной подвески ЕS 1500</w:t>
            </w:r>
          </w:p>
        </w:tc>
        <w:tc>
          <w:tcPr>
            <w:tcW w:w="4379" w:type="dxa"/>
            <w:tcBorders>
              <w:top w:val="nil"/>
            </w:tcBorders>
          </w:tcPr>
          <w:p>
            <w:pPr>
              <w:pStyle w:val="Normal"/>
              <w:widowControl w:val="false"/>
              <w:suppressAutoHyphens w:val="true"/>
              <w:spacing w:before="0" w:after="0"/>
              <w:jc w:val="left"/>
              <w:rPr>
                <w:rFonts w:ascii="Liberation Serif" w:hAnsi="Liberation Serif"/>
                <w:sz w:val="22"/>
                <w:szCs w:val="22"/>
              </w:rPr>
            </w:pPr>
            <w:r>
              <w:rPr>
                <w:rFonts w:ascii="Liberation Serif" w:hAnsi="Liberation Serif"/>
                <w:sz w:val="22"/>
                <w:szCs w:val="22"/>
              </w:rPr>
            </w:r>
          </w:p>
          <w:p>
            <w:pPr>
              <w:pStyle w:val="Normal"/>
              <w:widowControl w:val="false"/>
              <w:suppressAutoHyphens w:val="true"/>
              <w:spacing w:before="0" w:after="0"/>
              <w:jc w:val="left"/>
              <w:rPr>
                <w:rFonts w:ascii="Liberation Serif" w:hAnsi="Liberation Serif"/>
                <w:sz w:val="22"/>
                <w:szCs w:val="22"/>
              </w:rPr>
            </w:pPr>
            <w:r>
              <w:rPr>
                <w:rFonts w:ascii="Liberation Serif" w:hAnsi="Liberation Serif"/>
                <w:sz w:val="22"/>
                <w:szCs w:val="22"/>
              </w:rPr>
              <w:t>Состав комплекта: кронштейн + поддерживающий зажим. Сечение жилы, мм2: 25-95. МРН, кН: не менее 12. Наличие в кронштейне выступа упора для подвески раскаточного ролика. Предназначен для подвески самонесущих проводников с изолированным несущим проводником на промежуточных опорах. Зажим подвески имеет подвижное звено и устройство для фиксации в желобе несущей нулевой жилы.</w:t>
            </w:r>
          </w:p>
        </w:tc>
        <w:tc>
          <w:tcPr>
            <w:tcW w:w="2591" w:type="dxa"/>
            <w:tcBorders>
              <w:top w:val="nil"/>
            </w:tcBorders>
          </w:tcPr>
          <w:p>
            <w:pPr>
              <w:pStyle w:val="Normal"/>
              <w:widowControl w:val="false"/>
              <w:suppressAutoHyphens w:val="true"/>
              <w:spacing w:before="0" w:after="0"/>
              <w:jc w:val="left"/>
              <w:rPr>
                <w:sz w:val="22"/>
                <w:szCs w:val="22"/>
              </w:rPr>
            </w:pPr>
            <w:r>
              <w:rPr>
                <w:sz w:val="22"/>
                <w:szCs w:val="22"/>
              </w:rPr>
            </w:r>
          </w:p>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Способ подтверждения: указание наименования, марки продукции</w:t>
            </w:r>
          </w:p>
        </w:tc>
        <w:tc>
          <w:tcPr>
            <w:tcW w:w="1636" w:type="dxa"/>
            <w:tcBorders>
              <w:top w:val="nil"/>
            </w:tcBorders>
          </w:tcPr>
          <w:p>
            <w:pPr>
              <w:pStyle w:val="Normal"/>
              <w:widowControl w:val="false"/>
              <w:suppressAutoHyphens w:val="true"/>
              <w:spacing w:before="0" w:after="0"/>
              <w:jc w:val="left"/>
              <w:rPr>
                <w:sz w:val="22"/>
                <w:szCs w:val="22"/>
              </w:rPr>
            </w:pPr>
            <w:r>
              <w:rPr>
                <w:sz w:val="22"/>
                <w:szCs w:val="22"/>
              </w:rPr>
            </w:r>
          </w:p>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 xml:space="preserve">Способ подтверждения: указание </w:t>
            </w:r>
            <w:r>
              <w:rPr>
                <w:rFonts w:eastAsia="Calibri" w:cs=""/>
                <w:i/>
                <w:iCs/>
                <w:color w:val="808080" w:themeColor="background1" w:themeShade="80"/>
                <w:kern w:val="0"/>
                <w:sz w:val="22"/>
                <w:szCs w:val="22"/>
                <w:lang w:val="en-US" w:eastAsia="en-US" w:bidi="ar-SA"/>
              </w:rPr>
              <w:t>Производителя</w:t>
            </w:r>
          </w:p>
        </w:tc>
        <w:tc>
          <w:tcPr>
            <w:tcW w:w="2591" w:type="dxa"/>
            <w:tcBorders>
              <w:top w:val="nil"/>
            </w:tcBorders>
          </w:tcPr>
          <w:p>
            <w:pPr>
              <w:pStyle w:val="Normal"/>
              <w:widowControl w:val="false"/>
              <w:suppressAutoHyphens w:val="true"/>
              <w:spacing w:before="0" w:after="0"/>
              <w:jc w:val="left"/>
              <w:rPr>
                <w:sz w:val="22"/>
                <w:szCs w:val="22"/>
              </w:rPr>
            </w:pPr>
            <w:r>
              <w:rPr>
                <w:sz w:val="22"/>
                <w:szCs w:val="22"/>
              </w:rPr>
            </w:r>
          </w:p>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Способ подтверждения: указание технических характеристик.</w:t>
            </w:r>
          </w:p>
        </w:tc>
      </w:tr>
      <w:tr>
        <w:trPr/>
        <w:tc>
          <w:tcPr>
            <w:tcW w:w="710" w:type="dxa"/>
            <w:tcBorders>
              <w:top w:val="nil"/>
            </w:tcBorders>
            <w:vAlign w:val="center"/>
          </w:tcPr>
          <w:p>
            <w:pPr>
              <w:pStyle w:val="ListParagraph"/>
              <w:widowControl w:val="false"/>
              <w:numPr>
                <w:ilvl w:val="0"/>
                <w:numId w:val="0"/>
              </w:numPr>
              <w:suppressAutoHyphens w:val="true"/>
              <w:spacing w:before="0" w:after="0"/>
              <w:ind w:hanging="0" w:left="0"/>
              <w:contextualSpacing w:val="false"/>
              <w:jc w:val="left"/>
              <w:rPr>
                <w:rFonts w:ascii="Times New Roman" w:hAnsi="Times New Roman"/>
              </w:rPr>
            </w:pPr>
            <w:r>
              <w:rPr>
                <w:rFonts w:cs=""/>
                <w:kern w:val="0"/>
                <w:lang w:val="ru-RU" w:eastAsia="en-US" w:bidi="ar-SA"/>
              </w:rPr>
              <w:t>5</w:t>
            </w:r>
          </w:p>
        </w:tc>
        <w:tc>
          <w:tcPr>
            <w:tcW w:w="1842" w:type="dxa"/>
            <w:tcBorders>
              <w:top w:val="nil"/>
            </w:tcBorders>
          </w:tcPr>
          <w:p>
            <w:pPr>
              <w:pStyle w:val="Normal"/>
              <w:widowControl w:val="false"/>
              <w:suppressAutoHyphens w:val="true"/>
              <w:spacing w:before="0" w:after="0"/>
              <w:jc w:val="left"/>
              <w:rPr>
                <w:sz w:val="22"/>
                <w:szCs w:val="22"/>
              </w:rPr>
            </w:pPr>
            <w:r>
              <w:rPr>
                <w:rFonts w:eastAsia="Calibri" w:cs=""/>
                <w:iCs/>
                <w:kern w:val="0"/>
                <w:sz w:val="22"/>
                <w:szCs w:val="22"/>
                <w:lang w:val="ru-RU" w:eastAsia="en-US" w:bidi="ar-SA"/>
              </w:rPr>
              <w:t>Позиция 5</w:t>
            </w:r>
          </w:p>
        </w:tc>
        <w:tc>
          <w:tcPr>
            <w:tcW w:w="1701" w:type="dxa"/>
            <w:tcBorders>
              <w:top w:val="nil"/>
            </w:tcBorders>
          </w:tcPr>
          <w:p>
            <w:pPr>
              <w:pStyle w:val="Style38"/>
              <w:widowControl w:val="false"/>
              <w:suppressAutoHyphens w:val="true"/>
              <w:spacing w:before="0" w:after="0"/>
              <w:jc w:val="left"/>
              <w:rPr>
                <w:rFonts w:ascii="Liberation Serif" w:hAnsi="Liberation Serif"/>
                <w:sz w:val="22"/>
                <w:szCs w:val="22"/>
              </w:rPr>
            </w:pPr>
            <w:r>
              <w:rPr>
                <w:rFonts w:eastAsia="Calibri" w:cs="" w:ascii="Liberation Serif" w:hAnsi="Liberation Serif"/>
                <w:kern w:val="0"/>
                <w:sz w:val="22"/>
                <w:szCs w:val="22"/>
                <w:lang w:val="ru-RU" w:eastAsia="en-US" w:bidi="ar-SA"/>
              </w:rPr>
              <w:t>Кронштейн анкерный СА 2000</w:t>
            </w:r>
          </w:p>
        </w:tc>
        <w:tc>
          <w:tcPr>
            <w:tcW w:w="4379" w:type="dxa"/>
            <w:tcBorders>
              <w:top w:val="nil"/>
            </w:tcBorders>
          </w:tcPr>
          <w:p>
            <w:pPr>
              <w:pStyle w:val="Normal"/>
              <w:widowControl w:val="false"/>
              <w:suppressAutoHyphens w:val="true"/>
              <w:spacing w:before="0" w:after="0"/>
              <w:jc w:val="left"/>
              <w:rPr>
                <w:rFonts w:ascii="Liberation Serif" w:hAnsi="Liberation Serif"/>
                <w:sz w:val="22"/>
                <w:szCs w:val="22"/>
              </w:rPr>
            </w:pPr>
            <w:r>
              <w:rPr>
                <w:rFonts w:eastAsia="Calibri" w:cs="" w:ascii="Liberation Serif" w:hAnsi="Liberation Serif"/>
                <w:color w:val="000000"/>
                <w:kern w:val="0"/>
                <w:sz w:val="22"/>
                <w:szCs w:val="22"/>
                <w:lang w:val="ru-RU" w:eastAsia="en-US" w:bidi="ar-SA"/>
              </w:rPr>
              <w:t>Кронштейн анкерный СА-2000 обеспечивает крепление одного или двух анкерных зажимов для магистральных СИП опоры или стене здания. Крепление осуществляется двумя болтами М14 или М16 или при помощи двух полос металлической ленты 20 мм. Ограничители препятствуют соскальзыванию ленты. Разделительные риски препятствуют нахлесту витков ленты. Кронштейн представляет собой моноблок из алюминиевого сплава с высокой механической прочностью и высокой устойчивостью к коррозии в промышленной среде, влажном климате и при низких температурах. Продукция имеет сертификат соответствия</w:t>
            </w:r>
          </w:p>
        </w:tc>
        <w:tc>
          <w:tcPr>
            <w:tcW w:w="2591" w:type="dxa"/>
            <w:tcBorders>
              <w:top w:val="nil"/>
            </w:tcBorders>
          </w:tcPr>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Способ подтверждения: указание наименования, марки продукции</w:t>
            </w:r>
          </w:p>
        </w:tc>
        <w:tc>
          <w:tcPr>
            <w:tcW w:w="1636" w:type="dxa"/>
            <w:tcBorders>
              <w:top w:val="nil"/>
            </w:tcBorders>
          </w:tcPr>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 xml:space="preserve">Способ подтверждения: указание </w:t>
            </w:r>
            <w:r>
              <w:rPr>
                <w:rFonts w:eastAsia="Calibri" w:cs=""/>
                <w:i/>
                <w:iCs/>
                <w:color w:val="808080" w:themeColor="background1" w:themeShade="80"/>
                <w:kern w:val="0"/>
                <w:sz w:val="22"/>
                <w:szCs w:val="22"/>
                <w:lang w:val="en-US" w:eastAsia="en-US" w:bidi="ar-SA"/>
              </w:rPr>
              <w:t>Производителя</w:t>
            </w:r>
          </w:p>
        </w:tc>
        <w:tc>
          <w:tcPr>
            <w:tcW w:w="2591" w:type="dxa"/>
            <w:tcBorders>
              <w:top w:val="nil"/>
            </w:tcBorders>
          </w:tcPr>
          <w:p>
            <w:pPr>
              <w:pStyle w:val="Normal"/>
              <w:widowControl w:val="false"/>
              <w:suppressAutoHyphens w:val="true"/>
              <w:spacing w:before="0" w:after="0"/>
              <w:jc w:val="left"/>
              <w:rPr>
                <w:sz w:val="22"/>
                <w:szCs w:val="22"/>
              </w:rPr>
            </w:pPr>
            <w:r>
              <w:rPr>
                <w:rFonts w:eastAsia="Calibri" w:cs=""/>
                <w:i/>
                <w:iCs/>
                <w:color w:val="808080" w:themeColor="background1" w:themeShade="80"/>
                <w:kern w:val="0"/>
                <w:sz w:val="22"/>
                <w:szCs w:val="22"/>
                <w:lang w:val="ru-RU" w:eastAsia="en-US" w:bidi="ar-SA"/>
              </w:rPr>
              <w:t>Способ подтверждения: указание технических характеристик.</w:t>
            </w:r>
          </w:p>
        </w:tc>
      </w:tr>
    </w:tbl>
    <w:p>
      <w:pPr>
        <w:pStyle w:val="Normal"/>
        <w:ind w:hanging="0" w:left="720" w:right="397"/>
        <w:jc w:val="both"/>
        <w:rPr>
          <w:sz w:val="24"/>
          <w:szCs w:val="24"/>
        </w:rPr>
      </w:pPr>
      <w:r>
        <w:rPr>
          <w:sz w:val="24"/>
          <w:szCs w:val="24"/>
        </w:rPr>
      </w:r>
    </w:p>
    <w:p>
      <w:pPr>
        <w:pStyle w:val="Normal"/>
        <w:ind w:hanging="0" w:left="720" w:right="397"/>
        <w:jc w:val="both"/>
        <w:rPr>
          <w:sz w:val="24"/>
          <w:szCs w:val="24"/>
        </w:rPr>
      </w:pPr>
      <w:r>
        <w:rPr>
          <w:i/>
          <w:iCs/>
          <w:sz w:val="24"/>
          <w:szCs w:val="24"/>
        </w:rPr>
        <w:t>* Указанные в настоящем техническом требовании ссылки на марку (тип) продукции носят описательный, а не обязательный характер. 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 а также документы по п. 3 раздела 2.2.1 технических требований.</w:t>
      </w:r>
    </w:p>
    <w:p>
      <w:pPr>
        <w:pStyle w:val="Normal"/>
        <w:ind w:hanging="0" w:left="720" w:right="397"/>
        <w:jc w:val="both"/>
        <w:rPr>
          <w:sz w:val="24"/>
          <w:szCs w:val="24"/>
        </w:rPr>
      </w:pPr>
      <w:r>
        <w:rPr>
          <w:i/>
          <w:iCs/>
          <w:sz w:val="24"/>
          <w:szCs w:val="24"/>
        </w:rPr>
        <w:t>Параметрами эквивалентности являются технические характеристики продукции, указанные в Таблице № 2.3. настоящих технических требований.</w:t>
      </w:r>
    </w:p>
    <w:p>
      <w:pPr>
        <w:pStyle w:val="Normal"/>
        <w:ind w:hanging="0" w:left="720" w:right="397"/>
        <w:jc w:val="both"/>
        <w:rPr>
          <w:sz w:val="24"/>
          <w:szCs w:val="24"/>
        </w:rPr>
      </w:pPr>
      <w:r>
        <w:rPr>
          <w:i/>
          <w:iCs/>
          <w:sz w:val="24"/>
          <w:szCs w:val="24"/>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p>
      <w:pPr>
        <w:pStyle w:val="Normal"/>
        <w:ind w:hanging="0" w:left="720" w:right="-28"/>
        <w:jc w:val="both"/>
        <w:rPr>
          <w:sz w:val="24"/>
          <w:szCs w:val="24"/>
        </w:rPr>
      </w:pPr>
      <w:r>
        <w:rPr>
          <w:i/>
          <w:iCs/>
          <w:sz w:val="24"/>
          <w:szCs w:val="24"/>
        </w:rPr>
        <w:t>** Способ подтверждения участником соответствия требованиям указан в таблице в отношении каждой позиции закупаемой продукции</w:t>
      </w:r>
    </w:p>
    <w:p>
      <w:pPr>
        <w:pStyle w:val="ListParagraph"/>
        <w:numPr>
          <w:ilvl w:val="0"/>
          <w:numId w:val="0"/>
        </w:numPr>
        <w:spacing w:before="0" w:after="60"/>
        <w:ind w:hanging="0" w:left="1225"/>
        <w:contextualSpacing/>
        <w:jc w:val="both"/>
        <w:outlineLvl w:val="2"/>
        <w:rPr>
          <w:sz w:val="24"/>
          <w:szCs w:val="24"/>
          <w:lang w:eastAsia="x-none"/>
        </w:rPr>
      </w:pPr>
      <w:r>
        <w:rPr>
          <w:sz w:val="24"/>
          <w:szCs w:val="24"/>
          <w:lang w:eastAsia="x-none"/>
        </w:rPr>
      </w:r>
    </w:p>
    <w:p>
      <w:pPr>
        <w:pStyle w:val="Heading1"/>
        <w:keepLines/>
        <w:numPr>
          <w:ilvl w:val="0"/>
          <w:numId w:val="3"/>
        </w:numPr>
        <w:tabs>
          <w:tab w:val="left" w:pos="0" w:leader="none"/>
          <w:tab w:val="left" w:pos="1134" w:leader="none"/>
        </w:tabs>
        <w:spacing w:before="0" w:after="0"/>
        <w:ind w:firstLine="794" w:left="0"/>
        <w:jc w:val="both"/>
        <w:rPr>
          <w:sz w:val="24"/>
          <w:szCs w:val="24"/>
        </w:rPr>
      </w:pPr>
      <w:bookmarkStart w:id="24" w:name="_Toc53393312"/>
      <w:r>
        <w:rPr>
          <w:sz w:val="24"/>
          <w:szCs w:val="24"/>
          <w:lang w:val="ru-RU"/>
        </w:rPr>
        <w:t>Требования к документации по ценообразованию</w:t>
      </w:r>
      <w:bookmarkEnd w:id="24"/>
      <w:r>
        <w:rPr>
          <w:sz w:val="24"/>
          <w:szCs w:val="24"/>
          <w:lang w:val="ru-RU"/>
        </w:rPr>
        <w:t xml:space="preserve"> на этапе закупки</w:t>
      </w:r>
      <w:bookmarkEnd w:id="23"/>
    </w:p>
    <w:p>
      <w:pPr>
        <w:pStyle w:val="Normal"/>
        <w:tabs>
          <w:tab w:val="clear" w:pos="708"/>
          <w:tab w:val="left" w:pos="1134" w:leader="none"/>
          <w:tab w:val="left" w:pos="9356" w:leader="none"/>
        </w:tabs>
        <w:ind w:firstLine="737" w:right="-57"/>
        <w:jc w:val="both"/>
        <w:rPr>
          <w:sz w:val="24"/>
          <w:szCs w:val="24"/>
        </w:rPr>
      </w:pPr>
      <w:r>
        <w:rPr>
          <w:bCs/>
          <w:iCs/>
          <w:sz w:val="24"/>
          <w:szCs w:val="24"/>
          <w:lang w:eastAsia="x-none"/>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ind w:firstLine="737" w:right="-57"/>
        <w:jc w:val="both"/>
        <w:rPr>
          <w:sz w:val="24"/>
          <w:szCs w:val="24"/>
        </w:rPr>
      </w:pPr>
      <w:r>
        <w:rPr>
          <w:bCs/>
          <w:iCs/>
          <w:sz w:val="24"/>
          <w:szCs w:val="24"/>
          <w:lang w:eastAsia="x-none"/>
        </w:rPr>
        <w:t>3.2.</w:t>
      </w:r>
      <w:r>
        <w:rPr>
          <w:sz w:val="24"/>
          <w:szCs w:val="24"/>
        </w:rPr>
        <w:t xml:space="preserve"> 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bookmarkEnd w:id="21"/>
      <w:bookmarkEnd w:id="22"/>
    </w:p>
    <w:p>
      <w:pPr>
        <w:pStyle w:val="ListParagraph"/>
        <w:widowControl w:val="false"/>
        <w:tabs>
          <w:tab w:val="clear" w:pos="708"/>
          <w:tab w:val="left" w:pos="426" w:leader="none"/>
        </w:tabs>
        <w:spacing w:before="0" w:after="0"/>
        <w:contextualSpacing w:val="false"/>
        <w:jc w:val="both"/>
        <w:rPr/>
      </w:pPr>
      <w:r>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567" w:right="567" w:gutter="0" w:header="680" w:top="1134" w:footer="0" w:bottom="567"/>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roman"/>
    <w:pitch w:val="variable"/>
  </w:font>
  <w:font w:name="Liberation Serif">
    <w:altName w:val="Times New Roman"/>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Times New Roman" w:hAnsi="Times New Roman" w:cs="Times New Roman"/>
        <w:sz w:val="18"/>
        <w:szCs w:val="18"/>
        <w:lang w:val="en-RU"/>
      </w:rPr>
    </w:pPr>
    <w:r>
      <w:rPr>
        <w:rFonts w:cs="Times New Roman"/>
        <w:sz w:val="18"/>
        <w:szCs w:val="18"/>
        <w:lang w:val="en-RU"/>
      </w:rPr>
      <w:t>Документ распечатан из программы 1С: Документооборот. Версия файла 1.Документ распечатан из программы 1С: Документооборот. Версия файла 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Times New Roman" w:hAnsi="Times New Roman" w:cs="Times New Roman"/>
        <w:sz w:val="18"/>
        <w:szCs w:val="18"/>
        <w:lang w:val="en-RU"/>
      </w:rPr>
    </w:pPr>
    <w:r>
      <w:rPr>
        <w:rFonts w:cs="Times New Roman"/>
        <w:sz w:val="18"/>
        <w:szCs w:val="18"/>
        <w:lang w:val="en-RU"/>
      </w:rPr>
      <w:t>Документ распечатан из программы 1С: Документооборот. Версия файла 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Times New Roman" w:hAnsi="Times New Roman" w:cs="Times New Roman"/>
        <w:sz w:val="18"/>
        <w:szCs w:val="18"/>
        <w:lang w:val="en-RU"/>
      </w:rPr>
    </w:pPr>
    <w:r>
      <w:rPr>
        <w:rFonts w:cs="Times New Roman"/>
        <w:sz w:val="18"/>
        <w:szCs w:val="18"/>
        <w:lang w:val="en-RU"/>
      </w:rPr>
      <w:t>Документ распечатан из программы 1С: Документооборот. Версия файла 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3A96FDF9">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3A96FDF9">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6"/>
        <w:sz w:val="26"/>
        <w:spacing w:val="0"/>
        <w:i w:val="false"/>
        <w:u w:val="none"/>
        <w:b/>
        <w:kern w:val="0"/>
        <w:effect w:val="none"/>
        <w:szCs w:val="26"/>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2"/>
        <w:b/>
        <w:szCs w:val="22"/>
        <w:bCs w:val="false"/>
      </w:rPr>
    </w:lvl>
    <w:lvl w:ilvl="1">
      <w:start w:val="1"/>
      <w:numFmt w:val="decimal"/>
      <w:lvlText w:val="%1.%2."/>
      <w:lvlJc w:val="left"/>
      <w:pPr>
        <w:tabs>
          <w:tab w:val="num" w:pos="0"/>
        </w:tabs>
        <w:ind w:left="858" w:hanging="432"/>
      </w:pPr>
      <w:rPr>
        <w:sz w:val="22"/>
        <w:b w:val="false"/>
        <w:szCs w:val="22"/>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5"/>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uiPriority w:val="99"/>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3"/>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uiPriority w:val="99"/>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10"/>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Markedcontent" w:customStyle="1">
    <w:name w:val="markedcontent"/>
    <w:basedOn w:val="DefaultParagraphFont"/>
    <w:qFormat/>
    <w:rsid w:val="00a33766"/>
    <w:rPr/>
  </w:style>
  <w:style w:type="character" w:styleId="Style14" w:customStyle="1">
    <w:name w:val="Основной текст с отступом Знак"/>
    <w:basedOn w:val="DefaultParagraphFont"/>
    <w:qFormat/>
    <w:rsid w:val="00730aab"/>
    <w:rPr>
      <w:sz w:val="24"/>
      <w:szCs w:val="24"/>
    </w:rPr>
  </w:style>
  <w:style w:type="character" w:styleId="14" w:customStyle="1">
    <w:name w:val="Пункт Знак1"/>
    <w:link w:val="Style30"/>
    <w:qFormat/>
    <w:rsid w:val="000d70e6"/>
    <w:rPr>
      <w:rFonts w:ascii="Arial" w:hAnsi="Arial"/>
      <w:b/>
      <w:i/>
      <w:sz w:val="28"/>
    </w:rPr>
  </w:style>
  <w:style w:type="character" w:styleId="Style15" w:customStyle="1">
    <w:name w:val="Текст выноски Знак"/>
    <w:basedOn w:val="DefaultParagraphFont"/>
    <w:link w:val="BalloonText"/>
    <w:uiPriority w:val="99"/>
    <w:semiHidden/>
    <w:qFormat/>
    <w:rsid w:val="000d70e6"/>
    <w:rPr>
      <w:rFonts w:ascii="Tahoma" w:hAnsi="Tahoma" w:cs="Tahoma"/>
      <w:sz w:val="16"/>
      <w:szCs w:val="16"/>
    </w:rPr>
  </w:style>
  <w:style w:type="character" w:styleId="Style16" w:customStyle="1">
    <w:name w:val="Тема примечания Знак"/>
    <w:basedOn w:val="Style11"/>
    <w:link w:val="Annotationsubject"/>
    <w:uiPriority w:val="99"/>
    <w:semiHidden/>
    <w:qFormat/>
    <w:rsid w:val="000d70e6"/>
    <w:rPr>
      <w:b/>
      <w:bCs/>
    </w:rPr>
  </w:style>
  <w:style w:type="character" w:styleId="Style17" w:customStyle="1">
    <w:name w:val="Символ нумерации"/>
    <w:qFormat/>
    <w:rPr/>
  </w:style>
  <w:style w:type="character" w:styleId="Linenumber1" w:customStyle="1">
    <w:name w:val="line number1"/>
    <w:qFormat/>
    <w:rPr/>
  </w:style>
  <w:style w:type="character" w:styleId="Linenumber2" w:customStyle="1">
    <w:name w:val="line number2"/>
    <w:qFormat/>
    <w:rPr/>
  </w:style>
  <w:style w:type="character" w:styleId="Linenumber3" w:customStyle="1">
    <w:name w:val="line number3"/>
    <w:qFormat/>
    <w:rPr/>
  </w:style>
  <w:style w:type="character" w:styleId="Linenumber">
    <w:name w:val="line number"/>
    <w:qFormat/>
    <w:rPr/>
  </w:style>
  <w:style w:type="character" w:styleId="Style18">
    <w:name w:val="Маркеры"/>
    <w:qFormat/>
    <w:rPr>
      <w:rFonts w:ascii="OpenSymbol" w:hAnsi="OpenSymbol" w:eastAsia="OpenSymbol" w:cs="OpenSymbol"/>
    </w:rPr>
  </w:style>
  <w:style w:type="paragraph" w:styleId="Style19">
    <w:name w:val="Заголовок"/>
    <w:basedOn w:val="Normal"/>
    <w:next w:val="BodyText"/>
    <w:qFormat/>
    <w:pPr>
      <w:keepNext w:val="true"/>
      <w:spacing w:before="240" w:after="120"/>
    </w:pPr>
    <w:rPr>
      <w:rFonts w:ascii="Liberation Sans" w:hAnsi="Liberation Sans" w:eastAsia="Tahoma" w:cs="Lohit Devanagari"/>
      <w:sz w:val="28"/>
      <w:szCs w:val="28"/>
    </w:rPr>
  </w:style>
  <w:style w:type="paragraph" w:styleId="BodyText">
    <w:name w:val="Body Text"/>
    <w:basedOn w:val="Normal"/>
    <w:link w:val="Style6"/>
    <w:uiPriority w:val="99"/>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0">
    <w:name w:val="Указатель"/>
    <w:basedOn w:val="Normal"/>
    <w:qFormat/>
    <w:pPr>
      <w:suppressLineNumbers/>
    </w:pPr>
    <w:rPr>
      <w:rFonts w:cs="Lohit Devanagari"/>
    </w:rPr>
  </w:style>
  <w:style w:type="paragraph" w:styleId="Title">
    <w:name w:val="Title"/>
    <w:basedOn w:val="Normal"/>
    <w:next w:val="BodyText"/>
    <w:qFormat/>
    <w:pPr>
      <w:keepNext w:val="true"/>
      <w:spacing w:before="240" w:after="120"/>
    </w:pPr>
    <w:rPr>
      <w:rFonts w:ascii="Liberation Sans" w:hAnsi="Liberation Sans" w:eastAsia="WenQuanYi Zen Hei Sharp"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Lohit Devanagari"/>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rFonts w:cs="Lohit Devanagari"/>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rFonts w:cs="Lohit Devanagari"/>
      <w:i/>
      <w:iCs/>
      <w:sz w:val="24"/>
      <w:szCs w:val="24"/>
    </w:rPr>
  </w:style>
  <w:style w:type="paragraph" w:styleId="Indexheading1111" w:customStyle="1">
    <w:name w:val="index heading1111"/>
    <w:basedOn w:val="Title"/>
    <w:qFormat/>
    <w:pPr/>
    <w:rPr/>
  </w:style>
  <w:style w:type="paragraph" w:styleId="Caption11111" w:customStyle="1">
    <w:name w:val="caption11111"/>
    <w:basedOn w:val="Normal"/>
    <w:qFormat/>
    <w:pPr>
      <w:suppressLineNumbers/>
      <w:spacing w:before="120" w:after="120"/>
    </w:pPr>
    <w:rPr>
      <w:rFonts w:cs="Lohit Devanagari"/>
      <w:i/>
      <w:iCs/>
      <w:sz w:val="24"/>
      <w:szCs w:val="24"/>
    </w:rPr>
  </w:style>
  <w:style w:type="paragraph" w:styleId="Indexheading11111" w:customStyle="1">
    <w:name w:val="index heading11111"/>
    <w:basedOn w:val="Title"/>
    <w:qFormat/>
    <w:pPr/>
    <w:rPr/>
  </w:style>
  <w:style w:type="paragraph" w:styleId="Caption111111" w:customStyle="1">
    <w:name w:val="caption111111"/>
    <w:basedOn w:val="Normal"/>
    <w:qFormat/>
    <w:pPr>
      <w:suppressLineNumbers/>
      <w:spacing w:before="120" w:after="120"/>
    </w:pPr>
    <w:rPr>
      <w:rFonts w:cs="Lohit Devanagari"/>
      <w:i/>
      <w:iCs/>
      <w:sz w:val="24"/>
      <w:szCs w:val="24"/>
    </w:rPr>
  </w:style>
  <w:style w:type="paragraph" w:styleId="Indexheading111111" w:customStyle="1">
    <w:name w:val="index heading111111"/>
    <w:basedOn w:val="Title"/>
    <w:qFormat/>
    <w:pPr/>
    <w:rPr/>
  </w:style>
  <w:style w:type="paragraph" w:styleId="Style21" w:customStyle="1">
    <w:name w:val="Название раздела инструкции"/>
    <w:basedOn w:val="Normal"/>
    <w:autoRedefine/>
    <w:qFormat/>
    <w:rsid w:val="00275328"/>
    <w:pPr>
      <w:jc w:val="center"/>
    </w:pPr>
    <w:rPr>
      <w:b/>
    </w:rPr>
  </w:style>
  <w:style w:type="paragraph" w:styleId="Style22"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3"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4"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link w:val="Style14"/>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5" w:customStyle="1">
    <w:name w:val="Подпункт"/>
    <w:basedOn w:val="Normal"/>
    <w:link w:val="11"/>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6" w:customStyle="1">
    <w:name w:val="Раздел регламента"/>
    <w:basedOn w:val="Normal"/>
    <w:qFormat/>
    <w:rsid w:val="00e228fa"/>
    <w:pPr/>
    <w:rPr/>
  </w:style>
  <w:style w:type="paragraph" w:styleId="Style27"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link w:val="Style15"/>
    <w:uiPriority w:val="99"/>
    <w:semiHidden/>
    <w:qFormat/>
    <w:rsid w:val="00197c91"/>
    <w:pPr/>
    <w:rPr>
      <w:rFonts w:ascii="Tahoma" w:hAnsi="Tahoma" w:cs="Tahoma"/>
      <w:sz w:val="16"/>
      <w:szCs w:val="16"/>
    </w:rPr>
  </w:style>
  <w:style w:type="paragraph" w:styleId="Annotationtext">
    <w:name w:val="annotation text"/>
    <w:basedOn w:val="Normal"/>
    <w:link w:val="Style11"/>
    <w:uiPriority w:val="99"/>
    <w:semiHidden/>
    <w:qFormat/>
    <w:rsid w:val="00b714b0"/>
    <w:pPr/>
    <w:rPr>
      <w:sz w:val="20"/>
      <w:szCs w:val="20"/>
    </w:rPr>
  </w:style>
  <w:style w:type="paragraph" w:styleId="Annotationsubject">
    <w:name w:val="annotation subject"/>
    <w:basedOn w:val="Annotationtext"/>
    <w:next w:val="Annotationtext"/>
    <w:link w:val="Style16"/>
    <w:uiPriority w:val="99"/>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8"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111111" w:customStyle="1">
    <w:name w:val="caption111111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9"/>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9"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30" w:customStyle="1">
    <w:name w:val="Пункт"/>
    <w:basedOn w:val="Normal"/>
    <w:link w:val="14"/>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31"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2" w:customStyle="1">
    <w:name w:val="Таблица шапка"/>
    <w:basedOn w:val="Normal"/>
    <w:qFormat/>
    <w:rsid w:val="00f64089"/>
    <w:pPr>
      <w:keepNext w:val="true"/>
      <w:spacing w:before="40" w:after="40"/>
      <w:ind w:hanging="0" w:left="57" w:right="57"/>
    </w:pPr>
    <w:rPr>
      <w:sz w:val="22"/>
      <w:szCs w:val="26"/>
    </w:rPr>
  </w:style>
  <w:style w:type="paragraph" w:styleId="Style33" w:customStyle="1">
    <w:name w:val="Подподпункт"/>
    <w:basedOn w:val="Style25"/>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4"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5"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6"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2"/>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7" w:customStyle="1">
    <w:name w:val="Содержимое врезки"/>
    <w:basedOn w:val="Normal"/>
    <w:qFormat/>
    <w:pPr/>
    <w:rPr/>
  </w:style>
  <w:style w:type="paragraph" w:styleId="Style38" w:customStyle="1">
    <w:name w:val="Содержимое таблицы"/>
    <w:basedOn w:val="Normal"/>
    <w:qFormat/>
    <w:pPr>
      <w:widowControl w:val="false"/>
      <w:suppressLineNumbers/>
    </w:pPr>
    <w:rPr/>
  </w:style>
  <w:style w:type="paragraph" w:styleId="Style39" w:customStyle="1">
    <w:name w:val="Заголовок таблицы"/>
    <w:basedOn w:val="Style38"/>
    <w:qFormat/>
    <w:pPr>
      <w:jc w:val="center"/>
    </w:pPr>
    <w:rPr>
      <w:b/>
      <w:bCs/>
    </w:rPr>
  </w:style>
  <w:style w:type="paragraph" w:styleId="CENTERTEXT" w:customStyle="1">
    <w:name w:val=".CENTERTEXT"/>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EMPTYLINE" w:customStyle="1">
    <w:name w:val=".EMPTY_LINE"/>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TOPLEVELTEXT" w:customStyle="1">
    <w:name w:val=".TOPLEVELTEXT"/>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TABLE" w:customStyle="1">
    <w:name w:val="TABLE"/>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HTML" w:customStyle="1">
    <w:name w:val="HTML"/>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BODY" w:customStyle="1">
    <w:name w:val="BODY"/>
    <w:qFormat/>
    <w:pPr>
      <w:widowControl/>
      <w:suppressAutoHyphens w:val="true"/>
      <w:bidi w:val="0"/>
      <w:spacing w:before="0" w:after="0"/>
      <w:jc w:val="left"/>
    </w:pPr>
    <w:rPr>
      <w:rFonts w:ascii="Arial" w:hAnsi="Arial" w:eastAsia="Lohit Devanagari" w:cs="Liberation Serif"/>
      <w:color w:val="000000"/>
      <w:kern w:val="2"/>
      <w:sz w:val="20"/>
      <w:szCs w:val="24"/>
      <w:lang w:val="ru-RU" w:eastAsia="hi-IN" w:bidi="ar-SA"/>
    </w:rPr>
  </w:style>
  <w:style w:type="paragraph" w:styleId="UNFORMATTEXT" w:customStyle="1">
    <w:name w:val=".UNFORMATTEXT"/>
    <w:qFormat/>
    <w:pPr>
      <w:widowControl/>
      <w:suppressAutoHyphens w:val="true"/>
      <w:bidi w:val="0"/>
      <w:spacing w:before="0" w:after="0"/>
      <w:jc w:val="left"/>
    </w:pPr>
    <w:rPr>
      <w:rFonts w:ascii="Courier New" w:hAnsi="Courier New" w:eastAsia="Lohit Devanagari" w:cs="Liberation Serif"/>
      <w:color w:val="000000"/>
      <w:kern w:val="2"/>
      <w:sz w:val="20"/>
      <w:szCs w:val="24"/>
      <w:lang w:val="ru-RU" w:eastAsia="hi-IN" w:bidi="ar-SA"/>
    </w:rPr>
  </w:style>
  <w:style w:type="paragraph" w:styleId="MIDDLEPICT" w:customStyle="1">
    <w:name w:val=".MIDDLEPICT"/>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HORIZLINE" w:customStyle="1">
    <w:name w:val=".HORIZLINE"/>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DJVU" w:customStyle="1">
    <w:name w:val=".DJVU"/>
    <w:qFormat/>
    <w:pPr>
      <w:widowControl/>
      <w:suppressAutoHyphens w:val="true"/>
      <w:bidi w:val="0"/>
      <w:spacing w:before="0" w:after="0"/>
      <w:jc w:val="left"/>
    </w:pPr>
    <w:rPr>
      <w:rFonts w:ascii="Arial" w:hAnsi="Arial" w:eastAsia="Lohit Devanagari" w:cs="Liberation Serif"/>
      <w:color w:val="000000"/>
      <w:kern w:val="2"/>
      <w:sz w:val="24"/>
      <w:szCs w:val="24"/>
      <w:lang w:val="ru-RU" w:eastAsia="hi-IN" w:bidi="ar-SA"/>
    </w:rPr>
  </w:style>
  <w:style w:type="paragraph" w:styleId="PRINTSECTION" w:customStyle="1">
    <w:name w:val="#PRINT_SECTION"/>
    <w:qFormat/>
    <w:pPr>
      <w:widowControl/>
      <w:suppressAutoHyphens w:val="true"/>
      <w:bidi w:val="0"/>
      <w:spacing w:before="0" w:after="0"/>
      <w:jc w:val="left"/>
    </w:pPr>
    <w:rPr>
      <w:rFonts w:ascii="Arial" w:hAnsi="Arial" w:eastAsia="Lohit Devanagari" w:cs="Liberation Serif"/>
      <w:color w:val="000000"/>
      <w:kern w:val="2"/>
      <w:sz w:val="16"/>
      <w:szCs w:val="24"/>
      <w:lang w:val="ru-RU" w:eastAsia="hi-IN" w:bidi="ar-SA"/>
    </w:rPr>
  </w:style>
  <w:style w:type="paragraph" w:styleId="COLTOP" w:customStyle="1">
    <w:name w:val="#COL_TOP"/>
    <w:qFormat/>
    <w:pPr>
      <w:widowControl/>
      <w:suppressAutoHyphens w:val="true"/>
      <w:bidi w:val="0"/>
      <w:spacing w:before="0" w:after="0"/>
      <w:jc w:val="left"/>
    </w:pPr>
    <w:rPr>
      <w:rFonts w:ascii="Arial" w:hAnsi="Arial" w:eastAsia="Lohit Devanagari" w:cs="Liberation Serif"/>
      <w:color w:val="000000"/>
      <w:kern w:val="2"/>
      <w:sz w:val="16"/>
      <w:szCs w:val="24"/>
      <w:lang w:val="ru-RU" w:eastAsia="hi-IN" w:bidi="ar-SA"/>
    </w:rPr>
  </w:style>
  <w:style w:type="paragraph" w:styleId="COLBOTTOM" w:customStyle="1">
    <w:name w:val="#COL_BOTTOM"/>
    <w:qFormat/>
    <w:pPr>
      <w:widowControl/>
      <w:suppressAutoHyphens w:val="true"/>
      <w:bidi w:val="0"/>
      <w:spacing w:before="0" w:after="0"/>
      <w:jc w:val="left"/>
    </w:pPr>
    <w:rPr>
      <w:rFonts w:ascii="Arial" w:hAnsi="Arial" w:eastAsia="Lohit Devanagari" w:cs="Liberation Serif"/>
      <w:color w:val="000000"/>
      <w:kern w:val="2"/>
      <w:sz w:val="16"/>
      <w:szCs w:val="24"/>
      <w:lang w:val="ru-RU" w:eastAsia="hi-IN" w:bidi="ar-SA"/>
    </w:rPr>
  </w:style>
  <w:style w:type="paragraph" w:styleId="TradeMark" w:customStyle="1">
    <w:name w:val=".TradeMark"/>
    <w:qFormat/>
    <w:pPr>
      <w:widowControl/>
      <w:suppressAutoHyphens w:val="true"/>
      <w:bidi w:val="0"/>
      <w:spacing w:before="0" w:after="0"/>
      <w:jc w:val="left"/>
    </w:pPr>
    <w:rPr>
      <w:rFonts w:ascii="Arial" w:hAnsi="Arial" w:eastAsia="Lohit Devanagari" w:cs="Liberation Serif"/>
      <w:color w:val="000000"/>
      <w:kern w:val="2"/>
      <w:sz w:val="16"/>
      <w:szCs w:val="24"/>
      <w:lang w:val="ru-RU" w:eastAsia="hi-IN" w:bidi="ar-SA"/>
    </w:rPr>
  </w:style>
  <w:style w:type="paragraph" w:styleId="FORMATTEXT" w:customStyle="1">
    <w:name w:val=".FORMATTEXT"/>
    <w:qFormat/>
    <w:pPr>
      <w:widowControl/>
      <w:suppressAutoHyphens w:val="true"/>
      <w:bidi w:val="0"/>
      <w:spacing w:before="0" w:after="0"/>
      <w:jc w:val="left"/>
    </w:pPr>
    <w:rPr>
      <w:rFonts w:ascii="Arial" w:hAnsi="Arial" w:eastAsia="Lohit Devanagari" w:cs="Liberation Serif"/>
      <w:color w:val="000000"/>
      <w:kern w:val="2"/>
      <w:sz w:val="20"/>
      <w:szCs w:val="24"/>
      <w:lang w:val="ru-RU" w:eastAsia="hi-IN" w:bidi="ar-SA"/>
    </w:rPr>
  </w:style>
  <w:style w:type="paragraph" w:styleId="HEADERTEXT" w:customStyle="1">
    <w:name w:val=".HEADERTEXT"/>
    <w:qFormat/>
    <w:pPr>
      <w:widowControl/>
      <w:suppressAutoHyphens w:val="true"/>
      <w:bidi w:val="0"/>
      <w:spacing w:before="0" w:after="0"/>
      <w:jc w:val="left"/>
    </w:pPr>
    <w:rPr>
      <w:rFonts w:ascii="Arial" w:hAnsi="Arial" w:eastAsia="Lohit Devanagari" w:cs="Liberation Serif"/>
      <w:color w:val="2B4279"/>
      <w:kern w:val="2"/>
      <w:sz w:val="20"/>
      <w:szCs w:val="24"/>
      <w:lang w:val="ru-RU" w:eastAsia="hi-IN" w:bidi="ar-SA"/>
    </w:rPr>
  </w:style>
  <w:style w:type="numbering" w:styleId="NoList" w:default="1">
    <w:name w:val="No List"/>
    <w:uiPriority w:val="99"/>
    <w:semiHidden/>
    <w:unhideWhenUsed/>
    <w:qFormat/>
  </w:style>
  <w:style w:type="numbering" w:styleId="111" w:customStyle="1">
    <w:name w:val="Стиль1"/>
    <w:uiPriority w:val="99"/>
    <w:qFormat/>
    <w:rsid w:val="00f001e4"/>
  </w:style>
  <w:style w:type="numbering" w:styleId="29" w:customStyle="1">
    <w:name w:val="Стиль2"/>
    <w:uiPriority w:val="99"/>
    <w:qFormat/>
    <w:rsid w:val="006629c9"/>
  </w:style>
  <w:style w:type="numbering" w:styleId="23355510581" w:customStyle="1">
    <w:name w:val="23355510581"/>
    <w:qFormat/>
  </w:style>
  <w:style w:type="numbering" w:styleId="29278575231" w:customStyle="1">
    <w:name w:val="29278575231"/>
    <w:qFormat/>
  </w:style>
  <w:style w:type="numbering" w:styleId="23515376181" w:customStyle="1">
    <w:name w:val="23515376181"/>
    <w:qFormat/>
  </w:style>
  <w:style w:type="numbering" w:styleId="1111204011" w:customStyle="1">
    <w:name w:val="1111204011"/>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fffb">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d">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5C684-3312-4E4F-B28B-F36D3F311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Application>AlterOffice/2026.2.0.0$Linux_X86_64 LibreOffice_project/bc4ef1adf80b36c7a6365f8ed6cbf29021361edd</Application>
  <AppVersion>15.0000</AppVersion>
  <Pages>8</Pages>
  <Words>1472</Words>
  <Characters>9906</Characters>
  <CharactersWithSpaces>11123</CharactersWithSpaces>
  <Paragraphs>278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2025-10-26T22:48:00Z</dcterms:created>
  <dc:creator>Быстров Олег Геннадьевич</dc:creator>
  <dc:description/>
  <dc:language>ru-RU</dc:language>
  <cp:lastModifiedBy>gelashvili_is</cp:lastModifiedBy>
  <cp:lastPrinted>2006-07-26T14:04:00Z</cp:lastPrinted>
  <dcterms:modified xsi:type="dcterms:W3CDTF">2026-09-30T15:37:33Z</dcterms:modified>
  <cp:revision>51</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