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1.xml" ContentType="application/xml"/>
  <Override PartName="/word/_rels/document.xml.rels" ContentType="application/vnd.openxmlformats-package.relationship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ind w:firstLine="709"/>
        <w:jc w:val="center"/>
        <w:rPr>
          <w:b/>
          <w:sz w:val="24"/>
          <w:szCs w:val="24"/>
        </w:rPr>
      </w:pPr>
      <w:r>
        <w:rPr>
          <w:bCs/>
          <w:sz w:val="22"/>
          <w:szCs w:val="22"/>
        </w:rPr>
        <w:t xml:space="preserve"> </w:t>
      </w:r>
    </w:p>
    <w:p>
      <w:pPr>
        <w:pStyle w:val="Normal"/>
        <w:shd w:val="clear" w:color="auto" w:fill="FFFFFF"/>
        <w:tabs>
          <w:tab w:val="clear" w:pos="708"/>
          <w:tab w:val="left" w:pos="6926" w:leader="none"/>
        </w:tabs>
        <w:ind w:firstLine="709"/>
        <w:jc w:val="center"/>
        <w:rPr>
          <w:b/>
          <w:sz w:val="24"/>
          <w:szCs w:val="24"/>
        </w:rPr>
      </w:pPr>
      <w:r>
        <w:rPr>
          <w:b/>
          <w:sz w:val="24"/>
          <w:szCs w:val="24"/>
        </w:rPr>
      </w:r>
    </w:p>
    <w:p>
      <w:pPr>
        <w:pStyle w:val="Normal"/>
        <w:shd w:val="clear" w:color="auto" w:fill="FFFFFF"/>
        <w:tabs>
          <w:tab w:val="clear" w:pos="708"/>
          <w:tab w:val="left" w:pos="6926" w:leader="none"/>
        </w:tabs>
        <w:ind w:firstLine="709"/>
        <w:jc w:val="center"/>
        <w:rPr>
          <w:b/>
          <w:sz w:val="24"/>
          <w:szCs w:val="24"/>
        </w:rPr>
      </w:pP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Владивосток</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spacing w:val="4"/>
          <w:sz w:val="24"/>
          <w:szCs w:val="24"/>
        </w:rPr>
        <w:t>Акционерное общество «Транспортная компания РусГидро» (АО «ТК РусГидро»), (далее – «Покупатель»), в лице руководителя Владивостокского представительства АО «ТК РусГидро» Шлыка Дмитрия Викторовича, действующего на основании доверенности №800 от 12.11.2025,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№8</w:t>
      </w:r>
      <w:r>
        <w:rPr>
          <w:sz w:val="24"/>
          <w:szCs w:val="24"/>
          <w:highlight w:val="lightGray"/>
          <w:lang w:eastAsia="en-US"/>
        </w:rPr>
        <w:t>246</w:t>
      </w:r>
      <w:r>
        <w:rPr>
          <w:sz w:val="24"/>
          <w:szCs w:val="24"/>
          <w:highlight w:val="lightGray"/>
          <w:lang w:eastAsia="en-US"/>
        </w:rPr>
        <w:t>-ЭКСП ПРОД-2026-Влад ТК РусГидро АО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left="0" w:firstLine="709"/>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134" w:leader="none"/>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автошины</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Владивостокского представительства АО "ТК РусГидро".</w:t>
      </w:r>
    </w:p>
    <w:p>
      <w:pPr>
        <w:pStyle w:val="Normal"/>
        <w:numPr>
          <w:ilvl w:val="1"/>
          <w:numId w:val="2"/>
        </w:numPr>
        <w:shd w:val="clear" w:color="auto" w:fill="FFFFFF"/>
        <w:tabs>
          <w:tab w:val="clear" w:pos="708"/>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Начало – с даты подписания договора;</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Окончание – </w:t>
      </w:r>
      <w:r>
        <w:rPr>
          <w:bCs/>
          <w:sz w:val="24"/>
          <w:szCs w:val="24"/>
          <w:highlight w:val="lightGray"/>
        </w:rPr>
        <w:t>«31» декабря 202</w:t>
      </w:r>
      <w:r>
        <w:rPr>
          <w:bCs/>
          <w:sz w:val="24"/>
          <w:szCs w:val="24"/>
          <w:highlight w:val="lightGray"/>
        </w:rPr>
        <w:t>7</w:t>
      </w:r>
      <w:r>
        <w:rPr>
          <w:bCs/>
          <w:sz w:val="24"/>
          <w:szCs w:val="24"/>
        </w:rPr>
        <w:t xml:space="preserve"> г.</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Оплата по Договору осуществляется Покупателем в течение 20 (двадцати) календарных дней /7 (семи) рабочих дней с даты подписания Сторонами Накладной ТОРГ-12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highlight w:val="lightGray"/>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4"/>
      </w:r>
    </w:p>
    <w:p>
      <w:pPr>
        <w:pStyle w:val="Normal"/>
        <w:widowControl w:val="false"/>
        <w:numPr>
          <w:ilvl w:val="1"/>
          <w:numId w:val="2"/>
        </w:numPr>
        <w:tabs>
          <w:tab w:val="clear" w:pos="708"/>
          <w:tab w:val="left" w:pos="2000" w:leader="none"/>
        </w:tabs>
        <w:suppressAutoHyphens w:val="true"/>
        <w:bidi w:val="0"/>
        <w:spacing w:before="0" w:after="0"/>
        <w:ind w:left="0" w:right="0" w:firstLine="737"/>
        <w:jc w:val="both"/>
        <w:rPr>
          <w:sz w:val="24"/>
          <w:szCs w:val="24"/>
        </w:rPr>
      </w:pPr>
      <w:r>
        <w:rPr>
          <w:b w:val="false"/>
          <w:i w:val="false"/>
          <w:strike w:val="false"/>
          <w:dstrike w:val="false"/>
          <w:outline w:val="false"/>
          <w:shadow w:val="false"/>
          <w:color w:val="auto"/>
          <w:spacing w:val="0"/>
          <w:kern w:val="0"/>
          <w:sz w:val="24"/>
          <w:szCs w:val="24"/>
          <w:u w:val="none"/>
          <w:em w:val="none"/>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widowControl w:val="false"/>
        <w:numPr>
          <w:ilvl w:val="1"/>
          <w:numId w:val="2"/>
        </w:numPr>
        <w:suppressAutoHyphens w:val="true"/>
        <w:bidi w:val="0"/>
        <w:spacing w:before="0" w:after="0"/>
        <w:ind w:left="0" w:right="0" w:firstLine="737"/>
        <w:jc w:val="both"/>
        <w:rPr>
          <w:sz w:val="24"/>
          <w:szCs w:val="24"/>
        </w:rPr>
      </w:pPr>
      <w:r>
        <w:rPr>
          <w:b w:val="false"/>
          <w:i w:val="false"/>
          <w:strike w:val="false"/>
          <w:dstrike w:val="false"/>
          <w:outline w:val="false"/>
          <w:shadow w:val="false"/>
          <w:color w:val="auto"/>
          <w:spacing w:val="0"/>
          <w:kern w:val="0"/>
          <w:sz w:val="24"/>
          <w:szCs w:val="24"/>
          <w:u w:val="none"/>
          <w:em w:val="none"/>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numPr>
          <w:ilvl w:val="0"/>
          <w:numId w:val="0"/>
        </w:numPr>
        <w:tabs>
          <w:tab w:val="clear" w:pos="708"/>
          <w:tab w:val="left" w:pos="2000" w:leader="none"/>
        </w:tabs>
        <w:ind w:left="0" w:right="0" w:hanging="0"/>
        <w:jc w:val="both"/>
        <w:rPr>
          <w:sz w:val="24"/>
          <w:szCs w:val="24"/>
        </w:rPr>
      </w:pPr>
      <w:r>
        <w:rPr>
          <w:b w:val="false"/>
          <w:i w:val="false"/>
          <w:strike w:val="false"/>
          <w:dstrike w:val="false"/>
          <w:outline w:val="false"/>
          <w:shadow w:val="false"/>
          <w:color w:val="auto"/>
          <w:spacing w:val="0"/>
          <w:kern w:val="0"/>
          <w:sz w:val="24"/>
          <w:szCs w:val="24"/>
          <w:u w:val="none"/>
          <w:em w:val="none"/>
        </w:rPr>
        <w:t>Покупатель направляет Поставщику уведомление о проведении сальдо взаимных обязательств Сторон по Договору.</w:t>
      </w:r>
    </w:p>
    <w:p>
      <w:pPr>
        <w:pStyle w:val="Normal"/>
        <w:numPr>
          <w:ilvl w:val="0"/>
          <w:numId w:val="0"/>
        </w:numPr>
        <w:shd w:val="clear" w:color="auto" w:fill="FFFFFF"/>
        <w:tabs>
          <w:tab w:val="clear" w:pos="708"/>
          <w:tab w:val="left" w:pos="0" w:leader="none"/>
          <w:tab w:val="left" w:pos="567" w:leader="none"/>
          <w:tab w:val="left" w:pos="716" w:leader="none"/>
          <w:tab w:val="left" w:pos="1134" w:leader="none"/>
        </w:tabs>
        <w:ind w:left="0" w:hanging="0"/>
        <w:jc w:val="both"/>
        <w:rPr>
          <w:sz w:val="24"/>
          <w:szCs w:val="24"/>
          <w:highlight w:val="lightGray"/>
        </w:rPr>
      </w:pPr>
      <w:r>
        <w:rPr>
          <w:sz w:val="24"/>
          <w:szCs w:val="24"/>
          <w:highlight w:val="lightGray"/>
        </w:rPr>
      </w:r>
    </w:p>
    <w:p>
      <w:pPr>
        <w:pStyle w:val="ListParagraph"/>
        <w:shd w:val="clear" w:color="auto" w:fill="FFFFFF"/>
        <w:tabs>
          <w:tab w:val="clear" w:pos="708"/>
          <w:tab w:val="left" w:pos="1134" w:leader="none"/>
        </w:tabs>
        <w:ind w:left="0"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8"/>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 xml:space="preserve">замену Товара, содержащегося в одном из реестров, предусмотренных постановлением </w:t>
      </w:r>
      <w:r>
        <w:rPr>
          <w:sz w:val="24"/>
          <w:szCs w:val="24"/>
        </w:rPr>
        <w:t>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4"/>
          <w:szCs w:val="24"/>
          <w:highlight w:val="lightGray"/>
        </w:rPr>
        <w:t xml:space="preserve">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left="0" w:firstLine="709"/>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8"/>
          <w:tab w:val="left" w:pos="1418" w:leader="none"/>
        </w:tabs>
        <w:ind w:left="0" w:firstLine="709"/>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8"/>
          <w:tab w:val="left" w:pos="1418" w:leader="none"/>
        </w:tabs>
        <w:ind w:left="0" w:firstLine="709"/>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8"/>
          <w:tab w:val="left" w:pos="1418" w:leader="none"/>
        </w:tabs>
        <w:ind w:left="0" w:firstLine="709"/>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8"/>
          <w:tab w:val="left" w:pos="1418" w:leader="none"/>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left="0" w:firstLine="709"/>
        <w:jc w:val="both"/>
        <w:rPr>
          <w:sz w:val="24"/>
          <w:szCs w:val="24"/>
          <w:highlight w:val="lightGray"/>
        </w:rPr>
      </w:pPr>
      <w:r>
        <w:rPr>
          <w:sz w:val="24"/>
          <w:szCs w:val="24"/>
          <w:highlight w:val="lightGray"/>
        </w:rPr>
        <w:t>накладная ТОРГ-12 в __(____) экз.</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8"/>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5"/>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8"/>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p>
    <w:p>
      <w:pPr>
        <w:pStyle w:val="ListParagraph"/>
        <w:numPr>
          <w:ilvl w:val="1"/>
          <w:numId w:val="2"/>
        </w:numPr>
        <w:tabs>
          <w:tab w:val="clear" w:pos="708"/>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8"/>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6"/>
      </w:r>
    </w:p>
    <w:p>
      <w:pPr>
        <w:pStyle w:val="ListParagraph"/>
        <w:numPr>
          <w:ilvl w:val="1"/>
          <w:numId w:val="2"/>
        </w:numPr>
        <w:tabs>
          <w:tab w:val="clear" w:pos="708"/>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8"/>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7"/>
      </w:r>
      <w:r>
        <w:rPr>
          <w:bCs/>
          <w:sz w:val="24"/>
          <w:szCs w:val="24"/>
        </w:rPr>
        <w:t>.</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8"/>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8"/>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8"/>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snapToGrid w:val="false"/>
        <w:ind w:left="0" w:firstLine="709"/>
        <w:jc w:val="both"/>
        <w:rPr>
          <w:i/>
          <w:i/>
          <w:sz w:val="24"/>
          <w:szCs w:val="24"/>
          <w:highlight w:val="lightGray"/>
        </w:rPr>
      </w:pPr>
      <w:bookmarkStart w:id="14" w:name="_GoBack"/>
      <w:bookmarkEnd w:id="14"/>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8"/>
      </w:r>
      <w:r>
        <w:rPr>
          <w:sz w:val="24"/>
          <w:szCs w:val="24"/>
          <w:highlight w:val="lightGray"/>
        </w:rPr>
        <w:t>.</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5"/>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9"/>
      </w:r>
      <w:r>
        <w:rPr>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№4 — Технические требования на поставку Товара.</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left="0" w:firstLine="709"/>
        <w:rPr>
          <w:b/>
          <w:bCs/>
          <w:sz w:val="24"/>
          <w:szCs w:val="24"/>
        </w:rPr>
      </w:pPr>
      <w:r>
        <w:rPr>
          <w:b/>
          <w:bCs/>
          <w:sz w:val="24"/>
          <w:szCs w:val="24"/>
        </w:rPr>
      </w:r>
    </w:p>
    <w:tbl>
      <w:tblPr>
        <w:tblW w:w="978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71"/>
        <w:gridCol w:w="141"/>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BFBFBF" w:val="clear"/>
          </w:tcPr>
          <w:p>
            <w:pPr>
              <w:pStyle w:val="Normal"/>
              <w:widowControl w:val="false"/>
              <w:rPr/>
            </w:pPr>
            <w:r>
              <w:rPr>
                <w:sz w:val="24"/>
                <w:szCs w:val="24"/>
              </w:rPr>
              <w:t>Акционерное общество «Транспортная компания РусГидро»</w:t>
            </w:r>
          </w:p>
          <w:p>
            <w:pPr>
              <w:pStyle w:val="Normal"/>
              <w:widowControl w:val="false"/>
              <w:rPr/>
            </w:pPr>
            <w:r>
              <w:rPr>
                <w:sz w:val="24"/>
                <w:szCs w:val="24"/>
              </w:rPr>
              <w:t>(АО «ТК РусГидро»)</w:t>
            </w:r>
          </w:p>
          <w:p>
            <w:pPr>
              <w:pStyle w:val="Normal"/>
              <w:widowControl w:val="false"/>
              <w:rPr/>
            </w:pPr>
            <w:r>
              <w:rPr>
                <w:sz w:val="24"/>
                <w:szCs w:val="24"/>
              </w:rPr>
              <w:t>Юридический адрес: 655619, Республика Хакасия, г. Саяногорск, рп. Черемушки, стр. 101.</w:t>
            </w:r>
          </w:p>
          <w:p>
            <w:pPr>
              <w:pStyle w:val="Normal"/>
              <w:widowControl w:val="false"/>
              <w:rPr/>
            </w:pPr>
            <w:r>
              <w:rPr>
                <w:sz w:val="24"/>
                <w:szCs w:val="24"/>
              </w:rPr>
              <w:t>Владивостокское представительство</w:t>
            </w:r>
          </w:p>
          <w:p>
            <w:pPr>
              <w:pStyle w:val="Normal"/>
              <w:widowControl w:val="false"/>
              <w:rPr/>
            </w:pPr>
            <w:r>
              <w:rPr>
                <w:sz w:val="24"/>
                <w:szCs w:val="24"/>
              </w:rPr>
              <w:t>АО «ТК РусГидро»</w:t>
            </w:r>
          </w:p>
          <w:p>
            <w:pPr>
              <w:pStyle w:val="Normal"/>
              <w:widowControl w:val="false"/>
              <w:rPr/>
            </w:pPr>
            <w:r>
              <w:rPr>
                <w:sz w:val="24"/>
                <w:szCs w:val="24"/>
              </w:rPr>
              <w:t>Почтовый адрес: 690091, Приморский край, г. Владивосток, ул. Западная, д. 29, строение 2.</w:t>
            </w:r>
          </w:p>
          <w:p>
            <w:pPr>
              <w:pStyle w:val="Normal"/>
              <w:widowControl w:val="false"/>
              <w:rPr/>
            </w:pPr>
            <w:r>
              <w:rPr>
                <w:sz w:val="24"/>
                <w:szCs w:val="24"/>
              </w:rPr>
              <w:t>ИНН: 1902018248/КПП: 254044001;</w:t>
            </w:r>
          </w:p>
          <w:p>
            <w:pPr>
              <w:pStyle w:val="Normal"/>
              <w:widowControl w:val="false"/>
              <w:rPr/>
            </w:pPr>
            <w:r>
              <w:rPr>
                <w:sz w:val="24"/>
                <w:szCs w:val="24"/>
              </w:rPr>
              <w:t>ОГРН: 1031900676356;</w:t>
            </w:r>
          </w:p>
          <w:p>
            <w:pPr>
              <w:pStyle w:val="Normal"/>
              <w:widowControl w:val="false"/>
              <w:rPr/>
            </w:pPr>
            <w:r>
              <w:rPr>
                <w:sz w:val="24"/>
                <w:szCs w:val="24"/>
              </w:rPr>
              <w:t>Р/счет: 40702810270000000696,</w:t>
            </w:r>
          </w:p>
          <w:p>
            <w:pPr>
              <w:pStyle w:val="Normal"/>
              <w:widowControl w:val="false"/>
              <w:rPr/>
            </w:pPr>
            <w:r>
              <w:rPr>
                <w:sz w:val="24"/>
                <w:szCs w:val="24"/>
              </w:rPr>
              <w:t>Банк: Дальневосточный филиал</w:t>
            </w:r>
          </w:p>
          <w:p>
            <w:pPr>
              <w:pStyle w:val="Normal"/>
              <w:widowControl w:val="false"/>
              <w:rPr/>
            </w:pPr>
            <w:r>
              <w:rPr>
                <w:sz w:val="24"/>
                <w:szCs w:val="24"/>
              </w:rPr>
              <w:t>ПАО «Сбербанк России» г. Хабаровск,</w:t>
            </w:r>
          </w:p>
          <w:p>
            <w:pPr>
              <w:pStyle w:val="Normal"/>
              <w:widowControl w:val="false"/>
              <w:rPr/>
            </w:pPr>
            <w:r>
              <w:rPr>
                <w:sz w:val="24"/>
                <w:szCs w:val="24"/>
              </w:rPr>
              <w:t>К/счет: 30101810600000000608;</w:t>
            </w:r>
          </w:p>
          <w:p>
            <w:pPr>
              <w:pStyle w:val="Normal"/>
              <w:widowControl w:val="false"/>
              <w:rPr/>
            </w:pPr>
            <w:r>
              <w:rPr>
                <w:sz w:val="24"/>
                <w:szCs w:val="24"/>
              </w:rPr>
              <w:t>БИК: 040813608.</w:t>
            </w:r>
          </w:p>
        </w:tc>
        <w:tc>
          <w:tcPr>
            <w:tcW w:w="4869"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1" w:type="dxa"/>
            <w:tcBorders/>
          </w:tcPr>
          <w:p>
            <w:pPr>
              <w:pStyle w:val="Normal"/>
              <w:widowControl w:val="false"/>
              <w:rPr>
                <w:sz w:val="24"/>
                <w:szCs w:val="24"/>
                <w:highlight w:val="lightGray"/>
              </w:rPr>
            </w:pPr>
            <w:r>
              <w:rPr>
                <w:sz w:val="24"/>
                <w:szCs w:val="24"/>
                <w:highlight w:val="lightGray"/>
              </w:rPr>
              <w:t>__________________/__________________/</w:t>
            </w:r>
          </w:p>
          <w:p>
            <w:pPr>
              <w:pStyle w:val="Normal"/>
              <w:widowControl w:val="false"/>
              <w:rPr>
                <w:sz w:val="24"/>
                <w:szCs w:val="24"/>
                <w:highlight w:val="lightGray"/>
              </w:rPr>
            </w:pPr>
            <w:r>
              <w:rPr>
                <w:sz w:val="24"/>
                <w:szCs w:val="24"/>
                <w:highlight w:val="lightGray"/>
              </w:rPr>
            </w:r>
          </w:p>
        </w:tc>
        <w:tc>
          <w:tcPr>
            <w:tcW w:w="4774" w:type="dxa"/>
            <w:gridSpan w:val="2"/>
            <w:tcBorders/>
          </w:tcPr>
          <w:p>
            <w:pPr>
              <w:pStyle w:val="Normal"/>
              <w:widowControl w:val="false"/>
              <w:rPr>
                <w:sz w:val="24"/>
                <w:szCs w:val="24"/>
              </w:rPr>
            </w:pPr>
            <w:r>
              <w:rPr>
                <w:sz w:val="24"/>
                <w:szCs w:val="24"/>
                <w:highlight w:val="lightGray"/>
              </w:rPr>
              <w:t>_______________ / _______________</w:t>
            </w:r>
          </w:p>
        </w:tc>
        <w:tc>
          <w:tcPr>
            <w:tcW w:w="23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VBand="1" w:noHBand="0" w:lastColumn="0" w:firstColumn="1" w:lastRow="0" w:firstRow="1"/>
      </w:tblPr>
      <w:tblGrid>
        <w:gridCol w:w="455"/>
        <w:gridCol w:w="389"/>
        <w:gridCol w:w="602"/>
        <w:gridCol w:w="612"/>
        <w:gridCol w:w="612"/>
        <w:gridCol w:w="773"/>
        <w:gridCol w:w="727"/>
        <w:gridCol w:w="621"/>
        <w:gridCol w:w="732"/>
        <w:gridCol w:w="689"/>
        <w:gridCol w:w="513"/>
        <w:gridCol w:w="647"/>
        <w:gridCol w:w="552"/>
        <w:gridCol w:w="514"/>
        <w:gridCol w:w="717"/>
        <w:gridCol w:w="479"/>
      </w:tblGrid>
      <w:tr>
        <w:trPr>
          <w:trHeight w:val="526" w:hRule="atLeast"/>
        </w:trPr>
        <w:tc>
          <w:tcPr>
            <w:tcW w:w="4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0"/>
            </w:r>
          </w:p>
        </w:tc>
        <w:tc>
          <w:tcPr>
            <w:tcW w:w="7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1"/>
            </w:r>
          </w:p>
          <w:p>
            <w:pPr>
              <w:pStyle w:val="Normal"/>
              <w:widowControl w:val="false"/>
              <w:jc w:val="center"/>
              <w:rPr>
                <w:bCs/>
              </w:rPr>
            </w:pPr>
            <w:r>
              <w:rPr>
                <w:bCs/>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38"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38"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38"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rPr>
          <w:i/>
          <w:i/>
          <w:sz w:val="24"/>
          <w:szCs w:val="24"/>
          <w:highlight w:val="yellow"/>
        </w:rPr>
      </w:pPr>
      <w:r>
        <w:rPr>
          <w:i/>
          <w:sz w:val="24"/>
          <w:szCs w:val="24"/>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VBand="1"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rPr>
                <w:sz w:val="24"/>
                <w:szCs w:val="24"/>
              </w:rPr>
            </w:pPr>
            <w:r>
              <w:rPr>
                <w:sz w:val="24"/>
                <w:szCs w:val="24"/>
              </w:rPr>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VBand="1" w:noHBand="0" w:lastColumn="0" w:firstColumn="1" w:lastRow="0" w:firstRow="1"/>
      </w:tblPr>
      <w:tblGrid>
        <w:gridCol w:w="528"/>
        <w:gridCol w:w="982"/>
        <w:gridCol w:w="1118"/>
        <w:gridCol w:w="704"/>
        <w:gridCol w:w="1066"/>
        <w:gridCol w:w="1174"/>
        <w:gridCol w:w="982"/>
        <w:gridCol w:w="1405"/>
        <w:gridCol w:w="837"/>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5"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5"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__________________/_________________/</w:t>
            </w:r>
          </w:p>
          <w:p>
            <w:pPr>
              <w:pStyle w:val="Normal"/>
              <w:widowControl w:val="false"/>
              <w:rPr>
                <w:sz w:val="24"/>
                <w:szCs w:val="24"/>
              </w:rPr>
            </w:pPr>
            <w:r>
              <w:rPr>
                <w:sz w:val="24"/>
                <w:szCs w:val="24"/>
              </w:rPr>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w:t>
            </w:r>
          </w:p>
          <w:p>
            <w:pPr>
              <w:pStyle w:val="Normal"/>
              <w:widowControl w:val="false"/>
              <w:rPr>
                <w:sz w:val="24"/>
                <w:szCs w:val="24"/>
              </w:rPr>
            </w:pPr>
            <w:r>
              <w:rPr>
                <w:sz w:val="24"/>
                <w:szCs w:val="24"/>
              </w:rPr>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VBand="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rPr>
                <w:sz w:val="24"/>
                <w:szCs w:val="24"/>
              </w:rPr>
            </w:pPr>
            <w:r>
              <w:rPr>
                <w:sz w:val="24"/>
                <w:szCs w:val="24"/>
              </w:rPr>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r>
    </w:p>
  </w:footnote>
  <w:footnote w:id="3">
    <w:p>
      <w:pPr>
        <w:pStyle w:val="FootnoteText"/>
        <w:rPr/>
      </w:pPr>
      <w:r>
        <w:rPr>
          <w:rStyle w:val="Style14"/>
        </w:rPr>
        <w:footnoteRef/>
      </w:r>
      <w:r>
        <w:rPr/>
      </w:r>
    </w:p>
  </w:footnote>
  <w:footnote w:id="4">
    <w:p>
      <w:pPr>
        <w:pStyle w:val="FootnoteText"/>
        <w:rPr/>
      </w:pPr>
      <w:r>
        <w:rPr>
          <w:rStyle w:val="Style14"/>
        </w:rPr>
        <w:footnoteRef/>
      </w:r>
      <w:r>
        <w:rPr/>
      </w:r>
    </w:p>
  </w:footnote>
  <w:footnote w:id="5">
    <w:p>
      <w:pPr>
        <w:pStyle w:val="FootnoteText"/>
        <w:rPr/>
      </w:pPr>
      <w:r>
        <w:rPr>
          <w:rStyle w:val="Style14"/>
        </w:rPr>
        <w:footnoteRef/>
      </w:r>
      <w:r>
        <w:rPr/>
      </w:r>
    </w:p>
  </w:footnote>
  <w:footnote w:id="6">
    <w:p>
      <w:pPr>
        <w:pStyle w:val="FootnoteText"/>
        <w:rPr/>
      </w:pPr>
      <w:r>
        <w:rPr>
          <w:rStyle w:val="Style14"/>
        </w:rPr>
        <w:footnoteRef/>
      </w:r>
      <w:r>
        <w:rPr/>
      </w:r>
    </w:p>
  </w:footnote>
  <w:footnote w:id="7">
    <w:p>
      <w:pPr>
        <w:pStyle w:val="FootnoteText"/>
        <w:rPr/>
      </w:pPr>
      <w:r>
        <w:rPr>
          <w:rStyle w:val="Style14"/>
        </w:rPr>
        <w:footnoteRef/>
      </w:r>
      <w:r>
        <w:rPr/>
      </w:r>
    </w:p>
  </w:footnote>
  <w:footnote w:id="8">
    <w:p>
      <w:pPr>
        <w:pStyle w:val="FootnoteText"/>
        <w:rPr/>
      </w:pPr>
      <w:r>
        <w:rPr>
          <w:rStyle w:val="Style14"/>
        </w:rPr>
        <w:footnoteRef/>
      </w:r>
      <w:r>
        <w:rPr/>
      </w:r>
    </w:p>
  </w:footnote>
  <w:footnote w:id="9">
    <w:p>
      <w:pPr>
        <w:pStyle w:val="FootnoteText"/>
        <w:rPr/>
      </w:pPr>
      <w:r>
        <w:rPr>
          <w:rStyle w:val="Style14"/>
        </w:rPr>
        <w:footnoteRef/>
      </w:r>
      <w:r>
        <w:rPr/>
      </w:r>
    </w:p>
  </w:footnote>
  <w:footnote w:id="10">
    <w:p>
      <w:pPr>
        <w:pStyle w:val="FootnoteText"/>
        <w:rPr/>
      </w:pPr>
      <w:r>
        <w:rPr>
          <w:rStyle w:val="Style14"/>
        </w:rPr>
        <w:footnoteRef/>
      </w:r>
      <w:r>
        <w:rPr/>
      </w:r>
    </w:p>
  </w:footnote>
  <w:footnote w:id="11">
    <w:p>
      <w:pPr>
        <w:pStyle w:val="FootnoteText"/>
        <w:rPr/>
      </w:pPr>
      <w:r>
        <w:rPr>
          <w:rStyle w:val="Style14"/>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Приложение №2 к</w:t>
    </w:r>
  </w:p>
  <w:p>
    <w:pPr>
      <w:pStyle w:val="Header"/>
      <w:jc w:val="right"/>
      <w:rPr/>
    </w:pPr>
    <w:r>
      <w:rPr/>
      <w:t xml:space="preserve">Документации  о закупке по лоту </w:t>
    </w:r>
  </w:p>
  <w:p>
    <w:pPr>
      <w:pStyle w:val="Header"/>
      <w:jc w:val="right"/>
      <w:rPr/>
    </w:pPr>
    <w:r>
      <w:rPr/>
      <w:t>№</w:t>
    </w:r>
    <w:r>
      <w:rPr/>
      <w:t>8</w:t>
    </w:r>
    <w:r>
      <w:rPr/>
      <w:t>246</w:t>
    </w:r>
    <w:r>
      <w:rPr/>
      <w:t>-ЭКСП ПРОД-2026-Влад ТК РусГидро АО</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F43FDA8A-FE82-4F6D-8760-A8C6359BC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Application>AlterOffice/3.4.0.9$Linux_X86_64 LibreOffice_project/b8daf9e823b1a5463a2f48435ddc2e8696e7d4fc</Application>
  <AppVersion>15.0000</AppVersion>
  <Pages>20</Pages>
  <Words>6956</Words>
  <Characters>49176</Characters>
  <CharactersWithSpaces>55816</CharactersWithSpaces>
  <Paragraphs>365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2026-01-15T22:32:00Z</dcterms:created>
  <dc:creator>tsypilev_ag</dc:creator>
  <dc:description/>
  <dc:language>ru-RU</dc:language>
  <cp:lastModifiedBy>nosatovdv@corp.gidroogk.com</cp:lastModifiedBy>
  <cp:lastPrinted>2018-05-22T09:46:00Z</cp:lastPrinted>
  <dcterms:modified xsi:type="dcterms:W3CDTF">2026-09-30T15:52:55Z</dcterms:modified>
  <cp:revision>9</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