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jc w:val="right"/>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2"/>
      <w:bookmarkStart w:id="1" w:name="OLE_LINK1"/>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____________________, действующего на основании ______________, с одной стороны, и ,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568"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w:t>
      </w:r>
      <w:r>
        <w:rPr/>
        <w:t>у</w:t>
      </w:r>
      <w:r>
        <w:rPr/>
        <w:t>слуги технического обслуживания и текущего ремонта транспортных средств для нужд Чебоксарского транспортного участка Центрального филиала АО "ТК РусГидро"</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lang w:val="ru-RU"/>
        </w:rPr>
        <w:t>Чебоксарского</w:t>
      </w:r>
      <w:r>
        <w:rPr>
          <w:lang w:val="ru-RU"/>
        </w:rPr>
        <w:t xml:space="preserve"> строительного участка Центрального филиала АО "ТК РусГидро"</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Место оказания Услуг: </w:t>
      </w:r>
      <w:r>
        <w:rPr>
          <w:bCs/>
          <w:lang w:val="ru-RU"/>
        </w:rPr>
        <w:t>429951, Российская Федерация, Чувашская Республика, г. Новочебоксарск,</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bCs/>
          <w:lang w:val="ru-RU"/>
        </w:rPr>
      </w:pPr>
      <w:r>
        <w:rPr>
          <w:bCs/>
          <w:lang w:val="ru-RU"/>
        </w:rPr>
        <w:t xml:space="preserve">Начало оказания Услуг: с даты подписания договора </w:t>
      </w:r>
    </w:p>
    <w:p>
      <w:pPr>
        <w:pStyle w:val="Normal"/>
        <w:widowControl w:val="false"/>
        <w:numPr>
          <w:ilvl w:val="2"/>
          <w:numId w:val="3"/>
        </w:numPr>
        <w:tabs>
          <w:tab w:val="clear" w:pos="709"/>
          <w:tab w:val="left" w:pos="1134" w:leader="none"/>
          <w:tab w:val="left" w:pos="1276" w:leader="none"/>
        </w:tabs>
        <w:ind w:left="0" w:firstLine="709"/>
        <w:jc w:val="both"/>
        <w:rPr>
          <w:bCs/>
          <w:lang w:val="ru-RU"/>
        </w:rPr>
      </w:pPr>
      <w:r>
        <w:rPr>
          <w:bCs/>
          <w:lang w:val="ru-RU"/>
        </w:rPr>
        <w:t xml:space="preserve">Окончание оказания Услуг: </w:t>
      </w:r>
      <w:r>
        <w:rPr>
          <w:bCs/>
          <w:shd w:fill="EEEEEE" w:val="clear"/>
          <w:lang w:val="ru-RU"/>
        </w:rPr>
        <w:t xml:space="preserve"> в течении 12 месяцев или до исчерпания предельной стоимости договора, в зависимости от того, что наступит раньше</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3"/>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9"/>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r>
        <w:rPr>
          <w:bCs/>
          <w:highlight w:val="lightGray"/>
        </w:rPr>
        <w:t xml:space="preserve"> </w:t>
      </w:r>
    </w:p>
    <w:p>
      <w:pPr>
        <w:pStyle w:val="ListParagraph"/>
        <w:numPr>
          <w:ilvl w:val="2"/>
          <w:numId w:val="13"/>
        </w:numPr>
        <w:shd w:val="clear" w:color="auto" w:fill="FFFFFF"/>
        <w:tabs>
          <w:tab w:val="clear" w:pos="709"/>
          <w:tab w:val="left" w:pos="710" w:leader="none"/>
        </w:tabs>
        <w:ind w:left="0" w:firstLine="71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3"/>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left="0" w:firstLine="709"/>
        <w:jc w:val="both"/>
        <w:rPr/>
      </w:pPr>
      <w:r>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3"/>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3"/>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4"/>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4"/>
        </w:numPr>
        <w:shd w:val="clear" w:color="auto" w:fill="FFFFFF"/>
        <w:tabs>
          <w:tab w:val="left" w:pos="709" w:leader="none"/>
          <w:tab w:val="left" w:pos="1134" w:leader="none"/>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4"/>
        </w:numPr>
        <w:shd w:val="clear" w:color="auto" w:fill="FFFFFF"/>
        <w:tabs>
          <w:tab w:val="left" w:pos="709" w:leader="none"/>
          <w:tab w:val="left" w:pos="1134" w:leader="none"/>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30 (тридцать)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4"/>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w:t>
      </w:r>
      <w:r>
        <w:rPr>
          <w:lang w:val="en-US"/>
        </w:rPr>
        <w:t>rushydro</w:t>
      </w:r>
      <w:r>
        <w:rPr>
          <w:lang w:val="ru-RU"/>
        </w:rPr>
        <w:t>.</w:t>
      </w:r>
      <w:r>
        <w:rPr>
          <w:lang w:val="en-US"/>
        </w:rPr>
        <w:t>ru</w:t>
      </w:r>
      <w:r>
        <w:rPr>
          <w:lang w:val="ru-RU"/>
        </w:rPr>
        <w:t xml:space="preserve">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0"/>
        </w:numPr>
        <w:ind w:left="0" w:firstLine="709"/>
        <w:jc w:val="both"/>
        <w:rPr/>
      </w:pPr>
      <w:r>
        <w:rPr/>
        <w:t>подтверждает Исполнителю согласие с Расчетом стоимости;</w:t>
      </w:r>
    </w:p>
    <w:p>
      <w:pPr>
        <w:pStyle w:val="ListParagraph"/>
        <w:numPr>
          <w:ilvl w:val="0"/>
          <w:numId w:val="20"/>
        </w:numPr>
        <w:ind w:left="0" w:firstLine="709"/>
        <w:jc w:val="both"/>
        <w:rPr/>
      </w:pPr>
      <w:r>
        <w:rPr/>
        <w:t>направляет Исполнителю свои возражения (замечания) к Расчету стоимости;</w:t>
      </w:r>
    </w:p>
    <w:p>
      <w:pPr>
        <w:pStyle w:val="ListParagraph"/>
        <w:numPr>
          <w:ilvl w:val="0"/>
          <w:numId w:val="20"/>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______________@rushydro.ru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1"/>
        </w:numPr>
        <w:shd w:val="clear" w:color="auto" w:fill="FFFFFF"/>
        <w:tabs>
          <w:tab w:val="clear" w:pos="709"/>
          <w:tab w:val="left" w:pos="1134" w:leader="none"/>
        </w:tabs>
        <w:ind w:left="0" w:firstLine="709"/>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21"/>
        </w:numPr>
        <w:shd w:val="clear" w:color="auto" w:fill="FFFFFF"/>
        <w:tabs>
          <w:tab w:val="clear" w:pos="709"/>
          <w:tab w:val="left" w:pos="284" w:leader="none"/>
          <w:tab w:val="left" w:pos="1134" w:leader="none"/>
        </w:tabs>
        <w:ind w:left="0" w:hanging="0"/>
        <w:jc w:val="center"/>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left="0" w:firstLine="709"/>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left="0" w:firstLine="709"/>
        <w:jc w:val="both"/>
        <w:rPr/>
      </w:pPr>
      <w:r>
        <w:rPr/>
        <w:t xml:space="preserve">4.5.2. </w:t>
      </w:r>
      <w:r>
        <w:rPr>
          <w:bCs/>
        </w:rPr>
        <w:t xml:space="preserve">Авансовые платежи </w:t>
      </w:r>
      <w:r>
        <w:rPr/>
        <w:t xml:space="preserve">в размере </w:t>
      </w:r>
      <w:r>
        <w:rPr>
          <w:highlight w:val="lightGray"/>
        </w:rPr>
        <w:t>10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left="0" w:firstLine="709"/>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left="0" w:firstLine="709"/>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7"/>
        </w:numPr>
        <w:shd w:val="clear" w:color="auto" w:fill="FFFFFF"/>
        <w:tabs>
          <w:tab w:val="left" w:pos="709" w:leader="none"/>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left" w:pos="709" w:leader="none"/>
          <w:tab w:val="left" w:pos="1134" w:leader="none"/>
        </w:tabs>
        <w:ind w:left="0" w:firstLine="709"/>
        <w:jc w:val="both"/>
        <w:rPr/>
      </w:pPr>
      <w:r>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Независимая гарантия</w:t>
      </w:r>
    </w:p>
    <w:p>
      <w:pPr>
        <w:pStyle w:val="ListParagraph"/>
        <w:numPr>
          <w:ilvl w:val="1"/>
          <w:numId w:val="28"/>
        </w:numPr>
        <w:ind w:left="0" w:firstLine="709"/>
        <w:jc w:val="both"/>
        <w:rPr>
          <w:bCs/>
        </w:rPr>
      </w:pPr>
      <w:r>
        <w:rPr>
          <w:bCs/>
        </w:rPr>
        <w:t>Независимая гарантия должна соответствовать следующим требованиям:</w:t>
      </w:r>
    </w:p>
    <w:p>
      <w:pPr>
        <w:pStyle w:val="Normal"/>
        <w:numPr>
          <w:ilvl w:val="0"/>
          <w:numId w:val="25"/>
        </w:numPr>
        <w:tabs>
          <w:tab w:val="clear" w:pos="709"/>
          <w:tab w:val="left" w:pos="1134" w:leader="none"/>
        </w:tabs>
        <w:ind w:left="0" w:firstLine="709"/>
        <w:jc w:val="both"/>
        <w:rPr>
          <w:bCs/>
          <w:lang w:val="ru-RU"/>
        </w:rPr>
      </w:pPr>
      <w:r>
        <w:rPr>
          <w:bCs/>
          <w:lang w:val="ru-RU"/>
        </w:rPr>
        <w:t>Независимая гарантия не может быть отозвана выдавшим ее гарантом;</w:t>
      </w:r>
    </w:p>
    <w:p>
      <w:pPr>
        <w:pStyle w:val="Normal"/>
        <w:numPr>
          <w:ilvl w:val="0"/>
          <w:numId w:val="25"/>
        </w:numPr>
        <w:tabs>
          <w:tab w:val="clear" w:pos="709"/>
          <w:tab w:val="left" w:pos="1134" w:leader="none"/>
        </w:tabs>
        <w:ind w:left="0" w:firstLine="709"/>
        <w:jc w:val="both"/>
        <w:rPr>
          <w:bCs/>
          <w:lang w:val="ru-RU"/>
        </w:rPr>
      </w:pPr>
      <w:r>
        <w:rPr>
          <w:bCs/>
          <w:lang w:val="ru-RU"/>
        </w:rPr>
        <w:t>Бенефициар по Независимой гарантии – Заказчик, принципал – Исполнитель;</w:t>
      </w:r>
    </w:p>
    <w:p>
      <w:pPr>
        <w:pStyle w:val="Normal"/>
        <w:numPr>
          <w:ilvl w:val="0"/>
          <w:numId w:val="25"/>
        </w:numPr>
        <w:tabs>
          <w:tab w:val="clear" w:pos="709"/>
          <w:tab w:val="left" w:pos="1134" w:leader="none"/>
        </w:tabs>
        <w:ind w:left="0" w:firstLine="709"/>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25"/>
        </w:numPr>
        <w:tabs>
          <w:tab w:val="clear" w:pos="709"/>
          <w:tab w:val="left" w:pos="1134" w:leader="none"/>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5"/>
        </w:numPr>
        <w:shd w:val="clear" w:color="auto" w:fill="FFFFFF"/>
        <w:tabs>
          <w:tab w:val="clear" w:pos="709"/>
          <w:tab w:val="left" w:pos="1134" w:leader="none"/>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8"/>
        </w:numPr>
        <w:tabs>
          <w:tab w:val="clear" w:pos="709"/>
          <w:tab w:val="left" w:pos="1134" w:leader="none"/>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8"/>
        </w:numPr>
        <w:shd w:val="clear" w:color="auto" w:fill="FFFFFF"/>
        <w:tabs>
          <w:tab w:val="clear" w:pos="709"/>
          <w:tab w:val="left" w:pos="1134" w:leader="none"/>
        </w:tabs>
        <w:ind w:left="0" w:firstLine="709"/>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8"/>
        </w:numPr>
        <w:tabs>
          <w:tab w:val="clear" w:pos="709"/>
          <w:tab w:val="left" w:pos="1134" w:leader="none"/>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5"/>
        </w:numPr>
        <w:tabs>
          <w:tab w:val="clear" w:pos="709"/>
          <w:tab w:val="left" w:pos="1134" w:leader="none"/>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25"/>
        </w:numPr>
        <w:tabs>
          <w:tab w:val="clear" w:pos="709"/>
          <w:tab w:val="left" w:pos="1134" w:leader="none"/>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25"/>
        </w:numPr>
        <w:shd w:val="clear" w:color="auto" w:fill="FFFFFF"/>
        <w:tabs>
          <w:tab w:val="clear" w:pos="709"/>
          <w:tab w:val="left" w:pos="1134" w:leader="none"/>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8"/>
        </w:numPr>
        <w:shd w:val="clear" w:color="auto" w:fill="FFFFFF"/>
        <w:tabs>
          <w:tab w:val="clear" w:pos="709"/>
          <w:tab w:val="left" w:pos="1134" w:leader="none"/>
        </w:tabs>
        <w:ind w:left="0" w:firstLine="709"/>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8"/>
        </w:numPr>
        <w:shd w:val="clear" w:color="auto" w:fill="FFFFFF"/>
        <w:tabs>
          <w:tab w:val="clear" w:pos="709"/>
          <w:tab w:val="left" w:pos="1134" w:leader="none"/>
        </w:tabs>
        <w:ind w:left="0" w:firstLine="709"/>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8"/>
        </w:numPr>
        <w:tabs>
          <w:tab w:val="clear" w:pos="709"/>
          <w:tab w:val="left" w:pos="1134" w:leader="none"/>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6"/>
        </w:numPr>
        <w:tabs>
          <w:tab w:val="clear" w:pos="709"/>
          <w:tab w:val="left" w:pos="1134" w:leader="none"/>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26"/>
        </w:numPr>
        <w:tabs>
          <w:tab w:val="clear" w:pos="709"/>
          <w:tab w:val="left" w:pos="1134" w:leader="none"/>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6"/>
        </w:numPr>
        <w:tabs>
          <w:tab w:val="clear" w:pos="709"/>
          <w:tab w:val="left" w:pos="1134" w:leader="none"/>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6"/>
        </w:numPr>
        <w:tabs>
          <w:tab w:val="clear" w:pos="709"/>
          <w:tab w:val="left" w:pos="1134" w:leader="none"/>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6"/>
        </w:numPr>
        <w:tabs>
          <w:tab w:val="clear" w:pos="709"/>
          <w:tab w:val="left" w:pos="1134" w:leader="none"/>
        </w:tabs>
        <w:ind w:left="0" w:firstLine="709"/>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26"/>
        </w:numPr>
        <w:tabs>
          <w:tab w:val="clear" w:pos="709"/>
          <w:tab w:val="left" w:pos="1134" w:leader="none"/>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6"/>
        </w:numPr>
        <w:tabs>
          <w:tab w:val="clear" w:pos="709"/>
          <w:tab w:val="left" w:pos="1134" w:leader="none"/>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6"/>
        </w:numPr>
        <w:shd w:val="clear" w:color="auto" w:fill="FFFFFF"/>
        <w:tabs>
          <w:tab w:val="clear" w:pos="709"/>
          <w:tab w:val="left" w:pos="1134" w:leader="none"/>
        </w:tabs>
        <w:ind w:left="0" w:firstLine="709"/>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8"/>
        </w:numPr>
        <w:shd w:val="clear" w:color="auto" w:fill="FFFFFF"/>
        <w:tabs>
          <w:tab w:val="clear" w:pos="709"/>
          <w:tab w:val="left" w:pos="1134" w:leader="none"/>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8"/>
        </w:numPr>
        <w:shd w:val="clear" w:color="auto" w:fill="FFFFFF"/>
        <w:tabs>
          <w:tab w:val="clear" w:pos="709"/>
          <w:tab w:val="left" w:pos="1134" w:leader="none"/>
        </w:tabs>
        <w:ind w:left="0" w:firstLine="709"/>
        <w:jc w:val="both"/>
        <w:rPr/>
      </w:pPr>
      <w:r>
        <w:rPr/>
        <w:t>Текст Независимой гарантии должен содержать перечень Документов к требованию.</w:t>
      </w:r>
    </w:p>
    <w:p>
      <w:pPr>
        <w:pStyle w:val="ListParagraph"/>
        <w:numPr>
          <w:ilvl w:val="1"/>
          <w:numId w:val="28"/>
        </w:numPr>
        <w:ind w:left="0" w:firstLine="709"/>
        <w:jc w:val="both"/>
        <w:rPr/>
      </w:pPr>
      <w:r>
        <w:rPr/>
        <w:t>Текст Независимой гарантии должен содержать следующие дополнительные условия:</w:t>
      </w:r>
    </w:p>
    <w:p>
      <w:pPr>
        <w:pStyle w:val="ListParagraph"/>
        <w:numPr>
          <w:ilvl w:val="2"/>
          <w:numId w:val="28"/>
        </w:numPr>
        <w:shd w:val="clear" w:color="auto" w:fill="FFFFFF"/>
        <w:tabs>
          <w:tab w:val="clear" w:pos="709"/>
          <w:tab w:val="left" w:pos="1134" w:leader="none"/>
        </w:tabs>
        <w:ind w:left="0" w:firstLine="709"/>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8"/>
        </w:numPr>
        <w:shd w:val="clear" w:color="auto" w:fill="FFFFFF"/>
        <w:tabs>
          <w:tab w:val="clear" w:pos="709"/>
          <w:tab w:val="left" w:pos="1134" w:leader="none"/>
        </w:tabs>
        <w:ind w:left="0" w:firstLine="709"/>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8"/>
        </w:numPr>
        <w:shd w:val="clear" w:color="auto" w:fill="FFFFFF"/>
        <w:tabs>
          <w:tab w:val="clear" w:pos="709"/>
          <w:tab w:val="left" w:pos="1134" w:leader="none"/>
        </w:tabs>
        <w:ind w:left="0" w:firstLine="709"/>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8"/>
        </w:numPr>
        <w:shd w:val="clear" w:color="auto" w:fill="FFFFFF"/>
        <w:tabs>
          <w:tab w:val="clear" w:pos="709"/>
          <w:tab w:val="left" w:pos="1134" w:leader="none"/>
        </w:tabs>
        <w:ind w:left="0" w:firstLine="709"/>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8"/>
        </w:numPr>
        <w:shd w:val="clear" w:color="auto" w:fill="FFFFFF"/>
        <w:tabs>
          <w:tab w:val="clear" w:pos="709"/>
          <w:tab w:val="left" w:pos="1134" w:leader="none"/>
        </w:tabs>
        <w:ind w:left="0" w:firstLine="709"/>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8"/>
        </w:numPr>
        <w:shd w:val="clear" w:color="auto" w:fill="FFFFFF"/>
        <w:tabs>
          <w:tab w:val="clear" w:pos="709"/>
          <w:tab w:val="left" w:pos="1134" w:leader="none"/>
        </w:tabs>
        <w:ind w:left="0" w:firstLine="709"/>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8"/>
        </w:numPr>
        <w:ind w:left="0" w:firstLine="709"/>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8"/>
        </w:numPr>
        <w:tabs>
          <w:tab w:val="clear" w:pos="709"/>
          <w:tab w:val="left" w:pos="1134" w:leader="none"/>
        </w:tabs>
        <w:ind w:left="0" w:firstLine="709"/>
        <w:jc w:val="both"/>
        <w:rPr>
          <w:bCs/>
        </w:rPr>
      </w:pPr>
      <w:r>
        <w:rPr>
          <w:bCs/>
        </w:rPr>
        <w:t>Независимая гарантия не должна содержать условия:</w:t>
      </w:r>
    </w:p>
    <w:p>
      <w:pPr>
        <w:pStyle w:val="ListParagraph"/>
        <w:numPr>
          <w:ilvl w:val="0"/>
          <w:numId w:val="27"/>
        </w:numPr>
        <w:tabs>
          <w:tab w:val="clear" w:pos="709"/>
          <w:tab w:val="left" w:pos="1134" w:leader="none"/>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7"/>
        </w:numPr>
        <w:tabs>
          <w:tab w:val="clear" w:pos="709"/>
          <w:tab w:val="left" w:pos="1134" w:leader="none"/>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7"/>
        </w:numPr>
        <w:tabs>
          <w:tab w:val="clear" w:pos="709"/>
          <w:tab w:val="left" w:pos="1134" w:leader="none"/>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7"/>
        </w:numPr>
        <w:shd w:val="clear" w:color="auto" w:fill="FFFFFF"/>
        <w:tabs>
          <w:tab w:val="clear" w:pos="709"/>
          <w:tab w:val="left" w:pos="1134" w:leader="none"/>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8"/>
        </w:numPr>
        <w:shd w:val="clear" w:color="auto" w:fill="FFFFFF"/>
        <w:tabs>
          <w:tab w:val="clear" w:pos="709"/>
          <w:tab w:val="left" w:pos="1134" w:leader="none"/>
        </w:tabs>
        <w:ind w:left="0" w:firstLine="709"/>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8"/>
        </w:numPr>
        <w:shd w:val="clear" w:color="auto" w:fill="FFFFFF"/>
        <w:tabs>
          <w:tab w:val="clear" w:pos="709"/>
          <w:tab w:val="left" w:pos="1134" w:leader="none"/>
        </w:tabs>
        <w:ind w:left="0" w:firstLine="709"/>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8"/>
        </w:numPr>
        <w:shd w:val="clear" w:color="auto" w:fill="FFFFFF"/>
        <w:tabs>
          <w:tab w:val="clear" w:pos="709"/>
          <w:tab w:val="left" w:pos="1134" w:leader="none"/>
        </w:tabs>
        <w:ind w:left="0" w:firstLine="709"/>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8"/>
        </w:numPr>
        <w:shd w:val="clear" w:color="auto" w:fill="FFFFFF"/>
        <w:tabs>
          <w:tab w:val="clear" w:pos="709"/>
          <w:tab w:val="left" w:pos="1134" w:leader="none"/>
        </w:tabs>
        <w:ind w:left="0" w:firstLine="709"/>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8"/>
        </w:numPr>
        <w:tabs>
          <w:tab w:val="clear" w:pos="709"/>
          <w:tab w:val="left" w:pos="1134" w:leader="none"/>
        </w:tabs>
        <w:ind w:left="0" w:firstLine="709"/>
        <w:jc w:val="both"/>
        <w:rPr/>
      </w:pPr>
      <w:r>
        <w:rPr/>
        <w:t>Независимая гарантия предоставляется:</w:t>
      </w:r>
    </w:p>
    <w:p>
      <w:pPr>
        <w:pStyle w:val="ListParagraph"/>
        <w:widowControl w:val="false"/>
        <w:tabs>
          <w:tab w:val="clear" w:pos="709"/>
          <w:tab w:val="left" w:pos="740" w:leader="none"/>
        </w:tabs>
        <w:ind w:left="0" w:firstLine="737"/>
        <w:jc w:val="both"/>
        <w:rPr/>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134" w:leader="none"/>
        </w:tabs>
        <w:ind w:left="0" w:firstLine="737"/>
        <w:jc w:val="both"/>
        <w:rPr/>
      </w:pPr>
      <w:r>
        <w:rPr>
          <w:bCs/>
          <w:color w:val="000000"/>
        </w:rPr>
        <w:t>- в оригинале на бумажном носителе.</w:t>
      </w:r>
    </w:p>
    <w:p>
      <w:pPr>
        <w:pStyle w:val="ListParagraph"/>
        <w:numPr>
          <w:ilvl w:val="1"/>
          <w:numId w:val="28"/>
        </w:numPr>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8"/>
        </w:numPr>
        <w:shd w:val="clear" w:color="auto" w:fill="FFFFFF"/>
        <w:tabs>
          <w:tab w:val="clear" w:pos="709"/>
          <w:tab w:val="left" w:pos="1134" w:leader="none"/>
        </w:tabs>
        <w:ind w:left="0" w:firstLine="709"/>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8"/>
        </w:numPr>
        <w:shd w:val="clear" w:color="auto" w:fill="FFFFFF"/>
        <w:tabs>
          <w:tab w:val="clear" w:pos="709"/>
          <w:tab w:val="left" w:pos="1134" w:leader="none"/>
        </w:tabs>
        <w:ind w:left="0" w:firstLine="709"/>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23"/>
        </w:numPr>
        <w:shd w:val="clear" w:color="auto" w:fill="FFFFFF"/>
        <w:tabs>
          <w:tab w:val="clear" w:pos="709"/>
          <w:tab w:val="left" w:pos="284" w:leader="none"/>
        </w:tabs>
        <w:jc w:val="center"/>
        <w:rPr>
          <w:bCs/>
        </w:rPr>
      </w:pPr>
      <w:r>
        <w:rPr>
          <w:b/>
        </w:rPr>
        <w:t>Ответственность Сторон</w:t>
      </w:r>
    </w:p>
    <w:p>
      <w:pPr>
        <w:pStyle w:val="ListParagraph"/>
        <w:numPr>
          <w:ilvl w:val="1"/>
          <w:numId w:val="23"/>
        </w:numPr>
        <w:tabs>
          <w:tab w:val="clear" w:pos="709"/>
          <w:tab w:val="left" w:pos="496" w:leader="none"/>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3"/>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3"/>
        </w:numPr>
        <w:tabs>
          <w:tab w:val="clear" w:pos="709"/>
          <w:tab w:val="left" w:pos="1134" w:leader="none"/>
        </w:tabs>
        <w:ind w:left="0" w:firstLine="709"/>
        <w:jc w:val="both"/>
        <w:rPr>
          <w:bCs/>
          <w:lang w:val="ru-RU"/>
        </w:rPr>
      </w:pPr>
      <w:r>
        <w:rPr>
          <w:bCs/>
          <w:lang w:val="ru-RU"/>
        </w:rPr>
        <w:t xml:space="preserve"> </w:t>
      </w:r>
      <w:r>
        <w:rPr>
          <w:bCs/>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23"/>
        </w:numPr>
        <w:shd w:val="clear" w:color="auto" w:fill="FFFFFF" w:themeFill="background1"/>
        <w:tabs>
          <w:tab w:val="left" w:pos="0" w:leader="none"/>
          <w:tab w:val="left" w:pos="709" w:leader="none"/>
          <w:tab w:val="left" w:pos="1134"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3"/>
        </w:numPr>
        <w:tabs>
          <w:tab w:val="clear" w:pos="709"/>
          <w:tab w:val="left" w:pos="1134" w:leader="none"/>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3"/>
        </w:numPr>
        <w:shd w:val="clear" w:color="auto" w:fill="FFFFFF"/>
        <w:tabs>
          <w:tab w:val="clear" w:pos="709"/>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3"/>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3"/>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3"/>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3"/>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3"/>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23"/>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16"/>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left="0" w:firstLine="709"/>
        <w:jc w:val="both"/>
        <w:rPr>
          <w:bCs/>
        </w:rPr>
      </w:pPr>
      <w:bookmarkStart w:id="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7"/>
      <w:r>
        <w:rPr>
          <w:bCs/>
        </w:rPr>
        <w:t xml:space="preserve">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left="0" w:firstLine="709"/>
        <w:jc w:val="both"/>
        <w:rPr>
          <w:bCs/>
        </w:rPr>
      </w:pPr>
      <w:bookmarkStart w:id="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8"/>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bookmarkStart w:id="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9"/>
    </w:p>
    <w:p>
      <w:pPr>
        <w:pStyle w:val="ListParagraph"/>
        <w:numPr>
          <w:ilvl w:val="1"/>
          <w:numId w:val="16"/>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16"/>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16"/>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left="0" w:firstLine="709"/>
        <w:jc w:val="both"/>
        <w:rPr>
          <w:bCs/>
        </w:rPr>
      </w:pPr>
      <w:bookmarkStart w:id="10"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0"/>
    </w:p>
    <w:p>
      <w:pPr>
        <w:pStyle w:val="ListParagraph"/>
        <w:numPr>
          <w:ilvl w:val="1"/>
          <w:numId w:val="16"/>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6"/>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6"/>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16"/>
        </w:numPr>
        <w:snapToGrid w:val="false"/>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16"/>
        </w:numPr>
        <w:shd w:val="clear" w:color="auto" w:fill="FFFFFF"/>
        <w:tabs>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16"/>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6"/>
        </w:numPr>
        <w:shd w:val="clear" w:color="auto" w:fill="FFFFFF"/>
        <w:tabs>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6"/>
        </w:numPr>
        <w:shd w:val="clear" w:color="auto" w:fill="FFFFFF"/>
        <w:tabs>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1" w:name="_Ref361338032"/>
      <w:r>
        <w:rPr>
          <w:bCs/>
        </w:rPr>
        <w:t xml:space="preserve">15.7.3. </w:t>
      </w:r>
      <w:bookmarkEnd w:id="11"/>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6"/>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964"/>
        <w:gridCol w:w="4641"/>
      </w:tblGrid>
      <w:tr>
        <w:trPr/>
        <w:tc>
          <w:tcPr>
            <w:tcW w:w="4964" w:type="dxa"/>
            <w:tcBorders/>
            <w:shd w:color="auto" w:fill="auto" w:val="clear"/>
          </w:tcPr>
          <w:p>
            <w:pPr>
              <w:pStyle w:val="Normal"/>
              <w:widowControl w:val="false"/>
              <w:rPr/>
            </w:pPr>
            <w:r>
              <w:rPr/>
              <w:t>ЗАКАЗЧИК:</w:t>
            </w:r>
          </w:p>
        </w:tc>
        <w:tc>
          <w:tcPr>
            <w:tcW w:w="4641" w:type="dxa"/>
            <w:tcBorders/>
            <w:shd w:color="auto" w:fill="auto" w:val="clear"/>
          </w:tcPr>
          <w:p>
            <w:pPr>
              <w:pStyle w:val="Normal"/>
              <w:widowControl w:val="false"/>
              <w:rPr/>
            </w:pPr>
            <w:r>
              <w:rPr>
                <w:lang w:val="ru-RU"/>
              </w:rPr>
              <w:t>ИСПОЛНИТЕЛЬ</w:t>
            </w:r>
            <w:r>
              <w:rPr/>
              <w:t>:</w:t>
            </w:r>
          </w:p>
        </w:tc>
      </w:tr>
      <w:tr>
        <w:trPr/>
        <w:tc>
          <w:tcPr>
            <w:tcW w:w="4964" w:type="dxa"/>
            <w:tcBorders/>
            <w:shd w:color="auto" w:fill="auto" w:val="clear"/>
          </w:tcPr>
          <w:p>
            <w:pPr>
              <w:pStyle w:val="Normal"/>
              <w:widowControl w:val="false"/>
              <w:rPr>
                <w:lang w:val="ru-RU"/>
              </w:rPr>
            </w:pPr>
            <w:r>
              <w:rPr>
                <w:lang w:val="ru-RU"/>
              </w:rPr>
              <w:t>АО «ТК РусГидро»</w:t>
            </w:r>
          </w:p>
          <w:p>
            <w:pPr>
              <w:pStyle w:val="Normal"/>
              <w:widowControl w:val="false"/>
              <w:rPr>
                <w:lang w:val="ru-RU"/>
              </w:rPr>
            </w:pPr>
            <w:r>
              <w:rPr>
                <w:lang w:val="ru-RU"/>
              </w:rPr>
              <w:t xml:space="preserve">Место нахождения: 655619, Российская Федерация, Республика Хакасия, г. Саяногорск, рп. Черемушки, </w:t>
            </w:r>
            <w:r>
              <w:rPr>
                <w:lang w:val="ru-RU"/>
              </w:rPr>
              <w:t>стр.</w:t>
            </w:r>
            <w:r>
              <w:rPr>
                <w:lang w:val="ru-RU"/>
              </w:rPr>
              <w:t xml:space="preserve"> № 101</w:t>
            </w:r>
          </w:p>
          <w:p>
            <w:pPr>
              <w:pStyle w:val="Normal"/>
              <w:widowControl w:val="false"/>
              <w:rPr>
                <w:lang w:val="ru-RU"/>
              </w:rPr>
            </w:pPr>
            <w:r>
              <w:rPr>
                <w:lang w:val="ru-RU"/>
              </w:rPr>
              <w:t>Центральный филиал АО «ТК РусГидро»</w:t>
            </w:r>
          </w:p>
          <w:p>
            <w:pPr>
              <w:pStyle w:val="Normal"/>
              <w:widowControl w:val="false"/>
              <w:rPr>
                <w:lang w:val="ru-RU"/>
              </w:rPr>
            </w:pPr>
            <w:r>
              <w:rPr>
                <w:lang w:val="ru-RU"/>
              </w:rPr>
              <w:t>Место нахождения и почтовый адрес: 141342, Московская область, Сергиево-Посадский городской округ, пгт. Богородское, д. 100,</w:t>
            </w:r>
          </w:p>
          <w:p>
            <w:pPr>
              <w:pStyle w:val="Normal"/>
              <w:widowControl w:val="false"/>
              <w:rPr>
                <w:lang w:val="ru-RU"/>
              </w:rPr>
            </w:pPr>
            <w:r>
              <w:rPr>
                <w:lang w:val="ru-RU"/>
              </w:rPr>
              <w:t>Р\с 40702810940020015572</w:t>
            </w:r>
          </w:p>
          <w:p>
            <w:pPr>
              <w:pStyle w:val="Normal"/>
              <w:widowControl w:val="false"/>
              <w:rPr>
                <w:lang w:val="ru-RU"/>
              </w:rPr>
            </w:pPr>
            <w:r>
              <w:rPr>
                <w:lang w:val="ru-RU"/>
              </w:rPr>
              <w:t>в ПАО «Сбербанк России», г. Москва</w:t>
            </w:r>
          </w:p>
          <w:p>
            <w:pPr>
              <w:pStyle w:val="Normal"/>
              <w:widowControl w:val="false"/>
              <w:rPr>
                <w:lang w:val="ru-RU"/>
              </w:rPr>
            </w:pPr>
            <w:r>
              <w:rPr>
                <w:lang w:val="ru-RU"/>
              </w:rPr>
              <w:t>к/с 30101810400000000225</w:t>
            </w:r>
          </w:p>
          <w:p>
            <w:pPr>
              <w:pStyle w:val="Normal"/>
              <w:widowControl w:val="false"/>
              <w:rPr>
                <w:lang w:val="ru-RU"/>
              </w:rPr>
            </w:pPr>
            <w:r>
              <w:rPr>
                <w:lang w:val="ru-RU"/>
              </w:rPr>
              <w:t>БИК 044525225</w:t>
            </w:r>
          </w:p>
          <w:p>
            <w:pPr>
              <w:pStyle w:val="Normal"/>
              <w:widowControl w:val="false"/>
              <w:rPr>
                <w:lang w:val="ru-RU"/>
              </w:rPr>
            </w:pPr>
            <w:r>
              <w:rPr>
                <w:lang w:val="ru-RU"/>
              </w:rPr>
              <w:t>ИНН: 1902018248</w:t>
            </w:r>
          </w:p>
          <w:p>
            <w:pPr>
              <w:pStyle w:val="Normal"/>
              <w:widowControl w:val="false"/>
              <w:rPr>
                <w:lang w:val="ru-RU"/>
              </w:rPr>
            </w:pPr>
            <w:r>
              <w:rPr>
                <w:lang w:val="ru-RU"/>
              </w:rPr>
              <w:t>КПП: 504 243 001</w:t>
            </w:r>
          </w:p>
          <w:p>
            <w:pPr>
              <w:pStyle w:val="Normal"/>
              <w:widowControl w:val="false"/>
              <w:rPr>
                <w:lang w:val="ru-RU"/>
              </w:rPr>
            </w:pPr>
            <w:r>
              <w:rPr>
                <w:lang w:val="ru-RU"/>
              </w:rPr>
              <w:t xml:space="preserve">ОГРН:1031900676356 </w:t>
            </w:r>
          </w:p>
        </w:tc>
        <w:tc>
          <w:tcPr>
            <w:tcW w:w="4641"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4" w:type="dxa"/>
            <w:tcBorders/>
            <w:shd w:color="auto" w:fill="auto" w:val="clear"/>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641"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hanging="0"/>
        <w:rPr/>
      </w:pPr>
      <w:r>
        <w:rPr/>
        <w:tab/>
        <w:tab/>
      </w:r>
    </w:p>
    <w:p>
      <w:pPr>
        <w:pStyle w:val="ListParagraph"/>
        <w:numPr>
          <w:ilvl w:val="0"/>
          <w:numId w:val="18"/>
        </w:numPr>
        <w:tabs>
          <w:tab w:val="clear" w:pos="709"/>
          <w:tab w:val="left" w:pos="1134" w:leader="none"/>
        </w:tabs>
        <w:ind w:left="0" w:firstLine="709"/>
        <w:rPr/>
      </w:pPr>
      <w:r>
        <w:rPr/>
        <w:t>Виды услуг:</w:t>
      </w:r>
    </w:p>
    <w:p>
      <w:pPr>
        <w:pStyle w:val="ListParagraph"/>
        <w:numPr>
          <w:ilvl w:val="0"/>
          <w:numId w:val="18"/>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8"/>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8"/>
        </w:numPr>
        <w:tabs>
          <w:tab w:val="clear" w:pos="709"/>
          <w:tab w:val="left" w:pos="1134" w:leader="none"/>
        </w:tabs>
        <w:ind w:left="0" w:firstLine="709"/>
        <w:rPr>
          <w:highlight w:val="lightGray"/>
        </w:rPr>
      </w:pPr>
      <w:r>
        <w:rPr>
          <w:highlight w:val="lightGray"/>
        </w:rPr>
        <w:t>Качество:</w:t>
      </w:r>
    </w:p>
    <w:p>
      <w:pPr>
        <w:pStyle w:val="ListParagraph"/>
        <w:numPr>
          <w:ilvl w:val="0"/>
          <w:numId w:val="18"/>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8"/>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noVBand="0" w:val="01e0" w:noHBand="0" w:lastColumn="1" w:firstColumn="1" w:lastRow="1" w:firstRow="1"/>
      </w:tblPr>
      <w:tblGrid>
        <w:gridCol w:w="1112"/>
        <w:gridCol w:w="816"/>
        <w:gridCol w:w="738"/>
        <w:gridCol w:w="1388"/>
        <w:gridCol w:w="1559"/>
        <w:gridCol w:w="1461"/>
        <w:gridCol w:w="2647"/>
        <w:gridCol w:w="519"/>
      </w:tblGrid>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rHeight w:val="100" w:hRule="atLeast"/>
        </w:trPr>
        <w:tc>
          <w:tcPr>
            <w:tcW w:w="1112" w:type="dxa"/>
            <w:tcBorders>
              <w:top w:val="single" w:sz="4" w:space="0" w:color="000000"/>
            </w:tcBorders>
          </w:tcPr>
          <w:p>
            <w:pPr>
              <w:pStyle w:val="Normal"/>
              <w:widowControl w:val="false"/>
              <w:rPr>
                <w:b/>
                <w:lang w:val="ru-RU"/>
              </w:rPr>
            </w:pPr>
            <w:r>
              <w:rPr>
                <w:b/>
                <w:lang w:val="ru-RU"/>
              </w:rPr>
            </w:r>
          </w:p>
        </w:tc>
        <w:tc>
          <w:tcPr>
            <w:tcW w:w="1554"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ind w:left="57" w:right="-113" w:hanging="0"/>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Cs w:val="24"/>
        </w:rPr>
        <w:footnoteReference w:id="3"/>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bookmarkStart w:id="12" w:name="_GoBack"/>
            <w:bookmarkEnd w:id="12"/>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27</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5">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1" w:customStyle="1">
    <w:name w:val="line number1"/>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B90A723-4AA0-4CDE-A8A6-47811E49D379}">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C3B3AB6B-E603-4499-86DB-808F41AE20AB}">
  <ds:schemaRefs>
    <ds:schemaRef ds:uri="http://schemas.openxmlformats.org/officeDocument/2006/bibliography"/>
  </ds:schemaRefs>
</ds:datastoreItem>
</file>

<file path=customXml/itemProps6.xml><?xml version="1.0" encoding="utf-8"?>
<ds:datastoreItem xmlns:ds="http://schemas.openxmlformats.org/officeDocument/2006/customXml" ds:itemID="{B4DA302E-78A8-43E5-B383-294F3A248D91}">
  <ds:schemaRefs>
    <ds:schemaRef ds:uri="http://schemas.openxmlformats.org/officeDocument/2006/bibliography"/>
  </ds:schemaRefs>
</ds:datastoreItem>
</file>

<file path=customXml/itemProps7.xml><?xml version="1.0" encoding="utf-8"?>
<ds:datastoreItem xmlns:ds="http://schemas.openxmlformats.org/officeDocument/2006/customXml" ds:itemID="{1F275A71-126C-470B-B1EB-B76CE86C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AlterOffice/3.4.0.9$Linux_X86_64 LibreOffice_project/b8daf9e823b1a5463a2f48435ddc2e8696e7d4fc</Application>
  <AppVersion>15.0000</AppVersion>
  <Pages>27</Pages>
  <Words>9571</Words>
  <Characters>67855</Characters>
  <CharactersWithSpaces>77225</CharactersWithSpaces>
  <Paragraphs>448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2026-07-08T08:06:00Z</dcterms:created>
  <dc:creator>Быстрова Дарья Андреевна</dc:creator>
  <dc:description/>
  <dc:language>ru-RU</dc:language>
  <cp:lastModifiedBy>tolpyginanv@corp.gidroogk.com</cp:lastModifiedBy>
  <cp:lastPrinted>2016-12-15T13:00:00Z</cp:lastPrinted>
  <dcterms:modified xsi:type="dcterms:W3CDTF">2026-09-23T17:14:42Z</dcterms:modified>
  <cp:revision>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