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>
          <w:rStyle w:val="Style"/>
        </w:rPr>
      </w:pPr>
      <w:r>
        <w:rPr/>
      </w:r>
    </w:p>
    <w:p>
      <w:pPr>
        <w:pStyle w:val="Normal"/>
        <w:jc w:val="center"/>
        <w:rPr/>
      </w:pPr>
      <w:r>
        <w:rPr>
          <w:rStyle w:val="Style"/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rStyle w:val="Style"/>
          <w:rFonts w:eastAsia="Calibri"/>
          <w:i/>
          <w:sz w:val="26"/>
          <w:szCs w:val="26"/>
        </w:rPr>
        <w:t>«</w:t>
      </w:r>
      <w:r>
        <w:rPr>
          <w:rStyle w:val="Style"/>
          <w:rFonts w:eastAsia="Calibri"/>
          <w:sz w:val="26"/>
          <w:szCs w:val="26"/>
        </w:rPr>
        <w:t>О</w:t>
      </w:r>
      <w:r>
        <w:rPr>
          <w:rStyle w:val="Style"/>
          <w:sz w:val="26"/>
          <w:szCs w:val="26"/>
        </w:rPr>
        <w:t>КПД2 84.25.11.120 Оказание услуг технического обслуживания автоматических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систем безопасности и установок противопожарной защиты зданий и сооружений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филиала "Приморские электрические сети"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Style w:val="Style"/>
          <w:rFonts w:eastAsia="Calibri"/>
          <w:sz w:val="26"/>
          <w:szCs w:val="26"/>
        </w:rPr>
        <w:t xml:space="preserve">Лот № </w:t>
      </w:r>
      <w:r>
        <w:rPr>
          <w:rStyle w:val="Style"/>
          <w:rFonts w:eastAsia="Calibri"/>
          <w:sz w:val="26"/>
          <w:szCs w:val="26"/>
        </w:rPr>
        <w:t>36301-ПРО-ДЭК-2027-ДРСК-ПЭС</w:t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720"/>
          <w:pgNumType w:fmt="decimal"/>
          <w:formProt w:val="false"/>
          <w:textDirection w:val="lrTb"/>
          <w:docGrid w:type="default" w:linePitch="600" w:charSpace="24576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3"/>
        <w:keepNext w:val="true"/>
        <w:keepLines/>
        <w:widowControl/>
        <w:numPr>
          <w:ilvl w:val="0"/>
          <w:numId w:val="0"/>
        </w:numPr>
        <w:suppressAutoHyphens w:val="true"/>
        <w:spacing w:before="120" w:after="60"/>
        <w:ind w:hanging="0" w:left="510" w:right="0"/>
        <w:rPr>
          <w:rFonts w:eastAsia="Calibri"/>
          <w:b/>
          <w:sz w:val="24"/>
          <w:szCs w:val="24"/>
        </w:rPr>
      </w:pPr>
      <w:bookmarkStart w:id="0" w:name="_Toc54643694"/>
      <w:r>
        <w:rPr>
          <w:rFonts w:eastAsia="Calibri"/>
          <w:b/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0"/>
          <w:numId w:val="0"/>
        </w:numPr>
        <w:ind w:hanging="0" w:left="510" w:right="0"/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15"/>
                <w:b w:val="false"/>
                <w:bCs/>
                <w:i w:val="false"/>
                <w:sz w:val="24"/>
                <w:szCs w:val="24"/>
                <w:shd w:fill="FFFFFF" w:val="clear"/>
              </w:rPr>
              <w:t>ППР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"/>
                <w:sz w:val="26"/>
                <w:szCs w:val="26"/>
              </w:rPr>
              <w:t>планово-предупредительный ремонт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/>
            </w:pPr>
            <w:r>
              <w:rPr/>
              <w:t>СППЗ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/>
            </w:pPr>
            <w:r>
              <w:rPr>
                <w:rStyle w:val="Style"/>
                <w:sz w:val="24"/>
                <w:szCs w:val="24"/>
              </w:rPr>
              <w:t>Системы противопожарной защиты (в том числе автоматическая пожарная сигнализация (АПС), система оповещения и управления эвакуацией людей при пожаре (СОУЭ), автоматическая установка пожаротушения (АУПТ),  система противодымной защиты (СПДЗ)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0"/>
          <w:numId w:val="0"/>
        </w:numPr>
        <w:ind w:hanging="0" w:left="510" w:right="0"/>
        <w:jc w:val="center"/>
        <w:rPr>
          <w:rFonts w:ascii="Liberation Serif" w:hAnsi="Liberation Serif"/>
        </w:rPr>
      </w:pPr>
      <w:bookmarkStart w:id="3" w:name="_Toc46743506"/>
      <w:bookmarkStart w:id="4" w:name="_Toc54643696"/>
      <w:r>
        <w:rPr>
          <w:rFonts w:ascii="Liberation Serif" w:hAnsi="Liberation Serif"/>
        </w:rPr>
        <w:t>Наименование закупаемой продукции</w:t>
      </w:r>
      <w:bookmarkEnd w:id="3"/>
      <w:bookmarkEnd w:id="4"/>
    </w:p>
    <w:p>
      <w:pPr>
        <w:pStyle w:val="Normal"/>
        <w:jc w:val="both"/>
        <w:rPr/>
      </w:pPr>
      <w:r>
        <w:rPr>
          <w:rStyle w:val="Style"/>
          <w:rFonts w:eastAsia="Calibri" w:ascii="Liberation Serif" w:hAnsi="Liberation Serif"/>
          <w:i/>
          <w:sz w:val="26"/>
          <w:szCs w:val="26"/>
        </w:rPr>
        <w:tab/>
        <w:t>«</w:t>
      </w:r>
      <w:r>
        <w:rPr>
          <w:rStyle w:val="Style"/>
          <w:rFonts w:eastAsia="Calibri" w:ascii="Liberation Serif" w:hAnsi="Liberation Serif"/>
          <w:sz w:val="26"/>
          <w:szCs w:val="26"/>
        </w:rPr>
        <w:t>О</w:t>
      </w:r>
      <w:r>
        <w:rPr>
          <w:rStyle w:val="Style"/>
          <w:rFonts w:ascii="Liberation Serif" w:hAnsi="Liberation Serif"/>
          <w:sz w:val="26"/>
          <w:szCs w:val="26"/>
        </w:rPr>
        <w:t>КПД2 84.25.11.120 Оказание услуг технического обслуживания автоматических</w:t>
      </w:r>
    </w:p>
    <w:p>
      <w:pPr>
        <w:pStyle w:val="Normal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систем безопасности и установок противопожарной защиты зданий и сооружений</w:t>
      </w:r>
    </w:p>
    <w:p>
      <w:pPr>
        <w:pStyle w:val="Normal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филиала "Приморские электрические сети"</w:t>
      </w:r>
    </w:p>
    <w:p>
      <w:pPr>
        <w:pStyle w:val="Heading4"/>
        <w:numPr>
          <w:ilvl w:val="0"/>
          <w:numId w:val="0"/>
        </w:numPr>
        <w:spacing w:before="240" w:after="0"/>
        <w:ind w:hanging="0" w:left="0" w:right="0"/>
        <w:jc w:val="center"/>
        <w:rPr>
          <w:rFonts w:ascii="Liberation Serif" w:hAnsi="Liberation Serif"/>
        </w:rPr>
      </w:pPr>
      <w:bookmarkStart w:id="5" w:name="_Toc54643697"/>
      <w:bookmarkStart w:id="6" w:name="_Toc46743507"/>
      <w:r>
        <w:rPr>
          <w:rFonts w:ascii="Liberation Serif" w:hAnsi="Liberation Serif"/>
        </w:rPr>
        <w:t xml:space="preserve">Цель </w:t>
      </w:r>
      <w:bookmarkEnd w:id="6"/>
      <w:r>
        <w:rPr>
          <w:rFonts w:ascii="Liberation Serif" w:hAnsi="Liberation Serif"/>
        </w:rPr>
        <w:t>оказания услуг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"/>
          <w:rFonts w:ascii="Liberation Serif" w:hAnsi="Liberation Serif"/>
          <w:sz w:val="26"/>
          <w:szCs w:val="26"/>
        </w:rPr>
        <w:tab/>
        <w:t>Оказание услуг по техническому обслуживанию и планово-предупредительному ремонту систем противопожарной защиты зданий и сооружений филиала «ПЭС» для поддержания оборудования в исправном рабочем состоянии, восстановления работоспособности систем, технические рекомендации по улучшению его работы</w:t>
      </w:r>
    </w:p>
    <w:p>
      <w:pPr>
        <w:pStyle w:val="Heading4"/>
        <w:numPr>
          <w:ilvl w:val="0"/>
          <w:numId w:val="0"/>
        </w:numPr>
        <w:ind w:hanging="0" w:left="0" w:right="0"/>
        <w:jc w:val="center"/>
        <w:rPr>
          <w:rFonts w:ascii="Liberation Serif" w:hAnsi="Liberation Serif"/>
        </w:rPr>
      </w:pPr>
      <w:bookmarkStart w:id="7" w:name="_Toc46743508"/>
      <w:bookmarkStart w:id="8" w:name="_Toc54643698"/>
      <w:r>
        <w:rPr>
          <w:rFonts w:ascii="Liberation Serif" w:hAnsi="Liberation Serif"/>
        </w:rPr>
        <w:t>Существующее положение</w:t>
      </w:r>
      <w:bookmarkEnd w:id="7"/>
      <w:bookmarkEnd w:id="8"/>
    </w:p>
    <w:p>
      <w:pPr>
        <w:pStyle w:val="Normal"/>
        <w:widowControl w:val="false"/>
        <w:shd w:fill="FFFFFF" w:val="clear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ab/>
        <w:t xml:space="preserve">В филиале на </w:t>
      </w: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>1</w:t>
      </w: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>3</w:t>
      </w: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>1</w:t>
      </w: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 xml:space="preserve"> объектах установлены СППЗ, которым необходимо проведение технического обслуживания, ППР и проверки работоспособности в процессе эксплуатации</w:t>
      </w:r>
    </w:p>
    <w:p>
      <w:pPr>
        <w:pStyle w:val="Heading3"/>
        <w:numPr>
          <w:ilvl w:val="0"/>
          <w:numId w:val="0"/>
        </w:numPr>
        <w:ind w:hanging="0" w:left="510"/>
        <w:rPr>
          <w:rFonts w:ascii="Liberation Serif" w:hAnsi="Liberation Serif" w:eastAsia="Calibri"/>
          <w:b/>
          <w:sz w:val="24"/>
          <w:szCs w:val="24"/>
        </w:rPr>
      </w:pPr>
      <w:bookmarkStart w:id="9" w:name="_Toc54643699"/>
      <w:r>
        <w:rPr>
          <w:rFonts w:eastAsia="Calibri" w:ascii="Liberation Serif" w:hAnsi="Liberation Serif"/>
          <w:b/>
          <w:sz w:val="24"/>
          <w:szCs w:val="24"/>
        </w:rPr>
        <w:t>Таблица 1. Перечень объектов заказчика</w:t>
      </w:r>
      <w:bookmarkEnd w:id="9"/>
      <w:r>
        <w:rPr>
          <w:rFonts w:eastAsia="Calibri" w:ascii="Liberation Serif" w:hAnsi="Liberation Serif"/>
          <w:b/>
          <w:sz w:val="24"/>
          <w:szCs w:val="24"/>
        </w:rPr>
        <w:t>, оборудованных СППЗ (автоматическая установка пожаротушения (АУПТ), система противодымной защиты (СПДЗ) указаны в примечаниях)</w:t>
      </w:r>
    </w:p>
    <w:tbl>
      <w:tblPr>
        <w:tblW w:w="9883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75"/>
        <w:gridCol w:w="1691"/>
        <w:gridCol w:w="2164"/>
        <w:gridCol w:w="987"/>
        <w:gridCol w:w="2766"/>
        <w:gridCol w:w="1600"/>
      </w:tblGrid>
      <w:tr>
        <w:trPr>
          <w:trHeight w:val="31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№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Объект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кол-во зданий (шт.)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Адрес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(место оказания услуг)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Примечания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(дата ввода в эксплуатацию АПС)</w:t>
            </w:r>
          </w:p>
        </w:tc>
      </w:tr>
      <w:tr>
        <w:trPr>
          <w:trHeight w:val="338" w:hRule="atLeast"/>
        </w:trPr>
        <w:tc>
          <w:tcPr>
            <w:tcW w:w="98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 Приморские южные электрические сети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</w:tr>
      <w:tr>
        <w:trPr>
          <w:trHeight w:val="22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1.1</w:t>
            </w:r>
          </w:p>
          <w:p>
            <w:pPr>
              <w:pStyle w:val="Normal"/>
              <w:widowControl w:val="false"/>
              <w:jc w:val="left"/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База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АБК управления, СМТ, ремонтные боксы, ЦРО, СИЗПИ,  гаражи (склады), бытовка охранника (пост №2, будка), РЭУ (бывшее здание ДЭСР),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Стрелковая, 19-23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2023-202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ССДТУ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Пушкинская, 85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52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1.3.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Владивостокский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АБК ВРЭС, гаражи, мастерские (кирпичные 7) 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Стрелковая, 23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1.4.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Русскоостровной  мастерский участок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о. Русский, ул. Академика Касьянова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9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1.5.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"Сахарный ключ"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ул.Маковского (напротив  АЗС - остановка Сахарный ключ)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1.6.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"Спутник"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ул.Минеральная, 6А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3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1.7.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"Орлиная"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Нерчинская 42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в т.ч. АУГПТ, СПДЗ,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2012 год.</w:t>
            </w:r>
          </w:p>
        </w:tc>
      </w:tr>
      <w:tr>
        <w:trPr>
          <w:trHeight w:val="4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1.8.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"Бурная"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Бестужева 23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1.9.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"ВТЭЦ-1"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Западная, 29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1.10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кВ Ц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г. Владивосток, ул. Пушкинская, 81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1.11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кВ Ренессанс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 Маковского, 65 ст. 6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1.12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кВ Академическая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ул.Мусоргского, 3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1.13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 кВ Ипподром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ул.Аренского, 54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1.14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 кВ 2Р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ул.Иртышская, 16А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1.15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ПС 110 кВ Промузел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ул.2-я Шоссейная, 15А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1.16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 кВ Горностай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пос.Горностай, ул.Щитовая, 23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1.17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 кВ Стройиндустрия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ул.Снеговая, 43В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1.18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 кВ Чуркин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г.Владивосток, ул.Харьковская, 30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"КЭТ"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о. Русский (в районе пос.КЭТ)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2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"А" ( ОПУ на ОРУ)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Стрелковая, 23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35/10 «Океанариум»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о. Русский, ул. Академика Касьянова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35/10 "Коммунальная"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о. Русский, Университетский проспект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кВ "Лазурная"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Лесная,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2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24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кВ "Голдобин"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Гастелло,  20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1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25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110/6/6 кВ "Улисс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Вязовая,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кВ "Мингородок"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Адмирала Юмашева,  35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ЗРУ не оборудовано,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27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кВ "Залив"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28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110/6 кВ "Седанка"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Айвазовского, 16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кВ "Чайка"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Айвазовского,  77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кВ "Эгершельд"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Владивосток, ул. Морозова, 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РП-2 10 кВ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о.Русский, пос Аякс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РП-4 10 кВ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о.Русский, пос Аякс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РП-5 10 кВ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о.Русский, пос Аякс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34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РП-6 10 кВ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г.Владивосток, о.Русский, пос Аякс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35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 110/35/6 «Загородная» ЗРУ 6 кВ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Г. Владивосток, ул. Борисенко 108б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2024</w:t>
            </w:r>
          </w:p>
        </w:tc>
      </w:tr>
      <w:tr>
        <w:trPr>
          <w:trHeight w:val="57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Партизанский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г.Партизанск, ул. Сурикова 1б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45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37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Мастерский участок "Лазо" -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с.Лазо, ул.Советская 77А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2014</w:t>
            </w:r>
          </w:p>
        </w:tc>
      </w:tr>
      <w:tr>
        <w:trPr>
          <w:trHeight w:val="4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38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Артёмовский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 1,2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г.Артём, ул. Интернациональная 54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4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110/35/10 "Пушкинская"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п. Раздольное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110/6 Садовая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Большой  Камень, ул. Лазо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110/6 "Де-Фриз"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п. Де Фриз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9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110/10 "Береговая 1"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г.Большой-Камень, ул.Лебедева,1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110/10 кВ "Тереховка"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ж/д ст.Барановская,</w:t>
              <w:br/>
              <w:t>ул.Горная 23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44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"Тавричанка"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пос.Тавричанка ул.Осипенко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82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45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35/10/6 кВ "Силикатная"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пос.Раздольное, ул.Горького 2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110/10 кВ "Казармы"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пос.Новый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47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"Раздольное - 1"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пос.Раздольное, ул.Котовского 1д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48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ПС110/35/6 "Давыдовка"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пос.Тавричанка. ул.Радиостанция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2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110/10 "Раздольное - 2"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пос.Раздольное, ул.Котовского 1д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кВ "Шмидтовка"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район, п. Де Фриз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кВ "Надеждинская"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п.Новый, ул.Зеленая 16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35/10 кВ "Оленевод"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п.Оленевод, ул.Линейная 38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82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35/10 кВ "Соловей ключ"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Соловей ключ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54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«Западная»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г.Артём, пос.Угловое, ул</w:t>
              <w:br/>
              <w:t>Красногвардейская, 16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55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"Дачная"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пос. Соловей ключ, ориентир СНТ Черёмушки-3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"Вираж"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пос. Соловей ключ, ориентир СНТ Серебрянка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57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 "Ульяновская"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Артём, ориентир - ул. Айвазовского, 64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58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РП-1,2,3,4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бухта Лазурная, ориентир - казино "Tigre de Crystal"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РП Западное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Артем, пос. Угловое,  ул. Красногвардейская, 16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Хасанский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АБК, гаражи, склад,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рем. бригады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Славянка, ул. Ленинская, 66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2026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Помещение связи, ОПУ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п.Краскино ул. Новокиевская, 71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Краскинский участок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Краскино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Барабашский участок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Хасанский р-он, пос. Барабаш, ул. Восточная слобода, 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64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Надеждинский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Артём, ул. Богдана Хмельницкого, 16-А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65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Раздольненский участок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п.Раздольное ул. Арсеньева 6.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3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66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Находкинский РЭС 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Находка, ул. Пограничная, 54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67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110/35/6 Находка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г.Находка, ул.Пограничная, 54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68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35/6 Рыбники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Находка, ул. Матросова,1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69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ПС 110/6 НСРЗ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г. Находка, ул Портовая 146/1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2026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Фокинский участок. АБК, гаражи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г. Фокино, ул. Тихонова, 20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2026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Партизанский РРЭС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Новицкое, ул. Садовая, 1А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Душкинский участок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Душкино, ул. Комарова 56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52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73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Шкотовский РЭС СП ПЮЭС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г.Большой-Камень, ул.Подгорная, 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525" w:hRule="atLeast"/>
        </w:trPr>
        <w:tc>
          <w:tcPr>
            <w:tcW w:w="98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 Приморские центральные электрические сети</w:t>
            </w:r>
          </w:p>
        </w:tc>
      </w:tr>
      <w:tr>
        <w:trPr>
          <w:trHeight w:val="55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Южный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Ремонтная мастерская,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Владивосткское шоссе, 28-в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2007;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2010- мастерская, котельная;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2019- гаражи</w:t>
            </w:r>
          </w:p>
        </w:tc>
      </w:tr>
      <w:tr>
        <w:trPr>
          <w:trHeight w:val="6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Уссурийский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Гаражные боксы и АБК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Некрасова, 190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АБК-2007, гаражные боксы-2010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2.3.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Уссурийский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"Агрокомплекс"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Михайловский район, 2км на север от с. Михайловка по трассе на с. Хороль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2018</w:t>
            </w:r>
          </w:p>
        </w:tc>
      </w:tr>
      <w:tr>
        <w:trPr>
          <w:trHeight w:val="55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2.4.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Уссурийский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"Дубки"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Михайловский район с.Дубки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2018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2.5.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Уссурийский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ПС "Ленинская"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Михайловский район с.Ленинское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2018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2.6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Уссурийский РЭС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Здание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Корсаковск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ого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мастерского участка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Уссурийский район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с. Корсаковка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ул Комсомольская, 9-В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2024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2.7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Уссурийский РЭС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Здание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Григорьевск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ого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мастерского участка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Михайловский район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с. Григорьевка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ул. Калинина, 8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2024</w:t>
            </w:r>
          </w:p>
        </w:tc>
      </w:tr>
      <w:tr>
        <w:trPr>
          <w:trHeight w:val="75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2.8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Хорольский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п.Ярославский ул. Ленинская, 26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6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2.9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Хорольский МУ Хорольского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Хорольского МУ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Хороль ул. Лазо,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2010</w:t>
            </w:r>
          </w:p>
        </w:tc>
      </w:tr>
      <w:tr>
        <w:trPr>
          <w:trHeight w:val="58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Управление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управления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Володарского, 86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2010-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1,2,3,4 этажи; 2021 -1 этаж</w:t>
            </w:r>
          </w:p>
        </w:tc>
      </w:tr>
      <w:tr>
        <w:trPr>
          <w:trHeight w:val="7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Черниговский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АБК,гаражи,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с.Черниговка, ул. Партизанская, 191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2008-здание РПБ;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10-гостиница, гаражи</w:t>
            </w:r>
          </w:p>
        </w:tc>
      </w:tr>
      <w:tr>
        <w:trPr>
          <w:trHeight w:val="79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 ПЦЭС РЭУ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РЭУ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Владивосткское шоссе, 28-в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2010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База РБП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1,2,3,4 этажи, здание ОДС и  СДТУ, ЦРО, СМТ, Цен.склад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Владивосткское шоссе, 28-в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2006-здание РПБ;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2009-ЦРО.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7;</w:t>
            </w:r>
          </w:p>
        </w:tc>
      </w:tr>
      <w:tr>
        <w:trPr>
          <w:trHeight w:val="82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Октябрьск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ий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Покровский МУ: здание старого гаража, здание нового гаража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Покровка, пер. Калинина 47/1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2015</w:t>
            </w:r>
          </w:p>
        </w:tc>
      </w:tr>
      <w:tr>
        <w:trPr>
          <w:trHeight w:val="99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Октябрьский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 №1 гараж №2, проходная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с.Липовцы  пер.Сосновый 2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2015</w:t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Октябрьского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Монтерский пункт ПС Полевая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Струговка, ПС Полевая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2015</w:t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2.1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Октябрьский РЭС Пограничный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 участка и гаражи  / 2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Пограничный р-н, п. Пограничный, ул. Решетникова, 12-Б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2022</w:t>
            </w:r>
          </w:p>
        </w:tc>
      </w:tr>
      <w:tr>
        <w:trPr>
          <w:trHeight w:val="32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18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Ханкайский  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 (бокс №1и№2)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с.Камень Рыболов ул.Подстанционная 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2026</w:t>
            </w:r>
          </w:p>
        </w:tc>
      </w:tr>
      <w:tr>
        <w:trPr>
          <w:trHeight w:val="32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19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Ханкайский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Гараж</w:t>
            </w: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ные боксы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№ </w:t>
            </w: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3-12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1"/>
              <w:jc w:val="right"/>
              <w:rPr>
                <w:rFonts w:ascii="Liberation Serif" w:hAnsi="Liberation Serif" w:cs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с. Камень Рыболов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ул. Подстанционная 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Монтаж в 2026 г.</w:t>
            </w:r>
          </w:p>
        </w:tc>
      </w:tr>
      <w:tr>
        <w:trPr>
          <w:trHeight w:val="32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0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Ханкайский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Здание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Новокачалинск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ого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мастерског участка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и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гаражи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1"/>
              <w:jc w:val="righ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Ханкайский р-н, 140 км трассы Михайловка-Турий Рог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2017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Ханкайский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Здание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Жариковск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ого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мастерского участка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Жариково, ул.Дальневосточная,86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2017</w:t>
            </w:r>
          </w:p>
        </w:tc>
      </w:tr>
      <w:tr>
        <w:trPr>
          <w:trHeight w:val="480" w:hRule="atLeast"/>
        </w:trPr>
        <w:tc>
          <w:tcPr>
            <w:tcW w:w="6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22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Михайловский  РЭС СП ПЦЭС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с.Ивановка ул. Горького 13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2021</w:t>
            </w:r>
          </w:p>
        </w:tc>
      </w:tr>
      <w:tr>
        <w:trPr>
          <w:trHeight w:val="480" w:hRule="atLeast"/>
        </w:trPr>
        <w:tc>
          <w:tcPr>
            <w:tcW w:w="67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гаражи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2022</w:t>
            </w:r>
          </w:p>
        </w:tc>
      </w:tr>
      <w:tr>
        <w:trPr>
          <w:trHeight w:val="48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2.2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Полигон ПЭС ГПО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Уссурийск ул. Ровная, 22 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207</w:t>
            </w:r>
          </w:p>
        </w:tc>
      </w:tr>
      <w:tr>
        <w:trPr>
          <w:trHeight w:val="540" w:hRule="atLeast"/>
        </w:trPr>
        <w:tc>
          <w:tcPr>
            <w:tcW w:w="98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 Приморские западные электрические сети</w:t>
            </w:r>
          </w:p>
        </w:tc>
      </w:tr>
      <w:tr>
        <w:trPr>
          <w:trHeight w:val="10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База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СМТ, РСЦ, Склад металлический, Склад кирпичный, здание охраны, электрокотельная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г.Лесозаводск, ул. Григоренко, 17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2008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Кировский РЭС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склад,  подсобное помещение, сушилка, здание охраны.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Кировский ул. Переулок Лесной, 5-А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3.3.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Кировский РЭС Крыловский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Крыловка ул. Центральная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3.4.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Спасский РЭС ПС 110/10 Ключи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ОПУ, ЗРУ 10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Прохоры. Свинокомплекс ООО Мерси Трейд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3.5.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Спасский РЭС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склад, РДП  Спасск, Мастерская МУ-1, здание охраны.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Спасск-Дальний , ул. Ангарская, 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2008</w:t>
            </w:r>
          </w:p>
        </w:tc>
      </w:tr>
      <w:tr>
        <w:trPr>
          <w:trHeight w:val="4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3.6.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Спасский РЭС Чкаловский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Гараж, Склад металлический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Чкаловское ул. Пограничная 3-А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Эксплотируется более 10 лет </w:t>
            </w:r>
          </w:p>
        </w:tc>
      </w:tr>
      <w:tr>
        <w:trPr>
          <w:trHeight w:val="70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3.7.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Спасский РЭС ПС 35/10 Заря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помещение ДЭМ ПС Заря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с.Буссевка, ул.Весенняя, 14Б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Эксплотируется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79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3.8.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Лесозаводский РЭС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гаражи,склад №1 склад №2, здание ОПУ ПС Лесозаводск, здание охраны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г.Лесозаводск, ул. Курская, 8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3.9.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Лесозаводский РЭС СП ПЗЭС - полигон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АБК-1, АБК-2, Гостиница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Иннокентьевка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Эксплотируется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3.10.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Лесозаводский РЭС СП ПЗЭС - полигон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Клуб-столовая, сторожка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Иннокентьевка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2026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3.10.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Лесозаводский РЭС Пантеймоновский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Котельная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с..Пантелеймоновка, ул. Школьная 5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3.11.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Красноармейский РЭС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Рощино, ул. Энергетиков, 2.ул.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Красноармейский РЭС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ОПУ ПС Рощино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Рощино, ул. Энергетиков, 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3.13.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Красноармейский РЭС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ОПУ ПС Новопокровка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Новопокровка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Эксплуатируется более 10 лет  </w:t>
            </w:r>
          </w:p>
        </w:tc>
      </w:tr>
      <w:tr>
        <w:trPr>
          <w:trHeight w:val="76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3.14.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Красноармейский РЭС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ОПУ ПС Восток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Восток . ГПП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3.15.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Красноармейский РЭС ПЗЭС  Востоковский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Восток  ул. Молодежная 10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3.16.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Пожарский РЭС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АБК, гараж.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ремонтной базы, сторожка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п.Лучегорск, ул. Пристанционная, 8.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3.17.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Пожарский РЭС СП ПЗЭС (РДП)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АБК, РДП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Лучегорск, 5 микрорайон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3.18.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Пожарский РЭС СП ПЗЭС (ПС Губерово)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ОПУ, ЗРУ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Новостройка (0,5 км. Юговосточнее административного центра села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91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3.19.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Дальнереченский РЭС СП ПЗЭС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гараж, котельная, склад, сторожка.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г.Дальнереченск, ул. Светлая, 62.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3.20.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Дальнереченский РЭС СП ПЗЭС  Ракитнинский участок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Ракитное , ул. Стрельникова  5.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Эксплуатируется более 10 лет </w:t>
            </w: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  <w:tr>
        <w:trPr>
          <w:trHeight w:val="6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3.2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Пожарский РЭС СП ПЗЭС (ПС Разрез)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Здание ОПУ, ЗРУ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п. Лучегорск , Промышленная зона ЛУРа, Здание ОПУ ПС Разрез.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2025</w:t>
            </w:r>
          </w:p>
        </w:tc>
      </w:tr>
      <w:tr>
        <w:trPr>
          <w:trHeight w:val="64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Пожарский РЭС СП ПЗЭС 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Здание ОПУ ПС 110/35/6 «Надаровская»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п. Лучегорск, 8 км западнее адм. Центра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2026</w:t>
            </w:r>
          </w:p>
        </w:tc>
      </w:tr>
      <w:tr>
        <w:trPr>
          <w:trHeight w:val="630" w:hRule="atLeast"/>
        </w:trPr>
        <w:tc>
          <w:tcPr>
            <w:tcW w:w="98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 Приморские северные электрические сети</w:t>
            </w:r>
          </w:p>
        </w:tc>
      </w:tr>
      <w:tr>
        <w:trPr>
          <w:trHeight w:val="1905" w:hRule="atLeast"/>
        </w:trPr>
        <w:tc>
          <w:tcPr>
            <w:tcW w:w="6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4.1.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База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СМТ,РСЦ, боксы СМТ,  ЦРО, здание телемеханики, центральный склад, комната отдыха командированного персонала, здание мойки, холодный склад, склад  готовой продукции, сауна,неотапливаемый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13</w:t>
            </w:r>
          </w:p>
        </w:tc>
        <w:tc>
          <w:tcPr>
            <w:tcW w:w="27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Горнореченский ул. Советская, 11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2008</w:t>
            </w:r>
          </w:p>
        </w:tc>
      </w:tr>
      <w:tr>
        <w:trPr>
          <w:trHeight w:val="570" w:hRule="atLeast"/>
        </w:trPr>
        <w:tc>
          <w:tcPr>
            <w:tcW w:w="67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Здание склада готовой продукции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67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Здание СП ПСЭС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76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2026</w:t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Дальнегорский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АБК,гараж, лаборатория                             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г. Дальнегорск Энергетиков,1                                                         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2008</w:t>
            </w:r>
          </w:p>
        </w:tc>
      </w:tr>
      <w:tr>
        <w:trPr>
          <w:trHeight w:val="79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4.3.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Дальнегорский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Пластунский МУ АБК, гараж, Здание ОПУ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п.Пластун ул. Энергетиков,1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4.4.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Кавалеровский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Кавалеровский  РЭС АБК, здание ремонтного персонала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Горнореченский ул. Советская, 36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4.5.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Кавалеровский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Ольгинский МУ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п. Ольга ул. Партизанская, 54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2009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4.6.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Кавалеровский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Милоградовский МУ АБК, ОПУ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Милоградово ул. Малый увал 11 б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2020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4.7.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Чугуевский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  №1,2,3,4, здание охраны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Чугуевка ул.Рабочая,8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4.8.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Чугуевский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ПС  Чугуевка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с. Чугуевка ул.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Рабочая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,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2024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4.9.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Чугуевский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Уборковский МУ здание 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Уборка ул.Советская,39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2016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4.10.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Арсеньевский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  маслохозяство, проходная,ОДГ.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Арсеньев ул. Смирнова,9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2005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4.11.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Анучинский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гаражи,Холодный склад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Анучино ул. Шевченко, 35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4.12.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Яковлевский РЭС СП ПСЭС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гараж, Холодный склад.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 Яковлевка ул. Советская 161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2007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4.13.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Яковлевский  РЭС СП ПСЭС Яблоновский МУ с. Яблоновка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АБК, гараж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с.Яблоновка, ул. Партизанская 11а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2019</w:t>
            </w:r>
          </w:p>
        </w:tc>
      </w:tr>
      <w:tr>
        <w:trPr>
          <w:trHeight w:val="510" w:hRule="atLeast"/>
        </w:trPr>
        <w:tc>
          <w:tcPr>
            <w:tcW w:w="98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5. Управление филиала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5.1.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Здания управления филиала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 №1, ЦУС- АБК №2, АБК №3, КПП №1, КПП №2, тепловой узел, операторская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г. Владивосток ул. Командорская, 13 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АБК 1-2008, АБК 2-2004, АБК  3-2014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ЦУС- 2022</w:t>
            </w:r>
          </w:p>
        </w:tc>
      </w:tr>
      <w:tr>
        <w:trPr>
          <w:trHeight w:val="660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Итого </w:t>
            </w: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131</w:t>
            </w: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объектов</w:t>
            </w:r>
          </w:p>
        </w:tc>
        <w:tc>
          <w:tcPr>
            <w:tcW w:w="21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302</w:t>
            </w:r>
          </w:p>
        </w:tc>
        <w:tc>
          <w:tcPr>
            <w:tcW w:w="2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yle"/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 </w:t>
            </w:r>
          </w:p>
        </w:tc>
      </w:tr>
    </w:tbl>
    <w:p>
      <w:pPr>
        <w:pStyle w:val="Heading4"/>
        <w:keepNext w:val="true"/>
        <w:widowControl/>
        <w:numPr>
          <w:ilvl w:val="0"/>
          <w:numId w:val="0"/>
        </w:numPr>
        <w:tabs>
          <w:tab w:val="clear" w:pos="708"/>
          <w:tab w:val="left" w:pos="78" w:leader="none"/>
        </w:tabs>
        <w:suppressAutoHyphens w:val="true"/>
        <w:spacing w:before="120" w:after="60"/>
        <w:ind w:firstLine="850" w:left="0" w:right="0"/>
        <w:jc w:val="both"/>
        <w:rPr/>
      </w:pPr>
      <w:r>
        <w:rPr>
          <w:rFonts w:ascii="Liberation Serif" w:hAnsi="Liberation Serif"/>
        </w:rPr>
        <w:t xml:space="preserve">Информация в отношении исполнения договора, </w:t>
      </w:r>
      <w:bookmarkStart w:id="10" w:name="_Hlk46492347"/>
      <w:r>
        <w:rPr>
          <w:rFonts w:ascii="Liberation Serif" w:hAnsi="Liberation Serif"/>
        </w:rPr>
        <w:t xml:space="preserve">которая должна быть учтена при подготовке заявки </w:t>
      </w:r>
      <w:bookmarkEnd w:id="10"/>
      <w:r>
        <w:rPr>
          <w:rFonts w:ascii="Liberation Serif" w:hAnsi="Liberation Serif"/>
        </w:rPr>
        <w:t>(в том числе перечень ресурсов, услуг и документов, предоставляемых заказчиком на этапе исполнения договора)</w:t>
      </w:r>
      <w:bookmarkStart w:id="11" w:name="_Hlk49857604"/>
      <w:bookmarkStart w:id="12" w:name="_Toc46743509"/>
      <w:bookmarkStart w:id="13" w:name="_Toc54643700"/>
      <w:bookmarkEnd w:id="11"/>
      <w:bookmarkEnd w:id="12"/>
      <w:bookmarkEnd w:id="13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spacing w:before="120" w:after="240"/>
        <w:ind w:firstLine="850" w:left="0" w:right="0"/>
        <w:jc w:val="both"/>
        <w:rPr/>
      </w:pPr>
      <w:bookmarkStart w:id="14" w:name="_Hlk48209761"/>
      <w:bookmarkEnd w:id="14"/>
      <w:r>
        <w:rPr>
          <w:rStyle w:val="Style15"/>
          <w:rFonts w:ascii="Liberation Serif" w:hAnsi="Liberation Serif"/>
          <w:b w:val="false"/>
          <w:i w:val="false"/>
          <w:iCs/>
          <w:sz w:val="26"/>
          <w:szCs w:val="26"/>
          <w:shd w:fill="FFFFFF" w:val="clear"/>
        </w:rPr>
        <w:t>Оказание услуг производятся в том числе в действующих электроустановках, вследствие чего Исполнителю необходимо проводить согласованные действия и мероприятия по охране труда, согласно требованиям «Правил по охране труда при эксплуатации электроустановок (утверждённых приказом Минтруда России от 15.12.2020 №903н «Об утверждении правил по охране труда при эксплуатации электроустановок»), Главы 46-47.</w:t>
      </w: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spacing w:before="120" w:after="60"/>
        <w:ind w:firstLine="850" w:left="0" w:right="0"/>
        <w:jc w:val="left"/>
        <w:rPr>
          <w:rFonts w:ascii="Liberation Serif" w:hAnsi="Liberation Serif"/>
        </w:rPr>
      </w:pPr>
      <w:bookmarkStart w:id="15" w:name="_Toc54643701"/>
      <w:r>
        <w:rPr>
          <w:rFonts w:ascii="Liberation Serif" w:hAnsi="Liberation Serif"/>
        </w:rPr>
        <w:t>Иные требования и сведения общего характера</w:t>
      </w:r>
      <w:bookmarkEnd w:id="15"/>
    </w:p>
    <w:p>
      <w:pPr>
        <w:pStyle w:val="Normal"/>
        <w:tabs>
          <w:tab w:val="clear" w:pos="708"/>
          <w:tab w:val="left" w:pos="850" w:leader="none"/>
        </w:tabs>
        <w:ind w:hanging="0" w:left="0" w:right="0"/>
        <w:rPr/>
      </w:pPr>
      <w:r>
        <w:rPr>
          <w:rFonts w:ascii="Liberation Serif" w:hAnsi="Liberation Serif"/>
        </w:rPr>
        <w:tab/>
      </w:r>
      <w:r>
        <w:rPr>
          <w:rStyle w:val="Style15"/>
          <w:rFonts w:ascii="Liberation Serif" w:hAnsi="Liberation Serif"/>
          <w:b w:val="false"/>
          <w:bCs/>
          <w:i w:val="false"/>
          <w:sz w:val="26"/>
          <w:szCs w:val="26"/>
          <w:shd w:fill="FFFFFF" w:val="clear"/>
        </w:rPr>
        <w:t>Исполнитель составляет годовой график посещения объектов для о</w:t>
      </w:r>
      <w:r>
        <w:rPr>
          <w:rStyle w:val="Style15"/>
          <w:rFonts w:eastAsia="Calibri" w:ascii="Liberation Serif" w:hAnsi="Liberation Serif"/>
          <w:b w:val="false"/>
          <w:bCs/>
          <w:i w:val="false"/>
          <w:sz w:val="26"/>
          <w:szCs w:val="26"/>
          <w:shd w:fill="FFFFFF" w:val="clear"/>
        </w:rPr>
        <w:t>бслуживания автоматических систем безопасности и установок противопожарной защиты зданий и сооружений филиала "Приморские электрические сети"</w:t>
      </w:r>
      <w:r>
        <w:rPr>
          <w:rStyle w:val="Style15"/>
          <w:rFonts w:eastAsia="Calibri" w:ascii="Liberation Serif" w:hAnsi="Liberation Serif"/>
          <w:bCs/>
          <w:sz w:val="26"/>
          <w:szCs w:val="26"/>
          <w:shd w:fill="FFFFFF" w:val="clear"/>
        </w:rPr>
        <w:t xml:space="preserve">» </w:t>
      </w:r>
      <w:r>
        <w:rPr>
          <w:rStyle w:val="Style15"/>
          <w:rFonts w:eastAsia="Calibri" w:ascii="Liberation Serif" w:hAnsi="Liberation Serif"/>
          <w:b w:val="false"/>
          <w:bCs/>
          <w:i w:val="false"/>
          <w:sz w:val="26"/>
          <w:szCs w:val="26"/>
          <w:shd w:fill="FFFFFF" w:val="clear"/>
        </w:rPr>
        <w:t>и</w:t>
      </w:r>
      <w:r>
        <w:rPr>
          <w:rStyle w:val="Style15"/>
          <w:rFonts w:eastAsia="Calibri" w:ascii="Liberation Serif" w:hAnsi="Liberation Serif"/>
          <w:b w:val="false"/>
          <w:bCs/>
          <w:i w:val="false"/>
          <w:sz w:val="26"/>
          <w:szCs w:val="26"/>
          <w:shd w:fill="auto" w:val="clear"/>
        </w:rPr>
        <w:t xml:space="preserve"> согласовывает его с Заказчиком лице директора Структурного подразделения филиала — по объектам структурного подразделения, с начальником службы охраны труда филиала по зданию аппарата управления.</w:t>
      </w:r>
    </w:p>
    <w:p>
      <w:pPr>
        <w:pStyle w:val="Heading3"/>
        <w:keepNext w:val="true"/>
        <w:widowControl/>
        <w:numPr>
          <w:ilvl w:val="0"/>
          <w:numId w:val="0"/>
        </w:numPr>
        <w:suppressAutoHyphens w:val="true"/>
        <w:spacing w:before="120" w:after="60"/>
        <w:ind w:hanging="0" w:left="0" w:right="0"/>
        <w:rPr>
          <w:rFonts w:ascii="Liberation Serif" w:hAnsi="Liberation Serif"/>
        </w:rPr>
      </w:pPr>
      <w:bookmarkStart w:id="16" w:name="_Toc54643702"/>
      <w:bookmarkStart w:id="17" w:name="_Toc51339693"/>
      <w:r>
        <w:rPr>
          <w:rFonts w:ascii="Liberation Serif" w:hAnsi="Liberation Serif"/>
        </w:rPr>
        <w:t>Требования к продукции</w:t>
      </w:r>
      <w:bookmarkEnd w:id="16"/>
      <w:bookmarkEnd w:id="17"/>
    </w:p>
    <w:p>
      <w:pPr>
        <w:pStyle w:val="Heading4"/>
        <w:numPr>
          <w:ilvl w:val="0"/>
          <w:numId w:val="0"/>
        </w:numPr>
        <w:ind w:hanging="0" w:left="0" w:right="0"/>
        <w:rPr>
          <w:rFonts w:ascii="Liberation Serif" w:hAnsi="Liberation Serif"/>
        </w:rPr>
      </w:pPr>
      <w:bookmarkStart w:id="18" w:name="_Toc54643703"/>
      <w:r>
        <w:rPr>
          <w:rFonts w:ascii="Liberation Serif" w:hAnsi="Liberation Serif"/>
        </w:rPr>
        <w:t>Требования к объемам и срокам оказания услуг</w:t>
      </w:r>
      <w:bookmarkEnd w:id="18"/>
    </w:p>
    <w:p>
      <w:pPr>
        <w:pStyle w:val="Heading4"/>
        <w:numPr>
          <w:ilvl w:val="0"/>
          <w:numId w:val="0"/>
        </w:numPr>
        <w:ind w:hanging="0" w:left="510" w:right="0"/>
        <w:rPr>
          <w:rFonts w:ascii="Liberation Serif" w:hAnsi="Liberation Serif"/>
        </w:rPr>
      </w:pPr>
      <w:bookmarkStart w:id="19" w:name="_Toc54643704"/>
      <w:r>
        <w:rPr>
          <w:rFonts w:ascii="Liberation Serif" w:hAnsi="Liberation Serif"/>
        </w:rPr>
        <w:t>Требования к перечню и объему услуг</w:t>
      </w:r>
      <w:bookmarkEnd w:id="19"/>
    </w:p>
    <w:p>
      <w:pPr>
        <w:pStyle w:val="Heading3"/>
        <w:numPr>
          <w:ilvl w:val="0"/>
          <w:numId w:val="0"/>
        </w:numPr>
        <w:ind w:hanging="0" w:left="510"/>
        <w:outlineLvl w:val="0"/>
        <w:rPr>
          <w:rFonts w:ascii="Liberation Serif" w:hAnsi="Liberation Serif"/>
        </w:rPr>
      </w:pPr>
      <w:bookmarkStart w:id="20" w:name="_Toc54643705"/>
      <w:bookmarkStart w:id="21" w:name="_Toc51339695"/>
      <w:r>
        <w:rPr>
          <w:rFonts w:ascii="Liberation Serif" w:hAnsi="Liberation Serif"/>
        </w:rPr>
        <w:t xml:space="preserve">Таблица 2. Перечень </w:t>
      </w:r>
      <w:bookmarkEnd w:id="21"/>
      <w:r>
        <w:rPr>
          <w:rFonts w:ascii="Liberation Serif" w:hAnsi="Liberation Serif"/>
        </w:rPr>
        <w:t>и объем оказываемых услуг</w:t>
      </w:r>
      <w:bookmarkEnd w:id="20"/>
    </w:p>
    <w:tbl>
      <w:tblPr>
        <w:tblW w:w="99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5938"/>
        <w:gridCol w:w="2983"/>
      </w:tblGrid>
      <w:tr>
        <w:trPr/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color w:val="000000"/>
                <w:sz w:val="22"/>
                <w:szCs w:val="22"/>
                <w:lang w:val="en-GB"/>
              </w:rPr>
              <w:t>№</w:t>
            </w:r>
            <w:r>
              <w:rPr>
                <w:rStyle w:val="Style"/>
                <w:rFonts w:ascii="Liberation Serif" w:hAnsi="Liberation Serif"/>
                <w:b/>
                <w:bCs/>
                <w:color w:val="000000"/>
                <w:sz w:val="22"/>
                <w:szCs w:val="22"/>
                <w:lang w:val="en-GB"/>
              </w:rPr>
              <w:t>п\п</w:t>
            </w:r>
          </w:p>
        </w:tc>
        <w:tc>
          <w:tcPr>
            <w:tcW w:w="5938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color w:val="000000"/>
                <w:sz w:val="22"/>
                <w:szCs w:val="22"/>
                <w:lang w:val="en-GB"/>
              </w:rPr>
              <w:t>Перечень работ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color w:val="000000"/>
                <w:sz w:val="22"/>
                <w:szCs w:val="22"/>
              </w:rPr>
              <w:t>Периодичность обслуживания специализированными организациями по договору</w:t>
            </w:r>
          </w:p>
        </w:tc>
      </w:tr>
      <w:tr>
        <w:trPr/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8921" w:type="dxa"/>
            <w:gridSpan w:val="2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b/>
                <w:color w:val="000000"/>
                <w:sz w:val="24"/>
                <w:szCs w:val="24"/>
              </w:rPr>
              <w:t>Технического обслуживания систем пожарной сигнализации</w:t>
            </w:r>
            <w:r>
              <w:rPr>
                <w:rStyle w:val="Style"/>
                <w:rFonts w:ascii="Liberation Serif" w:hAnsi="Liberation Serif"/>
                <w:b/>
                <w:color w:val="000000"/>
                <w:sz w:val="24"/>
                <w:szCs w:val="24"/>
                <w:lang w:val="en-GB"/>
              </w:rPr>
              <w:t> </w:t>
            </w:r>
            <w:r>
              <w:rPr>
                <w:rStyle w:val="Style"/>
                <w:rFonts w:ascii="Liberation Serif" w:hAnsi="Liberation Serif"/>
                <w:b/>
                <w:color w:val="000000"/>
                <w:sz w:val="24"/>
                <w:szCs w:val="24"/>
              </w:rPr>
              <w:t>и оповещения о пожаре 2 и 3 типа</w:t>
            </w:r>
          </w:p>
        </w:tc>
      </w:tr>
      <w:tr>
        <w:trPr>
          <w:trHeight w:val="885" w:hRule="atLeast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59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Внешний осмотр составных частей системы (приемно-контрольного прибора, извещателей, оповещателей, шлейфа сигнализации) на отсутствие механических повреждений, коррозии, грязи, прочности креплений и т.д.</w:t>
            </w:r>
          </w:p>
        </w:tc>
        <w:tc>
          <w:tcPr>
            <w:tcW w:w="29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left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5938" w:type="dxa"/>
            <w:tcBorders>
              <w:left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Контроль рабочего положения выключателей и переключателей, исправности световой индикации, наличие пломб на приемно-контрольном приборе</w:t>
            </w:r>
          </w:p>
        </w:tc>
        <w:tc>
          <w:tcPr>
            <w:tcW w:w="2983" w:type="dxa"/>
            <w:tcBorders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>
          <w:trHeight w:val="768" w:hRule="atLeast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59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Контроль основного и резервного источников питания и проверка автоматического переключения питания с рабочего ввода на резервный</w:t>
            </w:r>
          </w:p>
        </w:tc>
        <w:tc>
          <w:tcPr>
            <w:tcW w:w="2983" w:type="dxa"/>
            <w:tcBorders>
              <w:top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left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5938" w:type="dxa"/>
            <w:tcBorders>
              <w:left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Проверка работоспособности составных частей системы (приемно-контрольного прибора, извещателей, оповещателей, измерение параметров шлейфа сигнализации и т.д.)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59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Профилактические работы</w:t>
            </w:r>
          </w:p>
        </w:tc>
        <w:tc>
          <w:tcPr>
            <w:tcW w:w="2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Проверка работоспособности системы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593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ind w:hanging="0" w:left="0" w:right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Проведение испытаний систем пожарной сигнализации, передачи извещений о пожаре, оповещения и управления эвакуацией людей, технических средств, функционирующих в составе систем противодымной вентиляции и автоматических установок пожароту</w:t>
            </w:r>
            <w:r>
              <w:rPr>
                <w:rFonts w:ascii="Liberation Serif" w:hAnsi="Liberation Serif"/>
                <w:sz w:val="22"/>
                <w:szCs w:val="22"/>
              </w:rPr>
              <w:t>ше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ния, эксплуатирующихся сверх срока службы. </w:t>
            </w:r>
            <w:r>
              <w:rPr>
                <w:rFonts w:ascii="Liberation Serif" w:hAnsi="Liberation Serif"/>
                <w:sz w:val="22"/>
                <w:szCs w:val="22"/>
              </w:rPr>
              <w:t>(дата ввода в эксплуатацию в графе № 6 табл 1)</w:t>
            </w:r>
          </w:p>
        </w:tc>
        <w:tc>
          <w:tcPr>
            <w:tcW w:w="2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Ежегодно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en-GB"/>
              </w:rPr>
            </w:r>
          </w:p>
        </w:tc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Технического обслуживания систем газового пожаротушения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Внешний осмотр составных частей системы (технологической части - трубопроводов, оросителей, запорной арматуры, баллонов с огнегасящим веществом и сжатым воздухом, манометров, распределительных устройств и т.д.; электротехнической части - шкафов электроавтоматики, компрессора и т.д.; сигнализационной части - приемно-контрольных приборов, шлейфа сигнализации, извещателей, оповещателей и т.д.); на отсутствие механических повреждений, грязи, прочности креплений, наличие пломб и т.п.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Контроль рабочего положения запорной арматуры, давления в побудительной сети и пусковых баллонах и т.д.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Контроль основного и резервного источников питания, проверка автоматического переключения питания с рабочего ввода на резервный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Контроль качества огнегасящего вещества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Проверка работоспособности составных частей системы (технологической части, электротехнической части и сигнализационной части)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Профилактические работы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ежеквартально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Метрологическая проверка КИП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ежегодно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Измерение сопротивления защитного и рабочего заземления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ежегодно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Измерение сопротивления изоляции электрических цепей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1 раз в три года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Гидравлические и пневматические испытания трубопроводов на герметичность и прочность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1 раз в 3,5 года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Техническое освидетельствование составных частей системы, работающих под давлением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в соответствии с нормами Госгортехнадзора</w:t>
            </w:r>
          </w:p>
        </w:tc>
      </w:tr>
      <w:tr>
        <w:trPr/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13</w:t>
            </w:r>
          </w:p>
        </w:tc>
        <w:tc>
          <w:tcPr>
            <w:tcW w:w="593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ind w:hanging="0" w:left="0" w:right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Проведение испытаний систем пожарной сигнализации, передачи извещений о пожаре, оповещения и управления эвакуацией людей, технических средств, функционирующих в составе систем противодымной вентиляции и автоматических установок пожароту</w:t>
            </w:r>
            <w:r>
              <w:rPr>
                <w:rFonts w:ascii="Liberation Serif" w:hAnsi="Liberation Serif"/>
                <w:sz w:val="22"/>
                <w:szCs w:val="22"/>
              </w:rPr>
              <w:t>ше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ния, эксплуатирующихся сверх срока службы. </w:t>
            </w:r>
            <w:r>
              <w:rPr>
                <w:rFonts w:ascii="Liberation Serif" w:hAnsi="Liberation Serif"/>
                <w:sz w:val="22"/>
                <w:szCs w:val="22"/>
              </w:rPr>
              <w:t>(дата ввода в эксплуатацию в графе № 6 табл 1)</w:t>
            </w:r>
          </w:p>
        </w:tc>
        <w:tc>
          <w:tcPr>
            <w:tcW w:w="2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Ежегодно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</w:r>
          </w:p>
        </w:tc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Технического обслуживания систем противодымной защиты зданий и сооружений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Внешний осмотр составных частей системы (электротехнической части щита дистанционного управления, электропанели этажного клапана, щита местного управления, исполнительных устройств, вентиляторов, насосов и т.д.; сигнализационной части - приемно-контрольных приборов, шлейфа сигнализации, извещателей, оповещателей и т.п.) на отсутствие повреждений. Коррозии, грязи, прочности креплений, наличие пломб и т.п.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Контроль рабочего положения выключателей и переключателей, световой индикации и т.д.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>
          <w:trHeight w:val="655" w:hRule="atLeast"/>
        </w:trPr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Контроль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Проверка работоспособности составных частей системы (электротехнической части, сигнализационной части)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ascii="Liberation Serif" w:hAnsi="Liberation Serif"/>
                <w:sz w:val="22"/>
                <w:szCs w:val="22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</w:tcPr>
          <w:p>
            <w:pPr>
              <w:pStyle w:val="Normal"/>
              <w:widowControl w:val="false"/>
              <w:ind w:firstLine="240" w:left="0" w:right="0"/>
              <w:jc w:val="center"/>
              <w:rPr/>
            </w:pPr>
            <w:r>
              <w:rPr>
                <w:rStyle w:val="Style"/>
                <w:rFonts w:ascii="Liberation Serif" w:hAnsi="Liberation Serif"/>
                <w:color w:val="000000"/>
                <w:sz w:val="22"/>
                <w:szCs w:val="22"/>
              </w:rPr>
              <w:t>Ежемесячно</w:t>
            </w:r>
          </w:p>
        </w:tc>
      </w:tr>
      <w:tr>
        <w:trPr>
          <w:trHeight w:val="369" w:hRule="atLeast"/>
        </w:trPr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ind w:firstLine="240" w:left="0" w:right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  <w:tc>
          <w:tcPr>
            <w:tcW w:w="593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ind w:hanging="0" w:left="0" w:right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Проведение испытаний систем пожарной сигнализации, передачи извещений о пожаре, оповещения и управления эвакуацией людей, технических средств, функционирующих в составе систем противодымной вентиляции и автоматических установок пожароту</w:t>
            </w:r>
            <w:r>
              <w:rPr>
                <w:rFonts w:ascii="Liberation Serif" w:hAnsi="Liberation Serif"/>
                <w:sz w:val="22"/>
                <w:szCs w:val="22"/>
              </w:rPr>
              <w:t>ше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ния, эксплуатирующихся сверх срока службы. </w:t>
            </w:r>
            <w:r>
              <w:rPr>
                <w:rFonts w:ascii="Liberation Serif" w:hAnsi="Liberation Serif"/>
                <w:sz w:val="22"/>
                <w:szCs w:val="22"/>
              </w:rPr>
              <w:t>(дата ввода в эксплуатацию в графе № 6 табл 1)</w:t>
            </w:r>
          </w:p>
        </w:tc>
        <w:tc>
          <w:tcPr>
            <w:tcW w:w="2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5" w:type="dxa"/>
            </w:tcMar>
            <w:vAlign w:val="bottom"/>
          </w:tcPr>
          <w:p>
            <w:pPr>
              <w:pStyle w:val="Normal"/>
              <w:widowControl w:val="false"/>
              <w:ind w:firstLine="240" w:left="0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Ежегодно</w:t>
            </w:r>
          </w:p>
        </w:tc>
      </w:tr>
    </w:tbl>
    <w:p>
      <w:pPr>
        <w:pStyle w:val="Normal"/>
        <w:rPr/>
      </w:pPr>
      <w:r>
        <w:rPr>
          <w:rStyle w:val="Style"/>
          <w:sz w:val="24"/>
          <w:szCs w:val="24"/>
        </w:rPr>
        <w:t xml:space="preserve">                                </w:t>
      </w:r>
    </w:p>
    <w:p>
      <w:pPr>
        <w:pStyle w:val="Normal"/>
        <w:widowControl w:val="false"/>
        <w:jc w:val="both"/>
        <w:rPr/>
      </w:pPr>
      <w:r>
        <w:rPr>
          <w:rStyle w:val="Style"/>
          <w:color w:val="000000"/>
          <w:sz w:val="22"/>
          <w:szCs w:val="22"/>
        </w:rPr>
        <w:t xml:space="preserve">  </w:t>
      </w:r>
      <w:r>
        <w:rPr>
          <w:rStyle w:val="Style"/>
          <w:color w:val="000000"/>
          <w:sz w:val="24"/>
          <w:szCs w:val="24"/>
        </w:rPr>
        <w:t>*</w:t>
      </w:r>
      <w:r>
        <w:rPr>
          <w:rStyle w:val="Style"/>
          <w:rFonts w:ascii="Liberation Serif" w:hAnsi="Liberation Serif"/>
          <w:color w:val="000000"/>
          <w:sz w:val="24"/>
          <w:szCs w:val="24"/>
        </w:rPr>
        <w:t>детали и быстро изнашиваемые механизмы</w:t>
      </w:r>
    </w:p>
    <w:p>
      <w:pPr>
        <w:pStyle w:val="Normal"/>
        <w:jc w:val="both"/>
        <w:rPr/>
      </w:pPr>
      <w:r>
        <w:rPr>
          <w:rStyle w:val="Style"/>
          <w:rFonts w:ascii="Liberation Serif" w:hAnsi="Liberation Serif"/>
          <w:bCs/>
          <w:color w:val="000000"/>
          <w:sz w:val="24"/>
          <w:szCs w:val="24"/>
        </w:rPr>
        <w:tab/>
        <w:t>Отчетным периодом в рамках Договора является (месяц).</w:t>
      </w:r>
    </w:p>
    <w:p>
      <w:pPr>
        <w:pStyle w:val="Normal"/>
        <w:jc w:val="both"/>
        <w:rPr/>
      </w:pPr>
      <w:r>
        <w:rPr>
          <w:rStyle w:val="Style"/>
          <w:rFonts w:ascii="Liberation Serif" w:hAnsi="Liberation Serif"/>
          <w:bCs/>
          <w:color w:val="000000"/>
          <w:sz w:val="24"/>
          <w:szCs w:val="24"/>
        </w:rPr>
        <w:tab/>
        <w:t>Перечень быстро изнашиваемых (ресурсных) деталей и материалов, которые являются расходными при проведении ПТО (стоимость указанных деталей и материалов включена в стоимость ПТО): шлейфы, диагностика систем, перепрограммирование установок, перестановка дымовых датчиков от осветительных приборов и систем вентиляции, перенос световых устройства сигнальные звуковые, световые табло всех видов, замена аккумуляторных батарей, замер емкостей аккумуляторных батарей.</w:t>
      </w:r>
    </w:p>
    <w:p>
      <w:pPr>
        <w:pStyle w:val="Heading3"/>
        <w:numPr>
          <w:ilvl w:val="0"/>
          <w:numId w:val="0"/>
        </w:numPr>
        <w:ind w:hanging="0" w:left="567"/>
        <w:rPr/>
      </w:pPr>
      <w:bookmarkStart w:id="22" w:name="_Toc54643706"/>
      <w:bookmarkStart w:id="23" w:name="_Toc51339696"/>
      <w:r>
        <w:rPr/>
        <w:t xml:space="preserve">Требования </w:t>
      </w:r>
      <w:bookmarkEnd w:id="23"/>
      <w:r>
        <w:rPr/>
        <w:t>к срокам оказания услуг</w:t>
      </w:r>
      <w:bookmarkEnd w:id="22"/>
    </w:p>
    <w:p>
      <w:pPr>
        <w:pStyle w:val="Heading3"/>
        <w:numPr>
          <w:ilvl w:val="0"/>
          <w:numId w:val="0"/>
        </w:numPr>
        <w:ind w:hanging="0" w:left="510"/>
        <w:rPr/>
      </w:pPr>
      <w:bookmarkStart w:id="24" w:name="_Toc54643707"/>
      <w:bookmarkStart w:id="25" w:name="_Toc50125127"/>
      <w:bookmarkStart w:id="26" w:name="_Toc51339697"/>
      <w:bookmarkStart w:id="27" w:name="_Toc501251261"/>
      <w:bookmarkEnd w:id="27"/>
      <w:r>
        <w:rPr/>
        <w:t xml:space="preserve">Таблица 3. </w:t>
      </w:r>
      <w:bookmarkStart w:id="28" w:name="_Hlk50465284"/>
      <w:r>
        <w:rPr/>
        <w:t xml:space="preserve">Требования к срокам </w:t>
      </w:r>
      <w:bookmarkEnd w:id="25"/>
      <w:bookmarkEnd w:id="26"/>
      <w:bookmarkEnd w:id="28"/>
      <w:r>
        <w:rPr/>
        <w:t>оказания услуг</w:t>
      </w:r>
      <w:bookmarkEnd w:id="24"/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969"/>
        <w:gridCol w:w="2409"/>
        <w:gridCol w:w="2836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Style w:val="Style"/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1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1"/>
              <w:keepNext w:val="false"/>
              <w:widowControl w:val="false"/>
              <w:spacing w:before="40" w:after="40"/>
              <w:jc w:val="center"/>
              <w:rPr/>
            </w:pPr>
            <w:bookmarkStart w:id="29" w:name="_Toc46743510"/>
            <w:r>
              <w:rPr>
                <w:rStyle w:val="Style"/>
                <w:rFonts w:ascii="Liberation Serif" w:hAnsi="Liberation Serif"/>
                <w:b/>
                <w:sz w:val="24"/>
                <w:szCs w:val="24"/>
              </w:rPr>
              <w:t>4</w:t>
            </w:r>
            <w:bookmarkEnd w:id="29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ind w:hanging="0" w:left="360" w:right="0"/>
              <w:rPr>
                <w:rFonts w:ascii="Liberation Serif" w:hAnsi="Liberation Serif"/>
                <w:sz w:val="20"/>
                <w:szCs w:val="20"/>
                <w:lang w:val="en-GB"/>
              </w:rPr>
            </w:pPr>
            <w:r>
              <w:rPr>
                <w:rFonts w:ascii="Liberation Serif" w:hAnsi="Liberation Serif"/>
                <w:sz w:val="20"/>
                <w:szCs w:val="20"/>
                <w:lang w:val="en-GB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Техническое обслуживание и планово-предупредительный ремонт систем противопожарной защиты зданий и сооружений филиала АО «ДРСК» «Приморские электрические сети»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С даты, следующей за датой заключения договора, но не ранее чем с 01.01.2027 г.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В течение 12 (двенадцати) месяцев с даты начала выполнения работ по Договору 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567" w:gutter="0" w:header="1134" w:top="1588" w:footer="0" w:bottom="720"/>
          <w:pgNumType w:fmt="decimal"/>
          <w:formProt w:val="false"/>
          <w:textDirection w:val="lrTb"/>
          <w:docGrid w:type="default" w:linePitch="600" w:charSpace="24576"/>
        </w:sectPr>
      </w:pPr>
      <w:r>
        <w:br w:type="page"/>
      </w:r>
    </w:p>
    <w:p>
      <w:pPr>
        <w:pStyle w:val="Heading3"/>
        <w:numPr>
          <w:ilvl w:val="0"/>
          <w:numId w:val="0"/>
        </w:numPr>
        <w:ind w:hanging="0" w:left="144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2.2. </w:t>
      </w:r>
      <w:bookmarkStart w:id="30" w:name="_Toc54643709"/>
      <w:bookmarkStart w:id="31" w:name="_Toc51339698"/>
      <w:bookmarkStart w:id="32" w:name="_Toc54643708"/>
      <w:bookmarkStart w:id="3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32"/>
      <w:bookmarkEnd w:id="33"/>
      <w:r>
        <w:rPr>
          <w:rFonts w:ascii="Liberation Serif" w:hAnsi="Liberation Serif"/>
          <w:sz w:val="22"/>
          <w:szCs w:val="22"/>
        </w:rPr>
        <w:t>качеству услуг</w:t>
      </w:r>
    </w:p>
    <w:p>
      <w:pPr>
        <w:pStyle w:val="Heading3"/>
        <w:numPr>
          <w:ilvl w:val="0"/>
          <w:numId w:val="0"/>
        </w:numPr>
        <w:ind w:hanging="0" w:left="51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Таблица 4. Требования к </w:t>
      </w:r>
      <w:bookmarkEnd w:id="31"/>
      <w:r>
        <w:rPr>
          <w:rFonts w:ascii="Liberation Serif" w:hAnsi="Liberation Serif"/>
          <w:sz w:val="22"/>
          <w:szCs w:val="22"/>
        </w:rPr>
        <w:t>качеству услуг</w:t>
      </w:r>
      <w:bookmarkEnd w:id="30"/>
    </w:p>
    <w:p>
      <w:pPr>
        <w:pStyle w:val="Normal"/>
        <w:rPr>
          <w:rFonts w:ascii="Liberation Serif" w:hAnsi="Liberation Serif"/>
          <w:i/>
          <w:i/>
          <w:iCs/>
          <w:sz w:val="22"/>
          <w:szCs w:val="22"/>
          <w:shd w:fill="FFFF99" w:val="clear"/>
        </w:rPr>
      </w:pPr>
      <w:r>
        <w:rPr>
          <w:rFonts w:ascii="Liberation Serif" w:hAnsi="Liberation Serif"/>
          <w:i/>
          <w:iCs/>
          <w:sz w:val="22"/>
          <w:szCs w:val="22"/>
          <w:shd w:fill="FFFF99" w:val="clear"/>
        </w:rPr>
      </w:r>
    </w:p>
    <w:tbl>
      <w:tblPr>
        <w:tblW w:w="15314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265"/>
        <w:gridCol w:w="4652"/>
        <w:gridCol w:w="3249"/>
        <w:gridCol w:w="2914"/>
        <w:gridCol w:w="45"/>
        <w:gridCol w:w="1325"/>
      </w:tblGrid>
      <w:tr>
        <w:trPr/>
        <w:tc>
          <w:tcPr>
            <w:tcW w:w="8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 xml:space="preserve">№ </w:t>
            </w: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6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620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6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3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2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bookmarkStart w:id="34" w:name="_Toc53499667"/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1</w:t>
            </w:r>
            <w:bookmarkEnd w:id="34"/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0"/>
                <w:numId w:val="6"/>
              </w:numPr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rStyle w:val="Style"/>
                <w:rFonts w:ascii="Liberation Serif" w:hAnsi="Liberation Serif"/>
                <w:b/>
                <w:bCs/>
                <w:sz w:val="22"/>
                <w:szCs w:val="22"/>
              </w:rPr>
              <w:t>Требования к результатам у</w:t>
            </w:r>
            <w:r>
              <w:rPr>
                <w:rStyle w:val="Style"/>
                <w:rFonts w:ascii="Liberation Serif" w:hAnsi="Liberation Serif"/>
                <w:b/>
                <w:sz w:val="22"/>
                <w:szCs w:val="22"/>
              </w:rPr>
              <w:t>слуг</w:t>
            </w:r>
          </w:p>
        </w:tc>
        <w:tc>
          <w:tcPr>
            <w:tcW w:w="3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rStyle w:val="Style"/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>
                <w:rStyle w:val="Style"/>
                <w:rFonts w:ascii="Liberation Serif" w:hAnsi="Liberation Serif"/>
                <w:b/>
                <w:sz w:val="22"/>
                <w:szCs w:val="22"/>
              </w:rPr>
              <w:t>Требования к приемке результата оказания услуг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>
          <w:trHeight w:val="3098" w:hRule="atLeast"/>
        </w:trPr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Style"/>
                <w:rFonts w:ascii="Liberation Serif" w:hAnsi="Liberation Serif"/>
                <w:i/>
                <w:iCs/>
                <w:sz w:val="20"/>
                <w:szCs w:val="20"/>
              </w:rPr>
              <w:t>Ответственные лица от имени Исполнителя, участвующие в техническом обслуживании, ведут журнал производства работ по техническому обслуживанию на каждом объекте, представляют сводный акт ответственному по структурному подразделению (ПЮЭС, ПЦЭС, ПЗЭС, ПСЭС, Аппарат управления) ежемесячно с указанием всех объектов и выявленных дефектов в результате обслуживания.</w:t>
            </w:r>
          </w:p>
          <w:p>
            <w:pPr>
              <w:pStyle w:val="Normal"/>
              <w:rPr/>
            </w:pP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Исполнитель с представителем Заказчика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 производят (не реже одного раз в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год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) проверку работоспособности установок пожарной автоматики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на объектах эксплуатирующимися  сверх срока службы установленным изготовителем (поставщиком)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, оформляют акт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комплексных испытаний на работоспособность СПС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и заверяют подписями ответственных лиц сторон. Записи должны констатировать следующий вывод: «Установка (установки) пожарной автоматики находится в исправном и работоспособном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 xml:space="preserve">(неисправно и неработоспособном) </w:t>
            </w:r>
            <w:r>
              <w:rPr>
                <w:rStyle w:val="Style"/>
                <w:rFonts w:ascii="Liberation Serif" w:hAnsi="Liberation Serif"/>
                <w:sz w:val="20"/>
                <w:szCs w:val="20"/>
              </w:rPr>
              <w:t>состоянии в автоматическом режиме и готова (готовы) к использованию по назначению».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i/>
                <w:i/>
                <w:iCs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0"/>
                <w:szCs w:val="20"/>
              </w:rPr>
              <w:t>Исполнитель передает заказчику через ответственного по филиалу акт приемки-сдачи оказанных услуг в двух экземплярах по установленной форме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  <w:t>Согласие с требованиями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0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i/>
                <w:i/>
                <w:iCs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0"/>
                <w:szCs w:val="20"/>
              </w:rPr>
              <w:t>Услуги должны осуществляться в соответствии с нормативно-техническими документами (НТД) и нормативно-правовыми актами (НПА):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ФЗ-69 от 21.12.1994г. «О пожарной безопасности».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 Федеральный закон от 04.05.2011 № 99-ФЗ «О лицензировании отдельных видов деятельности».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Style"/>
                <w:rFonts w:ascii="Liberation Serif" w:hAnsi="Liberation Serif"/>
                <w:bCs/>
                <w:i/>
                <w:sz w:val="20"/>
                <w:szCs w:val="20"/>
              </w:rPr>
              <w:t>-  СП 486.1311500.2020 «Свод правил.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безопасности». (Утвержден и введен в действие Приказом МЧС от 20.07.2020 г. №539).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 СП 484.1311500.2020. «Свод правил. Системы противопожарной защиты. Системы пожарной сигнализации и автоматизация систем противопожарной защиты. Нормы и правила проектирования» (Утвержден и введен в действие Приказом МЧС от 31.07.2020 г. №582).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 СП 485.1311500.2020. Свод правил. Системы противопожарной защиты. Установки пожаротушения автоматические. Нормы и правила проектирования. (Утвержден и введен в действие Приказом МЧС от 31.08.2020 г. №628).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Style"/>
                <w:rFonts w:ascii="Liberation Serif" w:hAnsi="Liberation Serif"/>
                <w:bCs/>
                <w:i/>
                <w:sz w:val="20"/>
                <w:szCs w:val="20"/>
                <w:shd w:fill="FFFF00" w:val="clear"/>
              </w:rPr>
              <w:t>-  ГОСТ Р 59638-2021, ГОСТ Р 59636-2021, ГОСТ Р 59639-2021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 Постановление Правительства РФ от 16.09.2020 г. № 1479 «О противопожарном режиме».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-  Постановления Правительства РФ от 28.07.2020 №1128 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сооружений».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  <w:t>Согласие с требованиями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0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"/>
                <w:rFonts w:ascii="Liberation Serif" w:hAnsi="Liberation Serif"/>
                <w:i/>
                <w:sz w:val="20"/>
                <w:szCs w:val="20"/>
              </w:rPr>
              <w:t>Кадровый ресурс для оказания услуг должен быть подготовлен для выполнения работ на высоте в соответствии с требованиями п. 7. Правила по охране труда при работе на высоте (утверждённых приказом Минтруда России от 16.11.2020 №782н «Об утверждении правил по охране труда при работе на высоте»).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44"/>
              <w:numPr>
                <w:ilvl w:val="1"/>
                <w:numId w:val="6"/>
              </w:numPr>
              <w:spacing w:before="60" w:after="60"/>
              <w:ind w:firstLine="142" w:left="-117" w:righ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9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hanging="0" w:left="0" w:right="0"/>
              <w:jc w:val="both"/>
              <w:rPr/>
            </w:pPr>
            <w:r>
              <w:rPr>
                <w:rStyle w:val="Style"/>
                <w:rFonts w:ascii="Liberation Serif" w:hAnsi="Liberation Serif"/>
                <w:bCs/>
                <w:i/>
                <w:sz w:val="20"/>
                <w:szCs w:val="20"/>
              </w:rPr>
              <w:t>Кадровый ресурс для оказания услуг должен быть подготовлен для выполнения работ по 3-4 группе по электробезопасности для работы в действующих электроустановках в соответствии с требованиями пунктов пп. 2.3, 2.4. Правил по охране труда при эксплуатации электроустановок (утверждённых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rFonts w:ascii="Liberation Serif" w:hAnsi="Liberation Serif"/>
                <w:bCs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i/>
                <w:sz w:val="20"/>
                <w:szCs w:val="20"/>
              </w:rPr>
              <w:t>приказом Минтруда России от 15.12.2020 №903н «Об утверждении правил по охране труда при эксплуатации электроустановок»).</w:t>
            </w:r>
          </w:p>
        </w:tc>
        <w:tc>
          <w:tcPr>
            <w:tcW w:w="32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sz w:val="20"/>
                <w:szCs w:val="20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9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  <w:tc>
          <w:tcPr>
            <w:tcW w:w="137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</w:tc>
      </w:tr>
    </w:tbl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35" w:name="_Toc46743519"/>
      <w:bookmarkStart w:id="36" w:name="_Toc46743519_Копия_1"/>
      <w:bookmarkStart w:id="37" w:name="_Toc51339699_Копия_1"/>
      <w:bookmarkStart w:id="38" w:name="_Toc51339699"/>
      <w:bookmarkStart w:id="39" w:name="_Toc46743519"/>
      <w:bookmarkStart w:id="40" w:name="_Toc46743519_Копия_1"/>
      <w:bookmarkStart w:id="41" w:name="_Toc51339699_Копия_1"/>
      <w:bookmarkStart w:id="42" w:name="_Toc51339699"/>
      <w:bookmarkEnd w:id="39"/>
      <w:bookmarkEnd w:id="40"/>
      <w:bookmarkEnd w:id="41"/>
      <w:bookmarkEnd w:id="42"/>
    </w:p>
    <w:p>
      <w:pPr>
        <w:pStyle w:val="Normal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72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Arial Unicode MS">
    <w:charset w:val="01"/>
    <w:family w:val="swiss"/>
    <w:pitch w:val="variable"/>
  </w:font>
  <w:font w:name="Verdana">
    <w:charset w:val="01"/>
    <w:family w:val="swiss"/>
    <w:pitch w:val="variable"/>
  </w:font>
  <w:font w:name="Garamond">
    <w:charset w:val="01"/>
    <w:family w:val="roman"/>
    <w:pitch w:val="variable"/>
  </w:font>
  <w:font w:name="Tahoma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67" w:hanging="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pStyle w:val="Heading2"/>
      <w:numFmt w:val="decimal"/>
      <w:lvlText w:val="%2."/>
      <w:lvlJc w:val="right"/>
      <w:pPr>
        <w:tabs>
          <w:tab w:val="num" w:pos="0"/>
        </w:tabs>
        <w:ind w:left="567" w:hanging="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pStyle w:val="Heading3"/>
      <w:numFmt w:val="decimal"/>
      <w:suff w:val="nothing"/>
      <w:lvlText w:val="%3."/>
      <w:lvlJc w:val="right"/>
      <w:pPr>
        <w:tabs>
          <w:tab w:val="num" w:pos="0"/>
        </w:tabs>
        <w:ind w:left="0" w:firstLine="567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3">
      <w:start w:val="1"/>
      <w:pStyle w:val="Heading4"/>
      <w:numFmt w:val="decimal"/>
      <w:lvlText w:val="%4."/>
      <w:lvlJc w:val="right"/>
      <w:pPr>
        <w:tabs>
          <w:tab w:val="num" w:pos="0"/>
        </w:tabs>
        <w:ind w:left="567" w:hanging="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567"/>
        </w:tabs>
        <w:ind w:left="567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8"/>
      <w:sz w:val="28"/>
      <w:szCs w:val="28"/>
      <w:u w:val="none"/>
      <w:shd w:fill="auto" w:val="clear"/>
      <w:vertAlign w:val="baseline"/>
      <w:em w:val="none"/>
      <w:lang w:val="ru-RU" w:eastAsia="ru-RU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1"/>
      </w:numPr>
      <w:suppressAutoHyphens w:val="true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Normal"/>
    <w:next w:val="Normal"/>
    <w:autoRedefine/>
    <w:qFormat/>
    <w:pPr>
      <w:keepNext w:val="true"/>
      <w:widowControl/>
      <w:numPr>
        <w:ilvl w:val="2"/>
        <w:numId w:val="1"/>
      </w:numPr>
      <w:suppressAutoHyphens w:val="true"/>
      <w:spacing w:before="120" w:after="60"/>
      <w:ind w:hanging="0" w:left="510" w:right="0"/>
      <w:jc w:val="center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qFormat/>
    <w:pPr>
      <w:numPr>
        <w:ilvl w:val="3"/>
        <w:numId w:val="1"/>
      </w:numPr>
      <w:suppressAutoHyphens w:val="true"/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uppressAutoHyphens w:val="true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200" w:after="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200" w:after="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200" w:after="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uppressAutoHyphens w:val="true"/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Style">
    <w:name w:val="Основной шрифт абзаца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Style"/>
    <w:rPr/>
  </w:style>
  <w:style w:type="character" w:styleId="Hyperlink">
    <w:name w:val="Hyperlink"/>
    <w:rPr>
      <w:color w:val="0000FF"/>
      <w:u w:val="single"/>
    </w:rPr>
  </w:style>
  <w:style w:type="character" w:styleId="Style1">
    <w:name w:val="Знак примечания"/>
    <w:qFormat/>
    <w:rPr>
      <w:sz w:val="16"/>
      <w:szCs w:val="16"/>
    </w:rPr>
  </w:style>
  <w:style w:type="character" w:styleId="Style2">
    <w:name w:val="Строгий"/>
    <w:qFormat/>
    <w:rPr>
      <w:b/>
      <w:bCs/>
    </w:rPr>
  </w:style>
  <w:style w:type="character" w:styleId="6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>
    <w:name w:val="Заголовок 8 Знак"/>
    <w:qFormat/>
    <w:rPr>
      <w:rFonts w:ascii="Cambria" w:hAnsi="Cambria" w:eastAsia="Cambria" w:cs="Cambria"/>
      <w:color w:val="4F81BD"/>
    </w:rPr>
  </w:style>
  <w:style w:type="character" w:styleId="1">
    <w:name w:val="Заголовок 1 Знак"/>
    <w:qFormat/>
    <w:rPr>
      <w:rFonts w:eastAsia="Calibri"/>
      <w:b/>
      <w:sz w:val="28"/>
      <w:szCs w:val="28"/>
    </w:rPr>
  </w:style>
  <w:style w:type="character" w:styleId="2">
    <w:name w:val="Заголовок 2 Знак"/>
    <w:qFormat/>
    <w:rPr>
      <w:rFonts w:eastAsia="Calibri"/>
      <w:b/>
      <w:bCs/>
      <w:sz w:val="24"/>
      <w:szCs w:val="24"/>
    </w:rPr>
  </w:style>
  <w:style w:type="character" w:styleId="3">
    <w:name w:val="Заголовок 3 Знак"/>
    <w:qFormat/>
    <w:rPr>
      <w:rFonts w:eastAsia="Calibri"/>
      <w:b/>
      <w:sz w:val="24"/>
      <w:szCs w:val="24"/>
    </w:rPr>
  </w:style>
  <w:style w:type="character" w:styleId="4">
    <w:name w:val="Заголовок 4 Знак"/>
    <w:qFormat/>
    <w:rPr>
      <w:rFonts w:eastAsia="Calibri"/>
      <w:b/>
      <w:bCs/>
      <w:sz w:val="24"/>
      <w:szCs w:val="24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3">
    <w:name w:val="Название Знак"/>
    <w:qFormat/>
    <w:rPr>
      <w:sz w:val="28"/>
    </w:rPr>
  </w:style>
  <w:style w:type="character" w:styleId="Style4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5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tyle6">
    <w:name w:val="Слабое выделение"/>
    <w:qFormat/>
    <w:rPr>
      <w:i/>
      <w:iCs/>
      <w:color w:val="808080"/>
    </w:rPr>
  </w:style>
  <w:style w:type="character" w:styleId="Style7">
    <w:name w:val="Сильное выделение"/>
    <w:qFormat/>
    <w:rPr>
      <w:b/>
      <w:bCs/>
      <w:i/>
      <w:iCs/>
      <w:color w:val="4F81BD"/>
    </w:rPr>
  </w:style>
  <w:style w:type="character" w:styleId="Style8">
    <w:name w:val="Слабая ссылка"/>
    <w:qFormat/>
    <w:rPr>
      <w:smallCaps/>
      <w:color w:val="C0504D"/>
      <w:u w:val="single"/>
    </w:rPr>
  </w:style>
  <w:style w:type="character" w:styleId="Style9">
    <w:name w:val="Сильная ссылка"/>
    <w:qFormat/>
    <w:rPr>
      <w:b/>
      <w:bCs/>
      <w:smallCaps/>
      <w:color w:val="C0504D"/>
      <w:spacing w:val="5"/>
      <w:u w:val="single"/>
    </w:rPr>
  </w:style>
  <w:style w:type="character" w:styleId="Style10">
    <w:name w:val="Название книги"/>
    <w:qFormat/>
    <w:rPr>
      <w:b/>
      <w:bCs/>
      <w:smallCaps/>
      <w:spacing w:val="5"/>
    </w:rPr>
  </w:style>
  <w:style w:type="character" w:styleId="Style11">
    <w:name w:val="Электронная подпись Знак"/>
    <w:qFormat/>
    <w:rPr>
      <w:rFonts w:eastAsia="Calibri"/>
      <w:sz w:val="24"/>
      <w:szCs w:val="24"/>
    </w:rPr>
  </w:style>
  <w:style w:type="character" w:styleId="11">
    <w:name w:val="Подпункт Знак1"/>
    <w:qFormat/>
    <w:rPr>
      <w:sz w:val="28"/>
    </w:rPr>
  </w:style>
  <w:style w:type="character" w:styleId="Style12">
    <w:name w:val="Текст сноски Знак"/>
    <w:qFormat/>
    <w:rPr/>
  </w:style>
  <w:style w:type="character" w:styleId="Style13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14">
    <w:name w:val="Абзац списка Знак"/>
    <w:qFormat/>
    <w:rPr>
      <w:rFonts w:eastAsia="Calibri"/>
      <w:sz w:val="24"/>
      <w:szCs w:val="24"/>
    </w:rPr>
  </w:style>
  <w:style w:type="character" w:styleId="Style15">
    <w:name w:val="комментарий"/>
    <w:qFormat/>
    <w:rPr>
      <w:b/>
      <w:i/>
      <w:shd w:fill="FFFF99" w:val="clear"/>
    </w:rPr>
  </w:style>
  <w:style w:type="character" w:styleId="Style16">
    <w:name w:val="Подподпункт Знак"/>
    <w:qFormat/>
    <w:rPr>
      <w:sz w:val="26"/>
      <w:szCs w:val="26"/>
    </w:rPr>
  </w:style>
  <w:style w:type="character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7">
    <w:name w:val="Верхний колонтитул Знак"/>
    <w:qFormat/>
    <w:rPr>
      <w:sz w:val="24"/>
      <w:szCs w:val="24"/>
    </w:rPr>
  </w:style>
  <w:style w:type="character" w:styleId="Style18">
    <w:name w:val="Текст примечания Знак"/>
    <w:qFormat/>
    <w:rPr/>
  </w:style>
  <w:style w:type="character" w:styleId="Style19">
    <w:name w:val="Текст концевой сноски Знак"/>
    <w:basedOn w:val="Style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Style"/>
    <w:qFormat/>
    <w:rPr>
      <w:vertAlign w:val="superscript"/>
    </w:rPr>
  </w:style>
  <w:style w:type="character" w:styleId="22">
    <w:name w:val="Пункт2 Знак"/>
    <w:qFormat/>
    <w:rPr>
      <w:b/>
      <w:sz w:val="28"/>
    </w:rPr>
  </w:style>
  <w:style w:type="character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Style20">
    <w:name w:val="Ссылка указателя"/>
    <w:qFormat/>
    <w:rPr/>
  </w:style>
  <w:style w:type="character" w:styleId="Style21">
    <w:name w:val="Символ нумерации"/>
    <w:qFormat/>
    <w:rPr/>
  </w:style>
  <w:style w:type="character" w:styleId="WWCharLFO5LVL1">
    <w:name w:val="WW_CharLFO5LVL1"/>
    <w:qFormat/>
    <w:rPr>
      <w:rFonts w:cs="Times New Roman"/>
    </w:rPr>
  </w:style>
  <w:style w:type="character" w:styleId="WWCharLFO5LVL2">
    <w:name w:val="WW_CharLFO5LVL2"/>
    <w:qFormat/>
    <w:rPr>
      <w:rFonts w:cs="Courier New"/>
    </w:rPr>
  </w:style>
  <w:style w:type="character" w:styleId="WWCharLFO5LVL3">
    <w:name w:val="WW_CharLFO5LVL3"/>
    <w:qFormat/>
    <w:rPr>
      <w:rFonts w:ascii="Wingdings" w:hAnsi="Wingdings" w:cs="Wingdings"/>
    </w:rPr>
  </w:style>
  <w:style w:type="character" w:styleId="WWCharLFO5LVL4">
    <w:name w:val="WW_CharLFO5LVL4"/>
    <w:qFormat/>
    <w:rPr>
      <w:rFonts w:ascii="Symbol" w:hAnsi="Symbol" w:cs="Symbol"/>
    </w:rPr>
  </w:style>
  <w:style w:type="character" w:styleId="WWCharLFO5LVL5">
    <w:name w:val="WW_CharLFO5LVL5"/>
    <w:qFormat/>
    <w:rPr>
      <w:rFonts w:cs="Courier New"/>
    </w:rPr>
  </w:style>
  <w:style w:type="character" w:styleId="WWCharLFO5LVL6">
    <w:name w:val="WW_CharLFO5LVL6"/>
    <w:qFormat/>
    <w:rPr>
      <w:rFonts w:ascii="Wingdings" w:hAnsi="Wingdings" w:cs="Wingdings"/>
    </w:rPr>
  </w:style>
  <w:style w:type="character" w:styleId="WWCharLFO5LVL7">
    <w:name w:val="WW_CharLFO5LVL7"/>
    <w:qFormat/>
    <w:rPr>
      <w:rFonts w:ascii="Symbol" w:hAnsi="Symbol" w:cs="Symbol"/>
    </w:rPr>
  </w:style>
  <w:style w:type="character" w:styleId="WWCharLFO5LVL8">
    <w:name w:val="WW_CharLFO5LVL8"/>
    <w:qFormat/>
    <w:rPr>
      <w:rFonts w:cs="Courier New"/>
    </w:rPr>
  </w:style>
  <w:style w:type="character" w:styleId="WWCharLFO5LVL9">
    <w:name w:val="WW_CharLFO5LVL9"/>
    <w:qFormat/>
    <w:rPr>
      <w:rFonts w:ascii="Wingdings" w:hAnsi="Wingdings" w:cs="Wingdings"/>
    </w:rPr>
  </w:style>
  <w:style w:type="character" w:styleId="WWCharLFO6LVL1">
    <w:name w:val="WW_CharLFO6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CharLFO6LVL2">
    <w:name w:val="WW_CharLFO6LVL2"/>
    <w:qFormat/>
    <w:rPr>
      <w:b/>
      <w:bCs/>
      <w:i w:val="false"/>
      <w:iCs/>
      <w:sz w:val="24"/>
      <w:szCs w:val="24"/>
    </w:rPr>
  </w:style>
  <w:style w:type="character" w:styleId="WWCharLFO7LVL5">
    <w:name w:val="WW_CharLFO7LVL5"/>
    <w:qFormat/>
    <w:rPr>
      <w:rFonts w:cs="Times New Roman"/>
    </w:rPr>
  </w:style>
  <w:style w:type="character" w:styleId="WWCharLFO10LVL1">
    <w:name w:val="WW_CharLFO10LVL1"/>
    <w:qFormat/>
    <w:rPr>
      <w:b/>
      <w:bCs w:val="false"/>
      <w:sz w:val="24"/>
      <w:szCs w:val="24"/>
    </w:rPr>
  </w:style>
  <w:style w:type="character" w:styleId="WWCharLFO10LVL2">
    <w:name w:val="WW_CharLFO10LVL2"/>
    <w:qFormat/>
    <w:rPr>
      <w:b w:val="false"/>
      <w:bCs/>
      <w:sz w:val="24"/>
      <w:szCs w:val="24"/>
    </w:rPr>
  </w:style>
  <w:style w:type="character" w:styleId="WWCharLFO10LVL3">
    <w:name w:val="WW_CharLFO10LVL3"/>
    <w:qFormat/>
    <w:rPr>
      <w:sz w:val="24"/>
      <w:szCs w:val="24"/>
    </w:rPr>
  </w:style>
  <w:style w:type="character" w:styleId="WWCharOUTLINELVL1">
    <w:name w:val="WW_CharOUTLINE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CharOUTLINELVL2">
    <w:name w:val="WW_CharOUTLINELVL2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CharOUTLINELVL3">
    <w:name w:val="WW_CharOUTLINELVL3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CharOUTLINELVL4">
    <w:name w:val="WW_CharOUTLINELVL4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Style22">
    <w:name w:val="Тема примечания Знак"/>
    <w:qFormat/>
    <w:rPr>
      <w:b/>
      <w:bCs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yle23">
    <w:name w:val="Символ концевой сноски"/>
    <w:qFormat/>
    <w:rPr/>
  </w:style>
  <w:style w:type="character" w:styleId="Style24">
    <w:name w:val="Символ сноски"/>
    <w:qFormat/>
    <w:rPr/>
  </w:style>
  <w:style w:type="character" w:styleId="Style25">
    <w:name w:val="Нижний колонтитул Знак"/>
    <w:qFormat/>
    <w:rPr>
      <w:sz w:val="24"/>
      <w:szCs w:val="24"/>
    </w:rPr>
  </w:style>
  <w:style w:type="character" w:styleId="Style26">
    <w:name w:val="Текст Знак"/>
    <w:qFormat/>
    <w:rPr>
      <w:rFonts w:ascii="Courier New" w:hAnsi="Courier New"/>
    </w:rPr>
  </w:style>
  <w:style w:type="character" w:styleId="DefaultParagraphFont">
    <w:name w:val="Default Paragraph Font"/>
    <w:qFormat/>
    <w:rPr/>
  </w:style>
  <w:style w:type="paragraph" w:styleId="Style27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Style28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List">
    <w:name w:val="List"/>
    <w:basedOn w:val="BodyText"/>
    <w:pPr>
      <w:suppressAutoHyphens w:val="true"/>
    </w:pPr>
    <w:rPr>
      <w:rFonts w:cs="Arial"/>
    </w:rPr>
  </w:style>
  <w:style w:type="paragraph" w:styleId="Style29">
    <w:name w:val="Название объекта"/>
    <w:basedOn w:val="Normal"/>
    <w:next w:val="Normal"/>
    <w:qFormat/>
    <w:pPr>
      <w:suppressAutoHyphens w:val="true"/>
    </w:pPr>
    <w:rPr>
      <w:rFonts w:eastAsia="Calibri"/>
      <w:b/>
      <w:bCs/>
      <w:color w:val="4F81BD"/>
      <w:sz w:val="18"/>
      <w:szCs w:val="18"/>
    </w:rPr>
  </w:style>
  <w:style w:type="paragraph" w:styleId="Style30">
    <w:name w:val="Указатель"/>
    <w:basedOn w:val="Style27"/>
    <w:qFormat/>
    <w:pPr>
      <w:suppressAutoHyphens w:val="true"/>
    </w:pPr>
    <w:rPr/>
  </w:style>
  <w:style w:type="paragraph" w:styleId="Style31">
    <w:name w:val="Название раздела инструкции"/>
    <w:basedOn w:val="Normal"/>
    <w:autoRedefine/>
    <w:qFormat/>
    <w:pPr>
      <w:suppressAutoHyphens w:val="true"/>
      <w:jc w:val="center"/>
    </w:pPr>
    <w:rPr>
      <w:b/>
    </w:rPr>
  </w:style>
  <w:style w:type="paragraph" w:styleId="Style32">
    <w:name w:val="Раздел положения"/>
    <w:basedOn w:val="Normal"/>
    <w:autoRedefine/>
    <w:qFormat/>
    <w:pPr>
      <w:suppressAutoHyphens w:val="true"/>
      <w:spacing w:before="80" w:after="80"/>
      <w:jc w:val="center"/>
    </w:pPr>
    <w:rPr>
      <w:b/>
      <w:sz w:val="32"/>
      <w:szCs w:val="32"/>
    </w:rPr>
  </w:style>
  <w:style w:type="paragraph" w:styleId="Style33">
    <w:name w:val="Подраздел раздела положения"/>
    <w:basedOn w:val="Normal"/>
    <w:autoRedefine/>
    <w:qFormat/>
    <w:pPr>
      <w:numPr>
        <w:ilvl w:val="0"/>
        <w:numId w:val="2"/>
      </w:numPr>
      <w:suppressAutoHyphens w:val="true"/>
      <w:spacing w:before="80" w:after="80"/>
      <w:jc w:val="both"/>
    </w:pPr>
    <w:rPr/>
  </w:style>
  <w:style w:type="paragraph" w:styleId="FootnoteText">
    <w:name w:val="Footnote Text"/>
    <w:basedOn w:val="Normal"/>
    <w:pPr>
      <w:suppressAutoHyphens w:val="true"/>
    </w:pPr>
    <w:rPr>
      <w:sz w:val="20"/>
      <w:szCs w:val="20"/>
    </w:rPr>
  </w:style>
  <w:style w:type="paragraph" w:styleId="13">
    <w:name w:val="Шапка 1"/>
    <w:basedOn w:val="Normal"/>
    <w:qFormat/>
    <w:pPr>
      <w:pBdr>
        <w:bottom w:val="double" w:sz="12" w:space="1" w:color="000000"/>
      </w:pBdr>
      <w:suppressAutoHyphens w:val="true"/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double" w:sz="12" w:space="1" w:color="000000"/>
      </w:pBdr>
      <w:suppressAutoHyphens w:val="true"/>
      <w:spacing w:before="0" w:after="120"/>
      <w:jc w:val="center"/>
    </w:pPr>
    <w:rPr>
      <w:b/>
      <w:sz w:val="22"/>
      <w:szCs w:val="22"/>
    </w:rPr>
  </w:style>
  <w:style w:type="paragraph" w:styleId="32">
    <w:name w:val="Шапка 3"/>
    <w:basedOn w:val="Normal"/>
    <w:qFormat/>
    <w:pPr>
      <w:pBdr>
        <w:bottom w:val="double" w:sz="12" w:space="1" w:color="000000"/>
      </w:pBdr>
      <w:suppressAutoHyphens w:val="true"/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qFormat/>
    <w:pPr>
      <w:suppressAutoHyphens w:val="true"/>
      <w:jc w:val="center"/>
    </w:pPr>
    <w:rPr>
      <w:szCs w:val="20"/>
    </w:rPr>
  </w:style>
  <w:style w:type="paragraph" w:styleId="Style34">
    <w:name w:val="Колонтитул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>
      <w:sz w:val="24"/>
      <w:szCs w:val="24"/>
    </w:rPr>
  </w:style>
  <w:style w:type="paragraph" w:styleId="BodyTextIndent">
    <w:name w:val="Body Text Indent"/>
    <w:basedOn w:val="Normal"/>
    <w:pPr>
      <w:tabs>
        <w:tab w:val="clear" w:pos="708"/>
      </w:tabs>
      <w:suppressAutoHyphens w:val="true"/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24">
    <w:name w:val="Основной текст с отступом 2"/>
    <w:basedOn w:val="Normal"/>
    <w:qFormat/>
    <w:pPr>
      <w:tabs>
        <w:tab w:val="clear" w:pos="708"/>
      </w:tabs>
      <w:suppressAutoHyphens w:val="true"/>
      <w:spacing w:lineRule="auto" w:line="480" w:before="0" w:after="120"/>
      <w:ind w:hanging="0" w:left="283" w:right="0"/>
    </w:pPr>
    <w:rPr/>
  </w:style>
  <w:style w:type="paragraph" w:styleId="33">
    <w:name w:val="Основной текст 3"/>
    <w:basedOn w:val="Normal"/>
    <w:qFormat/>
    <w:pPr>
      <w:suppressAutoHyphens w:val="true"/>
      <w:spacing w:before="0" w:after="120"/>
    </w:pPr>
    <w:rPr>
      <w:sz w:val="16"/>
      <w:szCs w:val="16"/>
    </w:rPr>
  </w:style>
  <w:style w:type="paragraph" w:styleId="34">
    <w:name w:val="Основной текст с отступом 3"/>
    <w:basedOn w:val="Normal"/>
    <w:qFormat/>
    <w:pPr>
      <w:tabs>
        <w:tab w:val="clear" w:pos="708"/>
      </w:tabs>
      <w:suppressAutoHyphens w:val="true"/>
      <w:spacing w:before="0" w:after="120"/>
      <w:ind w:hanging="0" w:left="283" w:right="0"/>
    </w:pPr>
    <w:rPr>
      <w:sz w:val="16"/>
      <w:szCs w:val="16"/>
    </w:rPr>
  </w:style>
  <w:style w:type="paragraph" w:styleId="25">
    <w:name w:val="Основной текст 2"/>
    <w:basedOn w:val="Normal"/>
    <w:qFormat/>
    <w:pPr>
      <w:suppressAutoHyphens w:val="true"/>
      <w:spacing w:lineRule="auto" w:line="480" w:before="0" w:after="120"/>
    </w:pPr>
    <w:rPr/>
  </w:style>
  <w:style w:type="paragraph" w:styleId="Style35">
    <w:name w:val="Цитата"/>
    <w:basedOn w:val="Normal"/>
    <w:qFormat/>
    <w:pPr>
      <w:tabs>
        <w:tab w:val="clear" w:pos="708"/>
      </w:tabs>
      <w:suppressAutoHyphens w:val="true"/>
      <w:ind w:hanging="0" w:left="-567" w:right="-766"/>
      <w:jc w:val="center"/>
    </w:pPr>
    <w:rPr>
      <w:b/>
      <w:bCs/>
      <w:sz w:val="24"/>
      <w:szCs w:val="20"/>
    </w:rPr>
  </w:style>
  <w:style w:type="paragraph" w:styleId="Style36">
    <w:name w:val="Подпункт"/>
    <w:basedOn w:val="Normal"/>
    <w:qFormat/>
    <w:pPr>
      <w:tabs>
        <w:tab w:val="clear" w:pos="708"/>
        <w:tab w:val="left" w:pos="2268" w:leader="none"/>
      </w:tabs>
      <w:suppressAutoHyphens w:val="true"/>
      <w:snapToGrid w:val="false"/>
      <w:spacing w:lineRule="auto" w:line="360"/>
      <w:ind w:hanging="1134" w:left="1134" w:right="0"/>
      <w:jc w:val="both"/>
    </w:pPr>
    <w:rPr>
      <w:szCs w:val="20"/>
    </w:rPr>
  </w:style>
  <w:style w:type="paragraph" w:styleId="26">
    <w:name w:val="Пункт2"/>
    <w:basedOn w:val="Normal"/>
    <w:qFormat/>
    <w:pPr>
      <w:keepNext w:val="true"/>
      <w:numPr>
        <w:ilvl w:val="0"/>
        <w:numId w:val="0"/>
      </w:numPr>
      <w:tabs>
        <w:tab w:val="clear" w:pos="708"/>
        <w:tab w:val="left" w:pos="2268" w:leader="none"/>
      </w:tabs>
      <w:suppressAutoHyphens w:val="true"/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uppressAutoHyphens w:val="true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</w:tabs>
      <w:suppressAutoHyphens w:val="true"/>
      <w:ind w:hanging="0" w:left="280" w:right="0"/>
    </w:pPr>
    <w:rPr>
      <w:rFonts w:cs="Calibri"/>
      <w:sz w:val="20"/>
      <w:szCs w:val="20"/>
    </w:rPr>
  </w:style>
  <w:style w:type="paragraph" w:styleId="Style37">
    <w:name w:val="Раздел регламента"/>
    <w:basedOn w:val="Normal"/>
    <w:qFormat/>
    <w:pPr>
      <w:suppressAutoHyphens w:val="true"/>
    </w:pPr>
    <w:rPr/>
  </w:style>
  <w:style w:type="paragraph" w:styleId="Style38">
    <w:name w:val="Приложение к регламенту"/>
    <w:basedOn w:val="Normal"/>
    <w:qFormat/>
    <w:pPr>
      <w:suppressAutoHyphens w:val="true"/>
      <w:jc w:val="right"/>
    </w:pPr>
    <w:rPr/>
  </w:style>
  <w:style w:type="paragraph" w:styleId="TOC2">
    <w:name w:val="TOC 2"/>
    <w:basedOn w:val="Normal"/>
    <w:next w:val="Normal"/>
    <w:autoRedefine/>
    <w:pPr>
      <w:suppressAutoHyphens w:val="true"/>
      <w:spacing w:before="240" w:after="0"/>
    </w:pPr>
    <w:rPr>
      <w:rFonts w:cs="Calibri"/>
      <w:bCs/>
      <w:sz w:val="20"/>
      <w:szCs w:val="20"/>
    </w:rPr>
  </w:style>
  <w:style w:type="paragraph" w:styleId="Style39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40">
    <w:name w:val="Текст примечания"/>
    <w:basedOn w:val="Normal"/>
    <w:qFormat/>
    <w:pPr>
      <w:suppressAutoHyphens w:val="true"/>
    </w:pPr>
    <w:rPr>
      <w:sz w:val="20"/>
      <w:szCs w:val="20"/>
    </w:rPr>
  </w:style>
  <w:style w:type="paragraph" w:styleId="Style41">
    <w:name w:val="Тема примечания"/>
    <w:basedOn w:val="Style40"/>
    <w:next w:val="Style40"/>
    <w:qFormat/>
    <w:pPr>
      <w:suppressAutoHyphens w:val="true"/>
    </w:pPr>
    <w:rPr>
      <w:b/>
      <w:bCs/>
    </w:rPr>
  </w:style>
  <w:style w:type="paragraph" w:styleId="15">
    <w:name w:val="Обычный (веб)1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tabs>
        <w:tab w:val="clear" w:pos="708"/>
      </w:tabs>
      <w:suppressAutoHyphens w:val="true"/>
      <w:ind w:hanging="0" w:left="1960" w:right="0"/>
    </w:pPr>
    <w:rPr>
      <w:rFonts w:ascii="Calibri" w:hAnsi="Calibri" w:eastAsia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tabs>
        <w:tab w:val="clear" w:pos="708"/>
      </w:tabs>
      <w:suppressAutoHyphens w:val="true"/>
      <w:ind w:hanging="0" w:left="840" w:right="0"/>
    </w:pPr>
    <w:rPr>
      <w:rFonts w:ascii="Calibri" w:hAnsi="Calibri" w:eastAsia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680" w:leader="none"/>
        <w:tab w:val="right" w:pos="10471" w:leader="none"/>
      </w:tabs>
      <w:suppressAutoHyphens w:val="true"/>
      <w:ind w:hanging="0" w:left="560" w:right="0"/>
    </w:pPr>
    <w:rPr>
      <w:rFonts w:cs="Calibri"/>
      <w:sz w:val="20"/>
      <w:szCs w:val="20"/>
    </w:rPr>
  </w:style>
  <w:style w:type="paragraph" w:styleId="27">
    <w:name w:val="Раздел положения 2"/>
    <w:basedOn w:val="Normal"/>
    <w:qFormat/>
    <w:pPr>
      <w:pageBreakBefore/>
      <w:numPr>
        <w:ilvl w:val="0"/>
        <w:numId w:val="0"/>
      </w:numPr>
      <w:suppressAutoHyphens w:val="true"/>
      <w:jc w:val="both"/>
      <w:outlineLvl w:val="0"/>
    </w:pPr>
    <w:rPr>
      <w:b/>
    </w:rPr>
  </w:style>
  <w:style w:type="paragraph" w:styleId="Style42">
    <w:name w:val="Знак Знак Знак Знак Знак Знак Знак Знак Знак"/>
    <w:basedOn w:val="Normal"/>
    <w:qFormat/>
    <w:pPr>
      <w:suppressAutoHyphens w:val="true"/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43">
    <w:name w:val="Без интервала"/>
    <w:basedOn w:val="Normal"/>
    <w:qFormat/>
    <w:pPr>
      <w:suppressAutoHyphens w:val="true"/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qFormat/>
    <w:pPr>
      <w:tabs>
        <w:tab w:val="clear" w:pos="708"/>
      </w:tabs>
      <w:suppressAutoHyphens w:val="true"/>
      <w:ind w:firstLine="709" w:left="1066" w:right="0"/>
    </w:pPr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paragraph" w:styleId="Style44">
    <w:name w:val="Абзац списка"/>
    <w:basedOn w:val="Normal"/>
    <w:qFormat/>
    <w:pPr>
      <w:tabs>
        <w:tab w:val="clear" w:pos="708"/>
      </w:tabs>
      <w:suppressAutoHyphens w:val="true"/>
      <w:ind w:hanging="0" w:left="720" w:right="0"/>
    </w:pPr>
    <w:rPr>
      <w:rFonts w:eastAsia="Calibri"/>
      <w:sz w:val="24"/>
      <w:szCs w:val="24"/>
    </w:rPr>
  </w:style>
  <w:style w:type="paragraph" w:styleId="28">
    <w:name w:val="Цитата 2"/>
    <w:basedOn w:val="Normal"/>
    <w:next w:val="Normal"/>
    <w:qFormat/>
    <w:pPr>
      <w:suppressAutoHyphens w:val="true"/>
    </w:pPr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Style45">
    <w:name w:val="Выделенная цитата"/>
    <w:basedOn w:val="Normal"/>
    <w:next w:val="Normal"/>
    <w:qFormat/>
    <w:pPr>
      <w:pBdr>
        <w:bottom w:val="single" w:sz="4" w:space="4" w:color="4F81BD"/>
      </w:pBdr>
      <w:tabs>
        <w:tab w:val="clear" w:pos="708"/>
      </w:tabs>
      <w:suppressAutoHyphens w:val="true"/>
      <w:spacing w:before="200" w:after="280"/>
      <w:ind w:hanging="0"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27"/>
    <w:pPr>
      <w:suppressLineNumbers/>
      <w:ind w:hanging="0" w:left="0" w:righ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uppressAutoHyphens w:val="true"/>
      <w:spacing w:before="480" w:after="0"/>
      <w:ind w:hanging="0" w:left="510"/>
    </w:pPr>
    <w:rPr>
      <w:rFonts w:ascii="Cambria" w:hAnsi="Cambria" w:eastAsia="Cambria" w:cs="Cambria"/>
      <w:bCs/>
      <w:color w:val="365F91"/>
    </w:rPr>
  </w:style>
  <w:style w:type="paragraph" w:styleId="Style46">
    <w:name w:val="Электронная подпись"/>
    <w:basedOn w:val="Normal"/>
    <w:qFormat/>
    <w:pPr>
      <w:suppressAutoHyphens w:val="true"/>
    </w:pPr>
    <w:rPr>
      <w:rFonts w:eastAsia="Calibri"/>
      <w:sz w:val="24"/>
      <w:szCs w:val="24"/>
    </w:rPr>
  </w:style>
  <w:style w:type="paragraph" w:styleId="Style47">
    <w:name w:val="Знак"/>
    <w:basedOn w:val="Normal"/>
    <w:qFormat/>
    <w:pPr>
      <w:suppressAutoHyphens w:val="true"/>
      <w:spacing w:lineRule="exact" w:line="240" w:before="0" w:after="160"/>
    </w:pPr>
    <w:rPr>
      <w:rFonts w:ascii="Verdana" w:hAnsi="Verdana" w:eastAsia="Verdana" w:cs="Verdana"/>
      <w:sz w:val="20"/>
      <w:szCs w:val="20"/>
      <w:lang w:val="en-US" w:eastAsia="en-US"/>
    </w:rPr>
  </w:style>
  <w:style w:type="paragraph" w:styleId="35">
    <w:name w:val="Нумерованный список ур3"/>
    <w:basedOn w:val="Normal"/>
    <w:qFormat/>
    <w:pPr>
      <w:suppressAutoHyphens w:val="true"/>
      <w:jc w:val="both"/>
    </w:pPr>
    <w:rPr>
      <w:rFonts w:ascii="Garamond" w:hAnsi="Garamond" w:eastAsia="Garamond" w:cs="Garamond"/>
      <w:sz w:val="24"/>
      <w:szCs w:val="20"/>
    </w:rPr>
  </w:style>
  <w:style w:type="paragraph" w:styleId="41">
    <w:name w:val="Маркированный список 4"/>
    <w:basedOn w:val="Normal"/>
    <w:qFormat/>
    <w:pPr>
      <w:suppressAutoHyphens w:val="true"/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29">
    <w:name w:val="Нумерованный список ур2"/>
    <w:basedOn w:val="Normal"/>
    <w:qFormat/>
    <w:pPr>
      <w:numPr>
        <w:ilvl w:val="0"/>
        <w:numId w:val="3"/>
      </w:numPr>
      <w:suppressAutoHyphens w:val="true"/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Style48">
    <w:name w:val="Рецензия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eastAsia="Calibri"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ru-RU" w:bidi="ar-SA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ind w:firstLine="720" w:left="0" w:right="0"/>
      <w:jc w:val="left"/>
      <w:textAlignment w:val="baseline"/>
    </w:pPr>
    <w:rPr>
      <w:rFonts w:ascii="Arial" w:hAnsi="Arial" w:cs="Arial"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36">
    <w:name w:val="Знак Знак3 Знак Знак"/>
    <w:basedOn w:val="Normal"/>
    <w:qFormat/>
    <w:pPr>
      <w:suppressAutoHyphens w:val="true"/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49">
    <w:name w:val="Пункт"/>
    <w:basedOn w:val="Normal"/>
    <w:qFormat/>
    <w:pPr>
      <w:widowControl w:val="false"/>
      <w:tabs>
        <w:tab w:val="clear" w:pos="708"/>
        <w:tab w:val="left" w:pos="2268" w:leader="none"/>
      </w:tabs>
      <w:suppressAutoHyphens w:val="true"/>
      <w:spacing w:lineRule="auto" w:line="360" w:before="120" w:after="0"/>
      <w:ind w:hanging="1134" w:left="1134" w:right="800"/>
      <w:jc w:val="both"/>
    </w:pPr>
    <w:rPr>
      <w:rFonts w:ascii="Arial" w:hAnsi="Arial" w:eastAsia="Arial" w:cs="Arial"/>
      <w:b/>
      <w:i/>
      <w:szCs w:val="20"/>
    </w:rPr>
  </w:style>
  <w:style w:type="paragraph" w:styleId="16">
    <w:name w:val="Абзац списка1"/>
    <w:basedOn w:val="Normal"/>
    <w:qFormat/>
    <w:pPr>
      <w:tabs>
        <w:tab w:val="clear" w:pos="708"/>
      </w:tabs>
      <w:suppressAutoHyphens w:val="true"/>
      <w:spacing w:lineRule="auto" w:line="276" w:before="0" w:after="200"/>
      <w:ind w:hanging="0" w:left="720" w:right="0"/>
    </w:pPr>
    <w:rPr>
      <w:rFonts w:ascii="Calibri" w:hAnsi="Calibri" w:eastAsia="Calibri" w:cs="Calibri"/>
      <w:sz w:val="22"/>
      <w:szCs w:val="22"/>
      <w:lang w:eastAsia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Style50">
    <w:name w:val="Таблица"/>
    <w:basedOn w:val="Normal"/>
    <w:qFormat/>
    <w:pPr>
      <w:keepNext w:val="true"/>
      <w:suppressAutoHyphens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51">
    <w:name w:val="Таблица шапка"/>
    <w:basedOn w:val="Normal"/>
    <w:qFormat/>
    <w:pPr>
      <w:keepNext w:val="true"/>
      <w:tabs>
        <w:tab w:val="clear" w:pos="708"/>
      </w:tabs>
      <w:suppressAutoHyphens w:val="true"/>
      <w:spacing w:before="40" w:after="40"/>
      <w:ind w:hanging="0" w:left="57" w:right="57"/>
    </w:pPr>
    <w:rPr>
      <w:sz w:val="22"/>
      <w:szCs w:val="26"/>
    </w:rPr>
  </w:style>
  <w:style w:type="paragraph" w:styleId="Style52">
    <w:name w:val="Подподпункт"/>
    <w:basedOn w:val="Style36"/>
    <w:qFormat/>
    <w:pPr>
      <w:tabs>
        <w:tab w:val="clear" w:pos="1134"/>
        <w:tab w:val="left" w:pos="10208" w:leader="none"/>
      </w:tabs>
      <w:suppressAutoHyphens w:val="true"/>
      <w:snapToGrid w:val="true"/>
      <w:spacing w:lineRule="auto" w:line="240" w:before="120" w:after="0"/>
      <w:ind w:hanging="567" w:left="5104" w:right="0"/>
    </w:pPr>
    <w:rPr>
      <w:sz w:val="26"/>
      <w:szCs w:val="26"/>
    </w:rPr>
  </w:style>
  <w:style w:type="paragraph" w:styleId="Style53">
    <w:name w:val="УРОВЕНЬ_(а)"/>
    <w:basedOn w:val="Style44"/>
    <w:qFormat/>
    <w:pPr>
      <w:numPr>
        <w:ilvl w:val="0"/>
        <w:numId w:val="0"/>
      </w:numPr>
      <w:suppressAutoHyphens w:val="true"/>
      <w:spacing w:lineRule="exact" w:line="360" w:before="120" w:after="0"/>
      <w:ind w:hanging="0" w:left="720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Style44"/>
    <w:qFormat/>
    <w:pPr>
      <w:numPr>
        <w:ilvl w:val="0"/>
        <w:numId w:val="0"/>
      </w:numPr>
      <w:suppressAutoHyphens w:val="true"/>
      <w:spacing w:lineRule="exact" w:line="360" w:before="120" w:after="0"/>
      <w:ind w:hanging="0" w:left="720"/>
      <w:jc w:val="both"/>
      <w:outlineLvl w:val="4"/>
    </w:pPr>
    <w:rPr>
      <w:sz w:val="26"/>
      <w:szCs w:val="28"/>
      <w:lang w:eastAsia="en-US"/>
    </w:rPr>
  </w:style>
  <w:style w:type="paragraph" w:styleId="210">
    <w:name w:val="УРОВЕНЬ_Абзац_тип2"/>
    <w:basedOn w:val="Style44"/>
    <w:qFormat/>
    <w:pPr>
      <w:suppressAutoHyphens w:val="true"/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Style44"/>
    <w:qFormat/>
    <w:pPr>
      <w:suppressAutoHyphens w:val="true"/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54">
    <w:name w:val="УРОВЕНЬ_Подпись"/>
    <w:basedOn w:val="Style44"/>
    <w:qFormat/>
    <w:pPr>
      <w:keepNext w:val="true"/>
      <w:numPr>
        <w:ilvl w:val="0"/>
        <w:numId w:val="4"/>
      </w:numPr>
      <w:suppressAutoHyphens w:val="true"/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pacing w:before="480" w:after="240"/>
      <w:ind w:hanging="567" w:left="567" w:right="0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Text">
    <w:name w:val="Endnote Text"/>
    <w:basedOn w:val="Normal"/>
    <w:pPr>
      <w:suppressAutoHyphens w:val="true"/>
    </w:pPr>
    <w:rPr>
      <w:sz w:val="20"/>
      <w:szCs w:val="20"/>
    </w:rPr>
  </w:style>
  <w:style w:type="paragraph" w:styleId="211">
    <w:name w:val="Заголовок 2 КВВ"/>
    <w:basedOn w:val="Normal"/>
    <w:qFormat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55">
    <w:name w:val="Таблица текст"/>
    <w:basedOn w:val="Normal"/>
    <w:qFormat/>
    <w:pPr>
      <w:tabs>
        <w:tab w:val="clear" w:pos="708"/>
      </w:tabs>
      <w:suppressAutoHyphens w:val="true"/>
      <w:spacing w:before="40" w:after="40"/>
      <w:ind w:hanging="0" w:left="57" w:right="57"/>
    </w:pPr>
    <w:rPr>
      <w:sz w:val="24"/>
      <w:szCs w:val="26"/>
    </w:rPr>
  </w:style>
  <w:style w:type="paragraph" w:styleId="Style56">
    <w:name w:val="Обычный (веб)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18">
    <w:name w:val="УРОВЕНЬ_1."/>
    <w:basedOn w:val="Style44"/>
    <w:qFormat/>
    <w:pPr>
      <w:keepNext w:val="true"/>
      <w:keepLines/>
      <w:numPr>
        <w:ilvl w:val="0"/>
        <w:numId w:val="0"/>
      </w:numPr>
      <w:suppressAutoHyphens w:val="true"/>
      <w:spacing w:lineRule="auto" w:line="276" w:before="240" w:after="120"/>
      <w:ind w:hanging="0" w:left="0" w:right="0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tabs>
        <w:tab w:val="clear" w:pos="708"/>
      </w:tabs>
      <w:suppressAutoHyphens w:val="true"/>
      <w:ind w:hanging="0" w:left="1120" w:right="0"/>
    </w:pPr>
    <w:rPr>
      <w:rFonts w:ascii="Calibri" w:hAnsi="Calibri" w:eastAsia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tabs>
        <w:tab w:val="clear" w:pos="708"/>
      </w:tabs>
      <w:suppressAutoHyphens w:val="true"/>
      <w:ind w:hanging="0" w:left="1400" w:right="0"/>
    </w:pPr>
    <w:rPr>
      <w:rFonts w:ascii="Calibri" w:hAnsi="Calibri" w:eastAsia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tabs>
        <w:tab w:val="clear" w:pos="708"/>
      </w:tabs>
      <w:suppressAutoHyphens w:val="true"/>
      <w:ind w:hanging="0" w:left="1680" w:right="0"/>
    </w:pPr>
    <w:rPr>
      <w:rFonts w:ascii="Calibri" w:hAnsi="Calibri" w:eastAsia="Calibri" w:cs="Calibri"/>
      <w:sz w:val="20"/>
      <w:szCs w:val="20"/>
    </w:rPr>
  </w:style>
  <w:style w:type="paragraph" w:styleId="Style57">
    <w:name w:val="Содержимое врезки"/>
    <w:basedOn w:val="Normal"/>
    <w:qFormat/>
    <w:pPr>
      <w:suppressAutoHyphens w:val="true"/>
    </w:pPr>
    <w:rPr/>
  </w:style>
  <w:style w:type="paragraph" w:styleId="Style58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59">
    <w:name w:val="Заголовок таблицы"/>
    <w:basedOn w:val="Style58"/>
    <w:qFormat/>
    <w:pPr>
      <w:suppressAutoHyphens w:val="true"/>
      <w:jc w:val="center"/>
    </w:pPr>
    <w:rPr>
      <w:b/>
      <w:bCs/>
    </w:rPr>
  </w:style>
  <w:style w:type="paragraph" w:styleId="10">
    <w:name w:val="Заголовок 10"/>
    <w:basedOn w:val="Style27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paragraph" w:styleId="Style60">
    <w:name w:val="Содержимое списка"/>
    <w:basedOn w:val="Normal"/>
    <w:qFormat/>
    <w:pPr>
      <w:ind w:hanging="0" w:left="567" w:right="0"/>
    </w:pPr>
    <w:rPr/>
  </w:style>
  <w:style w:type="paragraph" w:styleId="DocumentMap">
    <w:name w:val="DocumentMap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  <w:textAlignment w:va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FORMATTEXT">
    <w:name w:val=".FORMATTEXT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ru-RU" w:bidi="ar-SA"/>
    </w:rPr>
  </w:style>
  <w:style w:type="paragraph" w:styleId="PlainText">
    <w:name w:val="Plain Text"/>
    <w:basedOn w:val="Normal"/>
    <w:qFormat/>
    <w:pPr/>
    <w:rPr>
      <w:rFonts w:ascii="Courier New" w:hAnsi="Courier New"/>
      <w:sz w:val="20"/>
      <w:szCs w:val="20"/>
    </w:rPr>
  </w:style>
  <w:style w:type="paragraph" w:styleId="DocumentMap1">
    <w:name w:val="Document Map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  <w:textAlignment w:va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FR1">
    <w:name w:val="FR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80" w:after="0" w:lineRule="auto" w:line="240"/>
      <w:ind w:hanging="0" w:left="160" w:right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ConsNonformat">
    <w:name w:val="ConsNonformat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  <w:textAlignment w:val="baseline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BodyText2">
    <w:name w:val="Body Text 2"/>
    <w:basedOn w:val="Normal"/>
    <w:qFormat/>
    <w:pPr>
      <w:shd w:fill="FFFFFF" w:val="clear"/>
      <w:tabs>
        <w:tab w:val="clear" w:pos="708"/>
        <w:tab w:val="left" w:pos="-3240" w:leader="none"/>
      </w:tabs>
      <w:jc w:val="both"/>
    </w:pPr>
    <w:rPr/>
  </w:style>
  <w:style w:type="numbering" w:styleId="Style61">
    <w:name w:val="Без списка"/>
    <w:qFormat/>
  </w:style>
  <w:style w:type="numbering" w:styleId="123">
    <w:name w:val="Нумерованный 123"/>
    <w:qFormat/>
  </w:style>
  <w:style w:type="numbering" w:styleId="19">
    <w:name w:val="Стиль1"/>
    <w:qFormat/>
  </w:style>
  <w:style w:type="numbering" w:styleId="212">
    <w:name w:val="Стиль2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946</TotalTime>
  <Application>AlterOffice/2026.2.1.0$Linux_X86_64 LibreOffice_project/f008988ffacaa0b2bf57911c2759d08ca79831df</Application>
  <AppVersion>15.0000</AppVersion>
  <Pages>16</Pages>
  <Words>3765</Words>
  <Characters>23506</Characters>
  <CharactersWithSpaces>26723</CharactersWithSpaces>
  <Paragraphs>979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2023-08-29T05:21:00Z</dcterms:created>
  <dc:creator>Быстров Олег Геннадьевич</dc:creator>
  <dc:description/>
  <dc:language>ru-RU</dc:language>
  <cp:lastModifiedBy>zayarnaya_gs</cp:lastModifiedBy>
  <cp:lastPrinted>2026-09-15T18:13:39Z</cp:lastPrinted>
  <dcterms:modified xsi:type="dcterms:W3CDTF">2026-09-29T09:40:15Z</dcterms:modified>
  <cp:revision>49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