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60" w:after="120"/>
        <w:ind w:hanging="0" w:left="425" w:right="0"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caps/>
          <w:szCs w:val="24"/>
        </w:rPr>
        <w:t>ОБОСНОВАНИЕ начальной (максимальной) цены договора</w:t>
      </w:r>
      <w:r>
        <w:rPr>
          <w:rFonts w:eastAsia="Calibri" w:ascii="Liberation Serif" w:hAnsi="Liberation Serif"/>
          <w:sz w:val="26"/>
          <w:szCs w:val="26"/>
        </w:rPr>
        <w:t xml:space="preserve"> / </w:t>
      </w:r>
      <w:r>
        <w:rPr>
          <w:rFonts w:eastAsia="Calibri" w:ascii="Liberation Serif" w:hAnsi="Liberation Serif"/>
          <w:b/>
          <w:caps/>
          <w:szCs w:val="24"/>
        </w:rPr>
        <w:t>цены единицы товара, работы, услуги</w:t>
      </w:r>
    </w:p>
    <w:p>
      <w:pPr>
        <w:pStyle w:val="Normal"/>
        <w:spacing w:lineRule="exact" w:line="360" w:before="120" w:after="0"/>
        <w:jc w:val="both"/>
        <w:rPr>
          <w:rFonts w:ascii="Liberation Serif" w:hAnsi="Liberation Serif" w:eastAsia="Calibri"/>
          <w:i/>
          <w:i/>
          <w:sz w:val="26"/>
          <w:szCs w:val="26"/>
          <w:shd w:fill="FFFF00" w:val="clear"/>
        </w:rPr>
      </w:pPr>
      <w:r>
        <w:rPr>
          <w:rFonts w:eastAsia="Calibri" w:ascii="Liberation Serif" w:hAnsi="Liberation Serif"/>
          <w:i/>
          <w:sz w:val="26"/>
          <w:szCs w:val="26"/>
          <w:shd w:fill="FFFF00" w:val="clear"/>
        </w:rPr>
      </w:r>
    </w:p>
    <w:p>
      <w:pPr>
        <w:pStyle w:val="Normal"/>
        <w:numPr>
          <w:ilvl w:val="0"/>
          <w:numId w:val="2"/>
        </w:numPr>
        <w:spacing w:lineRule="exact" w:line="360" w:before="120" w:after="120"/>
        <w:ind w:hanging="357" w:left="714" w:right="0"/>
        <w:jc w:val="both"/>
        <w:rPr>
          <w:rFonts w:ascii="Liberation Serif" w:hAnsi="Liberation Serif" w:eastAsia="Calibri"/>
          <w:b/>
          <w:sz w:val="26"/>
          <w:szCs w:val="26"/>
        </w:rPr>
      </w:pPr>
      <w:r>
        <w:rPr>
          <w:rFonts w:eastAsia="Calibri" w:ascii="Liberation Serif" w:hAnsi="Liberation Serif"/>
          <w:b/>
          <w:sz w:val="26"/>
          <w:szCs w:val="26"/>
        </w:rPr>
        <w:t>Общая информация</w:t>
      </w:r>
    </w:p>
    <w:tbl>
      <w:tblPr>
        <w:tblW w:w="9952" w:type="dxa"/>
        <w:jc w:val="left"/>
        <w:tblInd w:w="-152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705"/>
        <w:gridCol w:w="3685"/>
        <w:gridCol w:w="5562"/>
      </w:tblGrid>
      <w:tr>
        <w:trPr/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Liberation Serif" w:hAnsi="Liberation Serif" w:eastAsia="Calibri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Liberation Serif" w:hAnsi="Liberation Serif" w:eastAsia="Calibri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eastAsia="en-US" w:bidi="ar-SA"/>
              </w:rPr>
              <w:t>Наименование</w:t>
            </w:r>
          </w:p>
        </w:tc>
        <w:tc>
          <w:tcPr>
            <w:tcW w:w="5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Liberation Serif" w:hAnsi="Liberation Serif" w:eastAsia="Calibri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eastAsia="en-US" w:bidi="ar-SA"/>
              </w:rPr>
              <w:t>Информация по лоту</w:t>
            </w:r>
          </w:p>
        </w:tc>
      </w:tr>
      <w:tr>
        <w:trPr/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exact" w:line="360" w:before="120" w:after="120"/>
              <w:ind w:hanging="0" w:left="0" w:right="0"/>
              <w:contextualSpacing/>
              <w:jc w:val="both"/>
              <w:rPr>
                <w:rFonts w:ascii="Liberation Serif" w:hAnsi="Liberation Serif" w:eastAsia="Calibri"/>
                <w:sz w:val="22"/>
                <w:szCs w:val="26"/>
                <w:lang w:val="ru-RU" w:eastAsia="en-US"/>
              </w:rPr>
            </w:pPr>
            <w:r>
              <w:rPr>
                <w:rFonts w:eastAsia="Calibri" w:ascii="Liberation Serif" w:hAnsi="Liberation Serif"/>
                <w:sz w:val="22"/>
                <w:szCs w:val="26"/>
                <w:lang w:val="ru-RU" w:eastAsia="en-US"/>
              </w:rPr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Liberation Serif" w:hAnsi="Liberation Serif" w:eastAsia="Calibri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eastAsia="en-US" w:bidi="ar-SA"/>
              </w:rPr>
              <w:t>Наименование лота</w:t>
            </w:r>
          </w:p>
        </w:tc>
        <w:tc>
          <w:tcPr>
            <w:tcW w:w="5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0"/>
              <w:jc w:val="both"/>
              <w:rPr>
                <w:rFonts w:ascii="Liberation Serif" w:hAnsi="Liberation Serif" w:eastAsia="Times New Roman" w:cs="Times New Roman"/>
                <w:i/>
                <w:i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2"/>
                <w:szCs w:val="22"/>
                <w:lang w:val="ru-RU" w:eastAsia="en-US" w:bidi="ar-SA"/>
              </w:rPr>
              <w:t>ОКПД2 84.25.11.120 Оказание услуг технического обслуживания автоматических систем безопасности и установок противопожарной защиты зданий и сооружений филиала "Приморские электрические сети"</w:t>
            </w:r>
          </w:p>
        </w:tc>
      </w:tr>
      <w:tr>
        <w:trPr>
          <w:trHeight w:val="526" w:hRule="atLeast"/>
        </w:trPr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exact" w:line="360" w:before="120" w:after="120"/>
              <w:ind w:hanging="0" w:left="0" w:right="0"/>
              <w:contextualSpacing/>
              <w:jc w:val="both"/>
              <w:rPr>
                <w:rFonts w:ascii="Liberation Serif" w:hAnsi="Liberation Serif" w:eastAsia="Calibri"/>
                <w:sz w:val="22"/>
                <w:szCs w:val="26"/>
                <w:lang w:val="ru-RU" w:eastAsia="en-US"/>
              </w:rPr>
            </w:pPr>
            <w:r>
              <w:rPr>
                <w:rFonts w:eastAsia="Calibri" w:ascii="Liberation Serif" w:hAnsi="Liberation Serif"/>
                <w:sz w:val="22"/>
                <w:szCs w:val="26"/>
                <w:lang w:val="ru-RU" w:eastAsia="en-US"/>
              </w:rPr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Liberation Serif" w:hAnsi="Liberation Serif" w:eastAsia="Calibri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eastAsia="en-US" w:bidi="ar-SA"/>
              </w:rPr>
              <w:t>Номер лота</w:t>
            </w:r>
          </w:p>
        </w:tc>
        <w:tc>
          <w:tcPr>
            <w:tcW w:w="5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  <w:t>36301-ПРО ДЭК-2027-ДРСК-ПЭС</w:t>
            </w:r>
          </w:p>
        </w:tc>
      </w:tr>
      <w:tr>
        <w:trPr/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exact" w:line="360" w:before="120" w:after="120"/>
              <w:ind w:hanging="0" w:left="0" w:right="0"/>
              <w:contextualSpacing/>
              <w:jc w:val="both"/>
              <w:rPr>
                <w:rFonts w:ascii="Liberation Serif" w:hAnsi="Liberation Serif" w:eastAsia="Calibri"/>
                <w:sz w:val="22"/>
                <w:szCs w:val="26"/>
                <w:lang w:val="ru-RU" w:eastAsia="en-US"/>
              </w:rPr>
            </w:pPr>
            <w:r>
              <w:rPr>
                <w:rFonts w:eastAsia="Calibri" w:ascii="Liberation Serif" w:hAnsi="Liberation Serif"/>
                <w:sz w:val="22"/>
                <w:szCs w:val="26"/>
                <w:lang w:val="ru-RU" w:eastAsia="en-US"/>
              </w:rPr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Liberation Serif" w:hAnsi="Liberation Serif" w:eastAsia="Calibri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eastAsia="en-US" w:bidi="ar-SA"/>
              </w:rPr>
              <w:t>НМЦ лота</w:t>
            </w:r>
          </w:p>
        </w:tc>
        <w:tc>
          <w:tcPr>
            <w:tcW w:w="5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0" w:right="-108"/>
              <w:jc w:val="left"/>
              <w:rPr>
                <w:rFonts w:ascii="Liberation Serif" w:hAnsi="Liberation Serif"/>
                <w:lang w:val="ru-RU" w:eastAsia="en-US"/>
              </w:rPr>
            </w:pPr>
            <w:r>
              <w:rPr>
                <w:rFonts w:eastAsia="Calibri" w:cs="Times New Roman" w:ascii="Liberation Serif" w:hAnsi="Liberation Serif"/>
                <w:i/>
                <w:kern w:val="0"/>
                <w:sz w:val="22"/>
                <w:szCs w:val="22"/>
                <w:lang w:val="ru-RU" w:eastAsia="en-US" w:bidi="ar-SA"/>
              </w:rPr>
              <w:t>8 602 080,00</w:t>
            </w:r>
            <w:r>
              <w:rPr>
                <w:rFonts w:eastAsia="Calibri" w:cs="Times New Roman" w:ascii="Liberation Serif" w:hAnsi="Liberation Serif"/>
                <w:i/>
                <w:kern w:val="0"/>
                <w:sz w:val="22"/>
                <w:szCs w:val="22"/>
                <w:lang w:val="ru-RU" w:eastAsia="en-US" w:bidi="ar-SA"/>
              </w:rPr>
              <w:t xml:space="preserve"> рублей без учета НДС</w:t>
            </w:r>
          </w:p>
        </w:tc>
      </w:tr>
    </w:tbl>
    <w:p>
      <w:pPr>
        <w:pStyle w:val="Normal"/>
        <w:numPr>
          <w:ilvl w:val="0"/>
          <w:numId w:val="2"/>
        </w:numPr>
        <w:spacing w:lineRule="exact" w:line="360" w:before="120" w:after="120"/>
        <w:ind w:hanging="357" w:left="714" w:right="0"/>
        <w:jc w:val="both"/>
        <w:rPr>
          <w:rFonts w:ascii="Liberation Serif" w:hAnsi="Liberation Serif" w:eastAsia="Calibri"/>
          <w:b/>
          <w:sz w:val="26"/>
          <w:szCs w:val="26"/>
        </w:rPr>
      </w:pPr>
      <w:r>
        <w:rPr>
          <w:rFonts w:eastAsia="Calibri" w:ascii="Liberation Serif" w:hAnsi="Liberation Serif"/>
          <w:b/>
          <w:sz w:val="26"/>
          <w:szCs w:val="26"/>
        </w:rPr>
        <w:t>Использованный метод (методы) расчета НМЦ / цены единицы товара, работы, услуги:</w:t>
      </w:r>
    </w:p>
    <w:p>
      <w:pPr>
        <w:pStyle w:val="Normal"/>
        <w:keepNext w:val="true"/>
        <w:spacing w:before="0" w:after="0"/>
        <w:contextualSpacing/>
        <w:jc w:val="both"/>
        <w:rPr>
          <w:rFonts w:ascii="Liberation Serif" w:hAnsi="Liberation Serif" w:eastAsia="Calibri"/>
          <w:sz w:val="26"/>
          <w:szCs w:val="26"/>
        </w:rPr>
      </w:pPr>
      <w:r>
        <w:rPr>
          <w:rFonts w:eastAsia="Calibri" w:ascii="Liberation Serif" w:hAnsi="Liberation Serif"/>
          <w:sz w:val="26"/>
          <w:szCs w:val="26"/>
        </w:rPr>
        <w:t>Метод анализа договоров</w:t>
      </w:r>
    </w:p>
    <w:p>
      <w:pPr>
        <w:pStyle w:val="Normal"/>
        <w:keepNext w:val="true"/>
        <w:spacing w:before="0" w:after="1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sectPr>
      <w:headerReference w:type="default" r:id="rId2"/>
      <w:type w:val="nextPage"/>
      <w:pgSz w:w="11906" w:h="16838"/>
      <w:pgMar w:left="1701" w:right="709" w:gutter="0" w:header="964" w:top="1418" w:footer="0" w:bottom="1134"/>
      <w:pgNumType w:fmt="decimal"/>
      <w:formProt w:val="false"/>
      <w:titlePg/>
      <w:textDirection w:val="lrTb"/>
      <w:docGrid w:type="default" w:linePitch="326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0</w:t>
    </w:r>
    <w:r>
      <w:rPr>
        <w:rFonts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3"/>
  <w:defaultTabStop w:val="286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kern w:val="2"/>
        <w:sz w:val="24"/>
        <w:lang w:val="en-US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Geneva CY" w:hAnsi="Geneva CY" w:eastAsia="Geneva" w:cs="Times New Roman"/>
      <w:color w:val="00000A"/>
      <w:kern w:val="0"/>
      <w:sz w:val="24"/>
      <w:szCs w:val="20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9">
    <w:name w:val="Верхний колонтитул Знак"/>
    <w:qFormat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Pr/>
  </w:style>
  <w:style w:type="character" w:styleId="Style10">
    <w:name w:val="Текст выноски Знак"/>
    <w:qFormat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11">
    <w:name w:val="Нижний колонтитул Знак"/>
    <w:basedOn w:val="DefaultParagraphFont"/>
    <w:qFormat/>
    <w:rPr>
      <w:rFonts w:ascii="Geneva CY" w:hAnsi="Geneva CY" w:eastAsia="Geneva"/>
      <w:sz w:val="24"/>
      <w:lang w:val="ru-RU" w:eastAsia="en-US"/>
    </w:rPr>
  </w:style>
  <w:style w:type="character" w:styleId="Style12">
    <w:name w:val="Текст сноски Знак"/>
    <w:basedOn w:val="DefaultParagraphFont"/>
    <w:qFormat/>
    <w:rPr>
      <w:rFonts w:ascii="Geneva CY" w:hAnsi="Geneva CY" w:eastAsia="Geneva"/>
      <w:lang w:val="ru-RU" w:eastAsia="en-US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Style13">
    <w:name w:val="Символ сноски"/>
    <w:qFormat/>
    <w:rPr/>
  </w:style>
  <w:style w:type="character" w:styleId="EndnoteReference">
    <w:name w:val="Endnote Reference"/>
    <w:rPr>
      <w:vertAlign w:val="superscript"/>
    </w:rPr>
  </w:style>
  <w:style w:type="character" w:styleId="Style14">
    <w:name w:val="Символ концевой сноски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286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qFormat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Footer">
    <w:name w:val="Footer"/>
    <w:basedOn w:val="Normal"/>
    <w:pPr>
      <w:tabs>
        <w:tab w:val="clear" w:pos="286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pPr/>
    <w:rPr>
      <w:sz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ascii="Times New Roman" w:hAnsi="Times New Roman" w:eastAsia="Times New Roman"/>
      <w:szCs w:val="24"/>
      <w:lang w:eastAsia="ru-RU"/>
    </w:rPr>
  </w:style>
  <w:style w:type="paragraph" w:styleId="Style18">
    <w:name w:val="Содержимое врезки"/>
    <w:basedOn w:val="Normal"/>
    <w:qFormat/>
    <w:pPr/>
    <w:rPr/>
  </w:style>
  <w:style w:type="paragraph" w:styleId="Style19">
    <w:name w:val="Содержимое таблицы"/>
    <w:basedOn w:val="Normal"/>
    <w:qFormat/>
    <w:pPr/>
    <w:rPr/>
  </w:style>
  <w:style w:type="numbering" w:styleId="Style20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Application>AlterOffice/2026.2.1.0$Linux_X86_64 LibreOffice_project/f008988ffacaa0b2bf57911c2759d08ca79831df</Application>
  <AppVersion>15.0000</AppVersion>
  <Pages>1</Pages>
  <Words>74</Words>
  <Characters>488</Characters>
  <CharactersWithSpaces>543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2021-07-05T12:53:00Z</dcterms:created>
  <dc:creator>Andrey Zhurin</dc:creator>
  <dc:description/>
  <dc:language>ru-RU</dc:language>
  <cp:lastModifiedBy>zayarnaya_gs</cp:lastModifiedBy>
  <cp:lastPrinted>2021-07-02T09:19:00Z</cp:lastPrinted>
  <dcterms:modified xsi:type="dcterms:W3CDTF">2026-09-24T10:42:36Z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