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bookmarkStart w:id="0" w:name="_GoBack"/>
      <w:bookmarkStart w:id="1" w:name="_GoBack"/>
      <w:bookmarkEnd w:id="1"/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>
      <w:pPr>
        <w:pStyle w:val="Normal"/>
        <w:keepNext w:val="true"/>
        <w:numPr>
          <w:ilvl w:val="0"/>
          <w:numId w:val="0"/>
        </w:numPr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ТЕХНИЧЕСКИЕ ТРЕБОВАНИЯ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ОКПД2 08.12.11.120. Поставка песка кварцевого фракционированного для нужд Саратовского филиала</w:t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Heading1"/>
        <w:numPr>
          <w:ilvl w:val="0"/>
          <w:numId w:val="3"/>
        </w:numPr>
        <w:ind w:hanging="0" w:left="0"/>
        <w:jc w:val="center"/>
        <w:rPr/>
      </w:pPr>
      <w:bookmarkStart w:id="2" w:name="_Toc46743506"/>
      <w:bookmarkStart w:id="3" w:name="_Toc75446568"/>
      <w:r>
        <w:rPr>
          <w:lang w:val="ru-RU"/>
        </w:rPr>
        <w:t>Общие сведения</w:t>
      </w:r>
    </w:p>
    <w:p>
      <w:pPr>
        <w:pStyle w:val="Heading4"/>
        <w:numPr>
          <w:ilvl w:val="1"/>
          <w:numId w:val="3"/>
        </w:numPr>
        <w:ind w:hanging="426" w:left="426"/>
        <w:rPr/>
      </w:pPr>
      <w:bookmarkStart w:id="4" w:name="_Toc46743506"/>
      <w:bookmarkStart w:id="5" w:name="_Toc75446568"/>
      <w:r>
        <w:rPr/>
        <w:t>Наименование закупаемой продукции</w:t>
      </w:r>
      <w:bookmarkEnd w:id="4"/>
      <w:bookmarkEnd w:id="5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bCs/>
          <w:sz w:val="24"/>
          <w:szCs w:val="24"/>
        </w:rPr>
      </w:pPr>
      <w:r>
        <w:rPr>
          <w:rFonts w:eastAsia="Calibri"/>
          <w:sz w:val="24"/>
          <w:szCs w:val="24"/>
          <w:lang w:eastAsia="x-none"/>
        </w:rPr>
        <w:t>ОКПД2 08.12.11.120. Поставка песка кварцевого фракционированного для нужд Саратовского филиала.</w:t>
      </w:r>
    </w:p>
    <w:p>
      <w:pPr>
        <w:pStyle w:val="Heading4"/>
        <w:numPr>
          <w:ilvl w:val="1"/>
          <w:numId w:val="3"/>
        </w:numPr>
        <w:spacing w:before="240" w:after="60"/>
        <w:ind w:hanging="431" w:left="431"/>
        <w:rPr/>
      </w:pPr>
      <w:bookmarkStart w:id="6" w:name="_Toc75446569"/>
      <w:bookmarkStart w:id="7" w:name="_Toc46743507"/>
      <w:r>
        <w:rPr/>
        <w:t xml:space="preserve">Цель </w:t>
      </w:r>
      <w:bookmarkEnd w:id="7"/>
      <w:r>
        <w:rPr>
          <w:lang w:val="ru-RU"/>
        </w:rPr>
        <w:t xml:space="preserve">использования закупаемой продукции </w:t>
      </w:r>
      <w:bookmarkEnd w:id="6"/>
      <w:r>
        <w:rPr/>
        <w:t xml:space="preserve">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jc w:val="both"/>
        <w:rPr>
          <w:rStyle w:val="Style8"/>
          <w:b w:val="false"/>
          <w:bCs/>
          <w:i w:val="false"/>
          <w:i w:val="false"/>
          <w:sz w:val="24"/>
          <w:szCs w:val="24"/>
          <w:shd w:fill="FFFFFF" w:val="clear"/>
        </w:rPr>
      </w:pPr>
      <w:r>
        <w:rPr>
          <w:rStyle w:val="Style8"/>
          <w:b w:val="false"/>
          <w:bCs/>
          <w:i w:val="false"/>
          <w:sz w:val="24"/>
          <w:szCs w:val="24"/>
          <w:shd w:fill="FFFFFF" w:val="clear"/>
        </w:rPr>
        <w:t xml:space="preserve">Продукция предназначена </w:t>
      </w:r>
      <w:r>
        <w:rPr>
          <w:rFonts w:eastAsia="Calibri"/>
          <w:sz w:val="24"/>
          <w:szCs w:val="24"/>
          <w:lang w:eastAsia="x-none"/>
        </w:rPr>
        <w:t>для выполнения работ по к</w:t>
      </w:r>
      <w:r>
        <w:rPr>
          <w:rStyle w:val="Style8"/>
          <w:b w:val="false"/>
          <w:bCs/>
          <w:i w:val="false"/>
          <w:sz w:val="24"/>
          <w:szCs w:val="24"/>
          <w:shd w:fill="FFFFFF" w:val="clear"/>
        </w:rPr>
        <w:t>апитальному ремонту затворов филиала ПАО «РусГидро» – «Саратовская ГЭС» в целях исполнения договора подряда № 1300-355-2023 от 02.11.2023 «Капитальный и текущий ремонт оборудования, зданий и сооружений»», заключенного между ПАО «РусГидро» и АО «Гидроремонт-ВКК».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jc w:val="both"/>
        <w:rPr>
          <w:rStyle w:val="Style8"/>
          <w:b w:val="false"/>
          <w:bCs/>
          <w:i w:val="false"/>
          <w:i w:val="false"/>
          <w:sz w:val="24"/>
          <w:szCs w:val="24"/>
          <w:shd w:fill="FFFFFF" w:val="clear"/>
        </w:rPr>
      </w:pPr>
      <w:r>
        <w:rPr>
          <w:rStyle w:val="Style8"/>
          <w:b w:val="false"/>
          <w:bCs/>
          <w:i w:val="false"/>
          <w:sz w:val="24"/>
          <w:szCs w:val="24"/>
          <w:shd w:fill="FFFFFF" w:val="clear"/>
        </w:rPr>
        <w:t xml:space="preserve"> </w:t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iCs/>
          <w:caps/>
          <w:lang w:val="ru-RU"/>
        </w:rPr>
      </w:pPr>
      <w:bookmarkStart w:id="8" w:name="_Toc46743510"/>
      <w:bookmarkStart w:id="9" w:name="_Toc50125126"/>
      <w:bookmarkStart w:id="10" w:name="_Toc75446573"/>
      <w:bookmarkStart w:id="11" w:name="_Toc51339693"/>
      <w:bookmarkEnd w:id="9"/>
      <w:r>
        <w:rPr>
          <w:iCs/>
        </w:rPr>
        <w:t>Требования к продукции</w:t>
      </w:r>
      <w:bookmarkEnd w:id="10"/>
      <w:bookmarkEnd w:id="11"/>
    </w:p>
    <w:p>
      <w:pPr>
        <w:pStyle w:val="Heading4"/>
        <w:numPr>
          <w:ilvl w:val="1"/>
          <w:numId w:val="3"/>
        </w:numPr>
        <w:ind w:hanging="425" w:left="567"/>
        <w:rPr/>
      </w:pPr>
      <w:bookmarkStart w:id="12" w:name="_Toc75446574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12"/>
    </w:p>
    <w:p>
      <w:pPr>
        <w:pStyle w:val="Heading3"/>
        <w:numPr>
          <w:ilvl w:val="2"/>
          <w:numId w:val="3"/>
        </w:numPr>
        <w:rPr/>
      </w:pPr>
      <w:bookmarkStart w:id="13" w:name="_Toc75446575"/>
      <w:r>
        <w:rPr>
          <w:lang w:val="ru-RU"/>
        </w:rPr>
        <w:t>Перечень и объем закупаемой продукции</w:t>
      </w:r>
      <w:bookmarkEnd w:id="13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  <w:lang w:val="ru-RU"/>
        </w:rPr>
      </w:pPr>
      <w:bookmarkStart w:id="14" w:name="_Toc75446576"/>
      <w:bookmarkStart w:id="15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5"/>
      <w:r>
        <w:rPr>
          <w:sz w:val="24"/>
          <w:szCs w:val="24"/>
          <w:lang w:val="ru-RU"/>
        </w:rPr>
        <w:t>и объем закупаемой продукции</w:t>
      </w:r>
      <w:bookmarkEnd w:id="14"/>
    </w:p>
    <w:tbl>
      <w:tblPr>
        <w:tblW w:w="981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737"/>
        <w:gridCol w:w="4536"/>
        <w:gridCol w:w="2411"/>
        <w:gridCol w:w="2125"/>
      </w:tblGrid>
      <w:tr>
        <w:trPr>
          <w:tblHeader w:val="true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655" w:hRule="atLeast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7"/>
              </w:numPr>
              <w:suppressAutoHyphens w:val="true"/>
              <w:rPr/>
            </w:pPr>
            <w:r>
              <w:rPr/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keepNext w:val="true"/>
              <w:suppressAutoHyphens w:val="tru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 xml:space="preserve">ОКПД2 08.12.11.120. </w:t>
            </w:r>
            <w:r>
              <w:rPr>
                <w:sz w:val="24"/>
                <w:szCs w:val="24"/>
              </w:rPr>
              <w:t>Песок кварцевый фракционированный,</w:t>
            </w:r>
            <w:r>
              <w:rPr/>
              <w:t xml:space="preserve"> </w:t>
            </w:r>
            <w:r>
              <w:rPr>
                <w:sz w:val="24"/>
                <w:szCs w:val="24"/>
              </w:rPr>
              <w:t>фракция 0,63мм -1,6мм</w:t>
            </w:r>
            <w:r>
              <w:rPr>
                <w:rFonts w:eastAsia="Calibri"/>
                <w:sz w:val="24"/>
                <w:szCs w:val="24"/>
                <w:lang w:eastAsia="x-none"/>
              </w:rPr>
              <w:t xml:space="preserve">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тн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</w:tr>
    </w:tbl>
    <w:p>
      <w:pPr>
        <w:pStyle w:val="Heading3"/>
        <w:numPr>
          <w:ilvl w:val="0"/>
          <w:numId w:val="0"/>
        </w:numPr>
        <w:ind w:hanging="0" w:left="1224"/>
        <w:rPr>
          <w:lang w:val="ru-RU"/>
        </w:rPr>
      </w:pPr>
      <w:r>
        <w:rPr>
          <w:lang w:val="ru-RU"/>
        </w:rPr>
      </w:r>
    </w:p>
    <w:p>
      <w:pPr>
        <w:pStyle w:val="Heading3"/>
        <w:numPr>
          <w:ilvl w:val="2"/>
          <w:numId w:val="3"/>
        </w:numPr>
        <w:rPr>
          <w:lang w:val="ru-RU"/>
        </w:rPr>
      </w:pPr>
      <w:r>
        <w:rPr>
          <w:lang w:val="ru-RU"/>
        </w:rPr>
        <w:t xml:space="preserve">Требования к срокам поставки продукции </w:t>
      </w:r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  <w:lang w:val="ru-RU"/>
        </w:rPr>
      </w:pPr>
      <w:bookmarkStart w:id="16" w:name="_Toc50125126"/>
      <w:bookmarkStart w:id="17" w:name="_Toc75446579"/>
      <w:bookmarkStart w:id="18" w:name="_Toc51339697"/>
      <w:bookmarkStart w:id="19" w:name="_Toc50125127"/>
      <w:bookmarkEnd w:id="16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20" w:name="_Hlk50465284"/>
      <w:r>
        <w:rPr>
          <w:sz w:val="24"/>
          <w:szCs w:val="24"/>
        </w:rPr>
        <w:t xml:space="preserve">Требования по срокам </w:t>
      </w:r>
      <w:bookmarkEnd w:id="18"/>
      <w:bookmarkEnd w:id="19"/>
      <w:bookmarkEnd w:id="20"/>
      <w:r>
        <w:rPr>
          <w:sz w:val="24"/>
          <w:szCs w:val="24"/>
          <w:lang w:val="ru-RU"/>
        </w:rPr>
        <w:t>поставки продукции</w:t>
      </w:r>
      <w:bookmarkEnd w:id="17"/>
      <w:r>
        <w:rPr>
          <w:sz w:val="24"/>
          <w:szCs w:val="24"/>
          <w:lang w:val="ru-RU"/>
        </w:rPr>
        <w:t xml:space="preserve"> </w:t>
      </w:r>
    </w:p>
    <w:tbl>
      <w:tblPr>
        <w:tblW w:w="9781" w:type="dxa"/>
        <w:jc w:val="left"/>
        <w:tblInd w:w="13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04"/>
        <w:gridCol w:w="3123"/>
        <w:gridCol w:w="2976"/>
        <w:gridCol w:w="2977"/>
      </w:tblGrid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>
          <w:trHeight w:val="146" w:hRule="atLeast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7"/>
              <w:keepNext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7"/>
              <w:keepNext w:val="false"/>
              <w:spacing w:before="40" w:after="40"/>
              <w:jc w:val="center"/>
              <w:rPr>
                <w:sz w:val="24"/>
                <w:szCs w:val="24"/>
              </w:rPr>
            </w:pPr>
            <w:bookmarkStart w:id="21" w:name="_Toc46743510"/>
            <w:r>
              <w:rPr>
                <w:b/>
                <w:sz w:val="24"/>
                <w:szCs w:val="24"/>
              </w:rPr>
              <w:t>4</w:t>
            </w:r>
            <w:bookmarkEnd w:id="21"/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8"/>
              </w:numPr>
              <w:suppressAutoHyphens w:val="true"/>
              <w:rPr/>
            </w:pPr>
            <w:r>
              <w:rPr/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 xml:space="preserve">ОКПД2 08.12.11.120.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>
                <w:bCs/>
                <w:i/>
                <w:i/>
                <w:sz w:val="24"/>
                <w:szCs w:val="24"/>
                <w:shd w:fill="FFFF99" w:val="clear"/>
              </w:rPr>
            </w:pPr>
            <w:r>
              <w:rPr>
                <w:sz w:val="24"/>
                <w:szCs w:val="24"/>
              </w:rPr>
              <w:t>Песок кварцевый фракционированный,</w:t>
            </w:r>
            <w:r>
              <w:rPr/>
              <w:t xml:space="preserve"> </w:t>
            </w:r>
            <w:r>
              <w:rPr>
                <w:sz w:val="24"/>
                <w:szCs w:val="24"/>
              </w:rPr>
              <w:t xml:space="preserve">фракция 0,63мм -1,6мм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 сторонами по заявкам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right="-1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поставки по конкретной заявке устанавливается в заявке. Заявка на соответствующую партию продукции направляется по факсу/электронной почте/нарочно Поставщику в срок не менее 20 календарных дней до даты поставки (ориентировочное количество заявок-спецификаций - 2). Конечный срок поставки Продукции 15.03.2027*</w:t>
            </w:r>
          </w:p>
          <w:p>
            <w:pPr>
              <w:pStyle w:val="Normal"/>
              <w:ind w:right="-1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1276"/>
          <w:pgNumType w:fmt="decimal"/>
          <w:formProt w:val="false"/>
          <w:titlePg/>
          <w:textDirection w:val="lrTb"/>
          <w:docGrid w:type="default" w:linePitch="360" w:charSpace="0"/>
        </w:sectPr>
        <w:pStyle w:val="Normal"/>
        <w:keepNext w:val="true"/>
        <w:jc w:val="both"/>
        <w:rPr>
          <w:rFonts w:eastAsia="Calibri"/>
          <w:b/>
          <w:sz w:val="24"/>
          <w:szCs w:val="24"/>
          <w:lang w:eastAsia="x-none"/>
        </w:rPr>
      </w:pPr>
      <w:r>
        <w:rPr>
          <w:i/>
          <w:iCs/>
          <w:sz w:val="24"/>
          <w:szCs w:val="24"/>
        </w:rPr>
        <w:t>*срок установлен в соответствии с условиями договора, указанного в п. 1.2. Технических требований</w:t>
      </w:r>
      <w:r>
        <w:rPr>
          <w:i/>
          <w:iCs/>
          <w:sz w:val="24"/>
          <w:szCs w:val="24"/>
          <w:lang w:val="en-US"/>
        </w:rPr>
        <w:t>.</w:t>
      </w:r>
    </w:p>
    <w:p>
      <w:pPr>
        <w:pStyle w:val="Heading4"/>
        <w:numPr>
          <w:ilvl w:val="1"/>
          <w:numId w:val="3"/>
        </w:numPr>
        <w:tabs>
          <w:tab w:val="clear" w:pos="708"/>
          <w:tab w:val="left" w:pos="426" w:leader="none"/>
        </w:tabs>
        <w:ind w:hanging="142" w:left="142"/>
        <w:rPr/>
      </w:pPr>
      <w:bookmarkStart w:id="22" w:name="_Toc51339698"/>
      <w:bookmarkStart w:id="23" w:name="_Toc75446581"/>
      <w:bookmarkStart w:id="24" w:name="_Toc46743511"/>
      <w:r>
        <w:rPr/>
        <w:t xml:space="preserve">Требования к </w:t>
      </w:r>
      <w:bookmarkEnd w:id="24"/>
      <w:r>
        <w:rPr>
          <w:lang w:val="ru-RU"/>
        </w:rPr>
        <w:t>качеству продукции</w:t>
      </w:r>
      <w:bookmarkEnd w:id="23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</w:rPr>
      </w:pPr>
      <w:bookmarkStart w:id="25" w:name="_Toc75446582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25"/>
      <w:r>
        <w:rPr>
          <w:sz w:val="24"/>
          <w:szCs w:val="24"/>
        </w:rPr>
        <w:t xml:space="preserve"> </w:t>
      </w:r>
      <w:bookmarkEnd w:id="22"/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jc w:val="both"/>
        <w:rPr>
          <w:b/>
          <w:bCs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 xml:space="preserve">Наименование продукции (позиция № 1 Таблицы 1.1. «Перечень и объем закупаемой продукции»): </w:t>
      </w:r>
    </w:p>
    <w:p>
      <w:pPr>
        <w:pStyle w:val="Normal"/>
        <w:jc w:val="both"/>
        <w:rPr>
          <w:rStyle w:val="Style8"/>
          <w:b w:val="false"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>ОКПД2 08.12.11.120.</w:t>
      </w:r>
      <w:r>
        <w:rPr>
          <w:rFonts w:eastAsia="Calibri"/>
          <w:sz w:val="24"/>
          <w:szCs w:val="24"/>
          <w:lang w:eastAsia="x-none"/>
        </w:rPr>
        <w:t xml:space="preserve"> </w:t>
      </w:r>
      <w:r>
        <w:rPr>
          <w:b/>
          <w:bCs/>
          <w:iCs/>
          <w:sz w:val="24"/>
          <w:szCs w:val="24"/>
        </w:rPr>
        <w:t>Песок кварцевый фракционированный, фракция 0,63мм -1,6мм</w:t>
      </w:r>
    </w:p>
    <w:tbl>
      <w:tblPr>
        <w:tblStyle w:val="af"/>
        <w:tblW w:w="495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093"/>
        <w:gridCol w:w="2329"/>
        <w:gridCol w:w="1962"/>
        <w:gridCol w:w="2835"/>
        <w:gridCol w:w="3098"/>
        <w:gridCol w:w="3809"/>
      </w:tblGrid>
      <w:tr>
        <w:trPr>
          <w:tblHeader w:val="true"/>
        </w:trPr>
        <w:tc>
          <w:tcPr>
            <w:tcW w:w="1093" w:type="dxa"/>
            <w:vMerge w:val="restart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32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4797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6907" w:type="dxa"/>
            <w:gridSpan w:val="2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</w:tr>
      <w:tr>
        <w:trPr>
          <w:tblHeader w:val="true"/>
        </w:trPr>
        <w:tc>
          <w:tcPr>
            <w:tcW w:w="10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32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4797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098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809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1093" w:type="dxa"/>
            <w:tcBorders/>
            <w:vAlign w:val="center"/>
          </w:tcPr>
          <w:p>
            <w:pPr>
              <w:pStyle w:val="Normal"/>
              <w:widowControl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329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4797" w:type="dxa"/>
            <w:gridSpan w:val="2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3098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3809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</w:tr>
      <w:tr>
        <w:trPr/>
        <w:tc>
          <w:tcPr>
            <w:tcW w:w="1093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126" w:type="dxa"/>
            <w:gridSpan w:val="3"/>
            <w:tcBorders/>
            <w:vAlign w:val="center"/>
          </w:tcPr>
          <w:p>
            <w:pPr>
              <w:pStyle w:val="Normal"/>
              <w:widowControl/>
              <w:spacing w:before="20" w:after="0"/>
              <w:jc w:val="left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Требования к гранулометрическому составу</w:t>
            </w:r>
          </w:p>
        </w:tc>
        <w:tc>
          <w:tcPr>
            <w:tcW w:w="3098" w:type="dxa"/>
            <w:tcBorders/>
          </w:tcPr>
          <w:p>
            <w:pPr>
              <w:pStyle w:val="Normal"/>
              <w:widowControl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809" w:type="dxa"/>
            <w:tcBorders/>
          </w:tcPr>
          <w:p>
            <w:pPr>
              <w:pStyle w:val="Normal"/>
              <w:widowControl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093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291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pacing w:before="2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Содержание основной фракции не менее, %</w:t>
            </w:r>
          </w:p>
        </w:tc>
        <w:tc>
          <w:tcPr>
            <w:tcW w:w="2835" w:type="dxa"/>
            <w:tcBorders/>
            <w:vAlign w:val="center"/>
          </w:tcPr>
          <w:p>
            <w:pPr>
              <w:pStyle w:val="Normal"/>
              <w:widowControl/>
              <w:spacing w:before="2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90</w:t>
            </w:r>
          </w:p>
        </w:tc>
        <w:tc>
          <w:tcPr>
            <w:tcW w:w="3098" w:type="dxa"/>
            <w:vMerge w:val="restart"/>
            <w:tcBorders/>
          </w:tcPr>
          <w:p>
            <w:pPr>
              <w:pStyle w:val="Normal"/>
              <w:widowControl/>
              <w:spacing w:before="2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380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4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1093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291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pacing w:before="2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Содержание фракции плюс не более, %</w:t>
            </w:r>
          </w:p>
        </w:tc>
        <w:tc>
          <w:tcPr>
            <w:tcW w:w="2835" w:type="dxa"/>
            <w:tcBorders/>
            <w:vAlign w:val="center"/>
          </w:tcPr>
          <w:p>
            <w:pPr>
              <w:pStyle w:val="Normal"/>
              <w:widowControl/>
              <w:spacing w:before="2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5</w:t>
            </w:r>
          </w:p>
        </w:tc>
        <w:tc>
          <w:tcPr>
            <w:tcW w:w="3098" w:type="dxa"/>
            <w:vMerge w:val="continue"/>
            <w:tcBorders/>
          </w:tcPr>
          <w:p>
            <w:pPr>
              <w:pStyle w:val="Normal"/>
              <w:widowControl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80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4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1093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291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pacing w:before="2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Содержание фракции минус не более, %</w:t>
            </w:r>
          </w:p>
        </w:tc>
        <w:tc>
          <w:tcPr>
            <w:tcW w:w="2835" w:type="dxa"/>
            <w:tcBorders/>
            <w:vAlign w:val="center"/>
          </w:tcPr>
          <w:p>
            <w:pPr>
              <w:pStyle w:val="Normal"/>
              <w:widowControl/>
              <w:spacing w:before="2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5</w:t>
            </w:r>
          </w:p>
        </w:tc>
        <w:tc>
          <w:tcPr>
            <w:tcW w:w="3098" w:type="dxa"/>
            <w:vMerge w:val="continue"/>
            <w:tcBorders/>
          </w:tcPr>
          <w:p>
            <w:pPr>
              <w:pStyle w:val="Normal"/>
              <w:widowControl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80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4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  <w:tr>
        <w:trPr>
          <w:trHeight w:val="85" w:hRule="atLeast"/>
        </w:trPr>
        <w:tc>
          <w:tcPr>
            <w:tcW w:w="1093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126" w:type="dxa"/>
            <w:gridSpan w:val="3"/>
            <w:tcBorders/>
            <w:vAlign w:val="center"/>
          </w:tcPr>
          <w:p>
            <w:pPr>
              <w:pStyle w:val="Normal"/>
              <w:widowControl/>
              <w:spacing w:before="2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химическому составу </w:t>
            </w:r>
          </w:p>
        </w:tc>
        <w:tc>
          <w:tcPr>
            <w:tcW w:w="3098" w:type="dxa"/>
            <w:vMerge w:val="continue"/>
            <w:tcBorders/>
          </w:tcPr>
          <w:p>
            <w:pPr>
              <w:pStyle w:val="Normal"/>
              <w:widowControl/>
              <w:spacing w:before="2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809" w:type="dxa"/>
            <w:tcBorders/>
          </w:tcPr>
          <w:p>
            <w:pPr>
              <w:pStyle w:val="Normal"/>
              <w:widowControl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093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291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pacing w:before="2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Массовая доля глинистой составляющей не более, %</w:t>
            </w:r>
          </w:p>
        </w:tc>
        <w:tc>
          <w:tcPr>
            <w:tcW w:w="2835" w:type="dxa"/>
            <w:tcBorders/>
            <w:vAlign w:val="center"/>
          </w:tcPr>
          <w:p>
            <w:pPr>
              <w:pStyle w:val="Normal"/>
              <w:widowControl/>
              <w:spacing w:before="2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0,15</w:t>
            </w:r>
          </w:p>
        </w:tc>
        <w:tc>
          <w:tcPr>
            <w:tcW w:w="3098" w:type="dxa"/>
            <w:vMerge w:val="continue"/>
            <w:tcBorders/>
          </w:tcPr>
          <w:p>
            <w:pPr>
              <w:pStyle w:val="Normal"/>
              <w:widowControl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80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4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1093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291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pacing w:before="2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Массовая доля оксида кремния (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SO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  <w:lang w:val="ru-RU" w:eastAsia="ru-RU" w:bidi="ar-SA"/>
              </w:rPr>
              <w:t>2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) не менее, %</w:t>
            </w:r>
          </w:p>
        </w:tc>
        <w:tc>
          <w:tcPr>
            <w:tcW w:w="2835" w:type="dxa"/>
            <w:tcBorders/>
            <w:vAlign w:val="center"/>
          </w:tcPr>
          <w:p>
            <w:pPr>
              <w:pStyle w:val="Normal"/>
              <w:widowControl/>
              <w:spacing w:before="2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98</w:t>
            </w:r>
          </w:p>
        </w:tc>
        <w:tc>
          <w:tcPr>
            <w:tcW w:w="3098" w:type="dxa"/>
            <w:vMerge w:val="continue"/>
            <w:tcBorders/>
          </w:tcPr>
          <w:p>
            <w:pPr>
              <w:pStyle w:val="Normal"/>
              <w:widowControl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80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4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1093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126" w:type="dxa"/>
            <w:gridSpan w:val="3"/>
            <w:tcBorders/>
            <w:vAlign w:val="center"/>
          </w:tcPr>
          <w:p>
            <w:pPr>
              <w:pStyle w:val="Normal"/>
              <w:widowControl/>
              <w:spacing w:before="2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поставке, маркировке, упаковке, транспортировке, приемке </w:t>
            </w:r>
          </w:p>
        </w:tc>
        <w:tc>
          <w:tcPr>
            <w:tcW w:w="3098" w:type="dxa"/>
            <w:vMerge w:val="restart"/>
            <w:tcBorders/>
          </w:tcPr>
          <w:p>
            <w:pPr>
              <w:pStyle w:val="Normal"/>
              <w:widowControl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3809" w:type="dxa"/>
            <w:tcBorders/>
          </w:tcPr>
          <w:p>
            <w:pPr>
              <w:pStyle w:val="Normal"/>
              <w:widowControl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093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32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Место поставки</w:t>
            </w:r>
          </w:p>
        </w:tc>
        <w:tc>
          <w:tcPr>
            <w:tcW w:w="479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РФ, 413865, Саратовская обл., г. Балаково, ул. Заовражная д.48</w:t>
            </w:r>
          </w:p>
        </w:tc>
        <w:tc>
          <w:tcPr>
            <w:tcW w:w="3098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809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4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1093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329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Поставка</w:t>
            </w:r>
          </w:p>
        </w:tc>
        <w:tc>
          <w:tcPr>
            <w:tcW w:w="4797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обеспечить поставку продукции собственными силами и средствами, а при необходимости привлекать для исполнения своих обязательств третьих лиц. При привлечении третьих лиц (соисполнителей) Поставщик несет ответственность перед Покупателем за неисполнение или ненадлежащее исполнение обязательств привлеченными к исполнению договора третьими лицами.</w:t>
            </w:r>
          </w:p>
        </w:tc>
        <w:tc>
          <w:tcPr>
            <w:tcW w:w="3098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809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4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1093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329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Объем упаковки</w:t>
            </w:r>
          </w:p>
        </w:tc>
        <w:tc>
          <w:tcPr>
            <w:tcW w:w="4797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Биг  Бэг – 1 тн</w:t>
            </w:r>
          </w:p>
        </w:tc>
        <w:tc>
          <w:tcPr>
            <w:tcW w:w="3098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80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4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1093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329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Маркировка</w:t>
            </w:r>
          </w:p>
        </w:tc>
        <w:tc>
          <w:tcPr>
            <w:tcW w:w="4797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 каждой упаковке полное наименование продукции</w:t>
            </w:r>
          </w:p>
        </w:tc>
        <w:tc>
          <w:tcPr>
            <w:tcW w:w="3098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80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4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1093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329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Приемка</w:t>
            </w:r>
          </w:p>
        </w:tc>
        <w:tc>
          <w:tcPr>
            <w:tcW w:w="4797" w:type="dxa"/>
            <w:gridSpan w:val="2"/>
            <w:tcBorders/>
          </w:tcPr>
          <w:p>
            <w:pPr>
              <w:pStyle w:val="Normal"/>
              <w:widowControl/>
              <w:tabs>
                <w:tab w:val="clear" w:pos="708"/>
                <w:tab w:val="left" w:pos="127" w:leader="none"/>
                <w:tab w:val="left" w:pos="269" w:leader="none"/>
              </w:tabs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Поставка производится на склад Грузополучателя в г. Балаково в рабочие дни с 8-00 до 12-00 и с 13-00 до 16-00 (по местному времени)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 поставке продукции поставщик обеспечивает сохранность упаковки продукции.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Соответствие продукции и представленных документов договору и техническим требованиям.</w:t>
            </w:r>
          </w:p>
        </w:tc>
        <w:tc>
          <w:tcPr>
            <w:tcW w:w="3098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80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4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1093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126" w:type="dxa"/>
            <w:gridSpan w:val="3"/>
            <w:tcBorders/>
            <w:vAlign w:val="center"/>
          </w:tcPr>
          <w:p>
            <w:pPr>
              <w:pStyle w:val="Normal"/>
              <w:widowControl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3098" w:type="dxa"/>
            <w:vMerge w:val="continue"/>
            <w:tcBorders/>
          </w:tcPr>
          <w:p>
            <w:pPr>
              <w:pStyle w:val="Normal"/>
              <w:widowControl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809" w:type="dxa"/>
            <w:tcBorders/>
          </w:tcPr>
          <w:p>
            <w:pPr>
              <w:pStyle w:val="Normal"/>
              <w:widowControl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093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329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Гарантия, не менее</w:t>
            </w:r>
          </w:p>
        </w:tc>
        <w:tc>
          <w:tcPr>
            <w:tcW w:w="4797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12 месяцев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,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x-none" w:bidi="ar-SA"/>
              </w:rPr>
              <w:t>исчисляется с даты подписания Сторонами соответствующей товарной накладной по форме ТОРГ-12 или Универсального передаточного документа (УПД), но не менее гарантийного срока изготовителя (производителя) продукции.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x-none" w:bidi="ar-SA"/>
              </w:rPr>
              <w:t>Условия выполнения гарантийных обязательств поставщика или производителя не должны включать требование привлечения, специально аккредитованных производителем организаций или специалистов.</w:t>
            </w:r>
          </w:p>
        </w:tc>
        <w:tc>
          <w:tcPr>
            <w:tcW w:w="3098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80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4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1093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126" w:type="dxa"/>
            <w:gridSpan w:val="3"/>
            <w:tcBorders/>
            <w:vAlign w:val="center"/>
          </w:tcPr>
          <w:p>
            <w:pPr>
              <w:pStyle w:val="Normal"/>
              <w:widowControl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3098" w:type="dxa"/>
            <w:vMerge w:val="continue"/>
            <w:tcBorders/>
          </w:tcPr>
          <w:p>
            <w:pPr>
              <w:pStyle w:val="Normal"/>
              <w:widowControl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809" w:type="dxa"/>
            <w:tcBorders/>
          </w:tcPr>
          <w:p>
            <w:pPr>
              <w:pStyle w:val="Normal"/>
              <w:widowControl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093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3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Документ о качестве продукции на русском языке</w:t>
            </w:r>
          </w:p>
        </w:tc>
        <w:tc>
          <w:tcPr>
            <w:tcW w:w="4797" w:type="dxa"/>
            <w:gridSpan w:val="2"/>
            <w:tcBorders>
              <w:top w:val="outset" w:sz="6" w:space="0" w:color="000000"/>
              <w:bottom w:val="outset" w:sz="6" w:space="0" w:color="000000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Предоставляется при поставке с указанием: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количества продукции;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соответствия нормативным показателям;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даты выдачи;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отметки о проверке ОТК.</w:t>
            </w:r>
          </w:p>
        </w:tc>
        <w:tc>
          <w:tcPr>
            <w:tcW w:w="3098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809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1093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126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Прочие (дополнительные) требования к продукции</w:t>
            </w:r>
          </w:p>
        </w:tc>
        <w:tc>
          <w:tcPr>
            <w:tcW w:w="3098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809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1093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126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vAlign w:val="center"/>
          </w:tcPr>
          <w:p>
            <w:pPr>
              <w:pStyle w:val="Normal"/>
              <w:keepNext w:val="true"/>
              <w:widowControl/>
              <w:numPr>
                <w:ilvl w:val="0"/>
                <w:numId w:val="0"/>
              </w:numPr>
              <w:spacing w:before="0" w:after="0"/>
              <w:jc w:val="left"/>
              <w:outlineLvl w:val="3"/>
              <w:rPr>
                <w:rFonts w:eastAsia="Calibri"/>
                <w:bCs/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x-none" w:bidi="ar-SA"/>
              </w:rPr>
              <w:t>Продукция должна быть новой, ранее не использовавшейся.</w:t>
            </w:r>
          </w:p>
        </w:tc>
        <w:tc>
          <w:tcPr>
            <w:tcW w:w="3098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809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1093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126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vAlign w:val="center"/>
          </w:tcPr>
          <w:p>
            <w:pPr>
              <w:pStyle w:val="Normal"/>
              <w:keepNext w:val="true"/>
              <w:widowControl/>
              <w:numPr>
                <w:ilvl w:val="0"/>
                <w:numId w:val="0"/>
              </w:numPr>
              <w:spacing w:before="0" w:after="0"/>
              <w:jc w:val="left"/>
              <w:outlineLvl w:val="3"/>
              <w:rPr>
                <w:rFonts w:eastAsia="Calibri"/>
                <w:bCs/>
                <w:sz w:val="24"/>
                <w:szCs w:val="24"/>
                <w:lang w:eastAsia="x-none"/>
              </w:rPr>
            </w:pPr>
            <w:r>
              <w:rPr>
                <w:rFonts w:eastAsia="Calibri" w:cs="Times New Roman"/>
                <w:bCs/>
                <w:kern w:val="0"/>
                <w:sz w:val="24"/>
                <w:szCs w:val="24"/>
                <w:lang w:val="ru-RU" w:eastAsia="x-none" w:bidi="ar-SA"/>
              </w:rPr>
              <w:t>Продукция должна соответствовать обязательным требованиям, установленным нормативными документами, действующими в РФ.</w:t>
            </w:r>
          </w:p>
        </w:tc>
        <w:tc>
          <w:tcPr>
            <w:tcW w:w="3098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809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1"/>
        <w:numPr>
          <w:ilvl w:val="0"/>
          <w:numId w:val="3"/>
        </w:numPr>
        <w:ind w:hanging="0" w:left="0"/>
        <w:jc w:val="center"/>
        <w:rPr>
          <w:lang w:val="ru-RU"/>
        </w:rPr>
      </w:pPr>
      <w:r>
        <w:rPr>
          <w:lang w:val="ru-RU"/>
        </w:rPr>
        <w:t>Требования к документации по ценообразованию на этапе закупки.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  <w:t xml:space="preserve">3.1. В обоснование стоимости своей заявки Участник предоставляет Коммерческое предложение по форме </w:t>
      </w:r>
      <w:bookmarkStart w:id="26" w:name="_Hlk88325985"/>
      <w:r>
        <w:rPr>
          <w:rFonts w:eastAsia="Calibri"/>
          <w:sz w:val="24"/>
          <w:szCs w:val="24"/>
          <w:lang w:eastAsia="x-none"/>
        </w:rPr>
        <w:t>(с учетом прилагаемой к ней инструкции по заполнению)</w:t>
      </w:r>
      <w:bookmarkEnd w:id="26"/>
      <w:r>
        <w:rPr>
          <w:rFonts w:eastAsia="Calibri"/>
          <w:sz w:val="24"/>
          <w:szCs w:val="24"/>
          <w:lang w:eastAsia="x-none"/>
        </w:rPr>
        <w:t>, приведенной в Документации о закупке.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Fonts w:eastAsia="Calibri"/>
          <w:sz w:val="24"/>
          <w:szCs w:val="24"/>
          <w:lang w:eastAsia="x-none"/>
        </w:rPr>
      </w:pPr>
      <w:bookmarkStart w:id="27" w:name="_Hlk88327292"/>
      <w:r>
        <w:rPr>
          <w:rFonts w:eastAsia="Calibri"/>
          <w:sz w:val="24"/>
          <w:szCs w:val="24"/>
          <w:lang w:eastAsia="x-none"/>
        </w:rPr>
        <w:t>3.2. Дополнительные документы по ценообразованию</w:t>
      </w:r>
      <w:bookmarkEnd w:id="27"/>
      <w:r>
        <w:rPr>
          <w:rFonts w:eastAsia="Calibri"/>
          <w:sz w:val="24"/>
          <w:szCs w:val="24"/>
          <w:lang w:eastAsia="x-none"/>
        </w:rPr>
        <w:t xml:space="preserve"> в состав заявки не включаются.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</w:r>
    </w:p>
    <w:p>
      <w:pPr>
        <w:pStyle w:val="Heading1"/>
        <w:keepLines/>
        <w:numPr>
          <w:ilvl w:val="0"/>
          <w:numId w:val="0"/>
        </w:numPr>
        <w:spacing w:before="120" w:after="60"/>
        <w:ind w:hanging="0" w:left="0"/>
        <w:rPr>
          <w:i/>
          <w:i/>
          <w:iCs/>
          <w:sz w:val="24"/>
          <w:szCs w:val="24"/>
          <w:shd w:fill="FFFF99" w:val="clear"/>
          <w:lang w:val="ru-RU"/>
        </w:rPr>
      </w:pPr>
      <w:r>
        <w:rPr>
          <w:i/>
          <w:iCs/>
          <w:sz w:val="24"/>
          <w:szCs w:val="24"/>
          <w:shd w:fill="FFFF99" w:val="clear"/>
          <w:lang w:val="ru-RU"/>
        </w:rPr>
      </w:r>
    </w:p>
    <w:sectPr>
      <w:headerReference w:type="default" r:id="rId7"/>
      <w:headerReference w:type="first" r:id="rId8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PT Sans">
    <w:charset w:val="01"/>
    <w:family w:val="swiss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Header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Header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2985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uiPriority="99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ind w:left="5038"/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uiPriority w:val="99"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1"/>
      </w:num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uiPriority w:val="99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0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8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basedOn w:val="DefaultParagraphFont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 Unicode MS"/>
    </w:rPr>
  </w:style>
  <w:style w:type="paragraph" w:styleId="Style16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7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8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19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styleId="Style20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/>
    </w:pPr>
    <w:rPr>
      <w:rFonts w:cs="Calibri" w:cstheme="minorHAnsi"/>
      <w:sz w:val="20"/>
      <w:szCs w:val="20"/>
    </w:rPr>
  </w:style>
  <w:style w:type="paragraph" w:styleId="Style21" w:customStyle="1">
    <w:name w:val="Раздел регламента"/>
    <w:basedOn w:val="Normal"/>
    <w:qFormat/>
    <w:rsid w:val="00e228fa"/>
    <w:pPr/>
    <w:rPr/>
  </w:style>
  <w:style w:type="paragraph" w:styleId="Style22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3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4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4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3" w:customStyle="1">
    <w:name w:val="List 3"/>
    <w:basedOn w:val="Normal"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bidi w:val="0"/>
      <w:spacing w:before="0" w:after="0"/>
      <w:jc w:val="left"/>
    </w:pPr>
    <w:rPr>
      <w:rFonts w:eastAsia="Calibri" w:ascii="Times New Roman" w:hAnsi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bidi w:val="0"/>
      <w:spacing w:before="0" w:after="0"/>
      <w:ind w:firstLine="720"/>
      <w:jc w:val="left"/>
    </w:pPr>
    <w:rPr>
      <w:rFonts w:ascii="Arial" w:hAnsi="Arial" w:cs="Arial" w:eastAsia="Times New Roman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5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6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7" w:customStyle="1">
    <w:name w:val="Таблица шапка"/>
    <w:basedOn w:val="Normal"/>
    <w:qFormat/>
    <w:rsid w:val="00f64089"/>
    <w:pPr>
      <w:keepNext w:val="true"/>
      <w:spacing w:before="40" w:after="40"/>
      <w:ind w:left="57" w:right="57"/>
    </w:pPr>
    <w:rPr>
      <w:sz w:val="22"/>
      <w:szCs w:val="26"/>
    </w:rPr>
  </w:style>
  <w:style w:type="paragraph" w:styleId="Style28" w:customStyle="1">
    <w:name w:val="Подподпункт"/>
    <w:basedOn w:val="Style20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29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0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1" w:customStyle="1">
    <w:name w:val="Таблица текст"/>
    <w:basedOn w:val="Normal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Default" w:customStyle="1">
    <w:name w:val="Default"/>
    <w:qFormat/>
    <w:rsid w:val="00a34ae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paragraph" w:styleId="Style32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D8B3A4-1684-4EAB-9CEE-7D94DD3FB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AlterOffice/2026.2.0.0$Linux_X86_64 LibreOffice_project/bc4ef1adf80b36c7a6365f8ed6cbf29021361edd</Application>
  <AppVersion>15.0000</AppVersion>
  <DocSecurity>4</DocSecurity>
  <Pages>6</Pages>
  <Words>660</Words>
  <Characters>4456</Characters>
  <CharactersWithSpaces>4983</CharactersWithSpaces>
  <Paragraphs>142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2026-08-11T06:25:00Z</dcterms:created>
  <dc:creator>Быстров Олег Геннадьевич</dc:creator>
  <dc:description/>
  <dc:language>ru-RU</dc:language>
  <cp:lastModifiedBy>bromirskyri@corp.gidroogk.com</cp:lastModifiedBy>
  <cp:lastPrinted>2006-07-26T14:04:00Z</cp:lastPrinted>
  <dcterms:modified xsi:type="dcterms:W3CDTF">2026-09-16T07:49:42Z</dcterms:modified>
  <cp:revision>3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