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header6.xml" ContentType="application/vnd.openxmlformats-officedocument.wordprocessingml.header+xml"/>
  <Override PartName="/word/document.xml" ContentType="application/vnd.openxmlformats-officedocument.wordprocessingml.document.main+xml"/>
  <Override PartName="/word/numbering.xml" ContentType="application/vnd.openxmlformats-officedocument.wordprocessingml.numbering+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xml" ContentType="application/vnd.openxmlformats-officedocument.wordprocessingml.footer+xml"/>
  <Override PartName="/word/styles.xml" ContentType="application/vnd.openxmlformats-officedocument.wordprocessingml.styles+xml"/>
  <Override PartName="/word/header5.xml" ContentType="application/vnd.openxmlformats-officedocument.wordprocessingml.header+xml"/>
  <Override PartName="/word/settings.xml" ContentType="application/vnd.openxmlformats-officedocument.wordprocessingml.settings+xml"/>
  <Override PartName="/word/header1.xml" ContentType="application/vnd.openxmlformats-officedocument.wordprocessingml.header+xml"/>
  <Override PartName="/word/footer2.xml" ContentType="application/vnd.openxmlformats-officedocument.wordprocessingml.footer+xml"/>
  <Override PartName="/word/footnotes.xml" ContentType="application/vnd.openxmlformats-officedocument.wordprocessingml.footnotes+xml"/>
  <Override PartName="/word/header3.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customXml/_rels/item4.xml.rels" ContentType="application/vnd.openxmlformats-package.relationships+xml"/>
  <Override PartName="/customXml/_rels/item3.xml.rels" ContentType="application/vnd.openxmlformats-package.relationships+xml"/>
  <Override PartName="/customXml/_rels/item2.xml.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customXml/item2.xml" ContentType="application/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val="clear" w:color="auto" w:fill="FFFFFF"/>
        <w:tabs>
          <w:tab w:val="clear" w:pos="709"/>
          <w:tab w:val="left" w:pos="6926" w:leader="none"/>
        </w:tabs>
        <w:ind w:firstLine="709"/>
        <w:jc w:val="center"/>
        <w:rPr>
          <w:b/>
          <w:sz w:val="24"/>
          <w:szCs w:val="24"/>
        </w:rPr>
      </w:pPr>
      <w:r>
        <w:rPr>
          <w:bCs/>
          <w:sz w:val="22"/>
          <w:szCs w:val="22"/>
        </w:rPr>
        <w:t xml:space="preserve"> </w:t>
      </w:r>
      <w:r>
        <w:rPr>
          <w:b/>
          <w:bCs/>
          <w:sz w:val="24"/>
          <w:szCs w:val="24"/>
        </w:rPr>
        <w:t>Договор поставки</w:t>
      </w:r>
      <w:r>
        <w:rPr>
          <w:rStyle w:val="FootnoteReference"/>
          <w:b/>
          <w:bCs/>
          <w:sz w:val="24"/>
          <w:szCs w:val="24"/>
        </w:rPr>
        <w:footnoteReference w:id="2"/>
      </w:r>
    </w:p>
    <w:p>
      <w:pPr>
        <w:pStyle w:val="Normal"/>
        <w:shd w:val="clear" w:color="auto" w:fill="FFFFFF"/>
        <w:ind w:firstLine="709"/>
        <w:rPr>
          <w:b/>
          <w:bCs/>
          <w:sz w:val="24"/>
          <w:szCs w:val="24"/>
        </w:rPr>
      </w:pPr>
      <w:r>
        <w:rPr>
          <w:b/>
          <w:bCs/>
          <w:sz w:val="24"/>
          <w:szCs w:val="24"/>
        </w:rPr>
      </w:r>
    </w:p>
    <w:p>
      <w:pPr>
        <w:pStyle w:val="Normal"/>
        <w:shd w:val="clear" w:color="auto" w:fill="FFFFFF"/>
        <w:tabs>
          <w:tab w:val="clear" w:pos="709"/>
          <w:tab w:val="right" w:pos="9639" w:leader="none"/>
        </w:tabs>
        <w:jc w:val="right"/>
        <w:rPr>
          <w:bCs/>
          <w:sz w:val="24"/>
          <w:szCs w:val="24"/>
        </w:rPr>
      </w:pPr>
      <w:r>
        <w:rPr>
          <w:bCs/>
          <w:sz w:val="24"/>
          <w:szCs w:val="24"/>
        </w:rPr>
        <w:t>г. _________</w:t>
        <w:tab/>
        <w:t xml:space="preserve">   «___» _________ 20__ г.</w:t>
      </w:r>
    </w:p>
    <w:p>
      <w:pPr>
        <w:pStyle w:val="Normal"/>
        <w:shd w:val="clear" w:color="auto" w:fill="FFFFFF"/>
        <w:tabs>
          <w:tab w:val="clear" w:pos="709"/>
          <w:tab w:val="right" w:pos="9639" w:leader="none"/>
        </w:tabs>
        <w:ind w:firstLine="709"/>
        <w:jc w:val="right"/>
        <w:rPr>
          <w:bCs/>
          <w:sz w:val="24"/>
          <w:szCs w:val="24"/>
        </w:rPr>
      </w:pPr>
      <w:r>
        <w:rPr>
          <w:bCs/>
          <w:sz w:val="24"/>
          <w:szCs w:val="24"/>
        </w:rPr>
      </w:r>
    </w:p>
    <w:p>
      <w:pPr>
        <w:pStyle w:val="Normal"/>
        <w:ind w:firstLine="709"/>
        <w:jc w:val="both"/>
        <w:rPr>
          <w:spacing w:val="10"/>
          <w:sz w:val="24"/>
          <w:szCs w:val="24"/>
        </w:rPr>
      </w:pPr>
      <w:r>
        <w:rPr>
          <w:b/>
          <w:sz w:val="24"/>
          <w:szCs w:val="24"/>
        </w:rPr>
        <w:t xml:space="preserve">Публичное акционерное общество «Федеральная гидрогенерирующая компания – РусГидро» </w:t>
      </w:r>
      <w:r>
        <w:rPr>
          <w:sz w:val="24"/>
          <w:szCs w:val="24"/>
        </w:rPr>
        <w:t>(ПАО «РусГидро»)</w:t>
      </w:r>
      <w:r>
        <w:rPr>
          <w:spacing w:val="2"/>
          <w:sz w:val="24"/>
          <w:szCs w:val="24"/>
        </w:rPr>
        <w:t xml:space="preserve">, (далее – </w:t>
      </w:r>
      <w:r>
        <w:rPr>
          <w:sz w:val="24"/>
          <w:szCs w:val="24"/>
        </w:rPr>
        <w:t>«Покупатель»), в лице _____________________</w:t>
      </w:r>
      <w:r>
        <w:rPr>
          <w:spacing w:val="4"/>
          <w:sz w:val="24"/>
          <w:szCs w:val="24"/>
        </w:rPr>
        <w:t>, действующего на основании ________, с одной стороны, и</w:t>
      </w:r>
      <w:r>
        <w:rPr>
          <w:spacing w:val="10"/>
          <w:sz w:val="24"/>
          <w:szCs w:val="24"/>
        </w:rPr>
        <w:t xml:space="preserve"> </w:t>
      </w:r>
    </w:p>
    <w:p>
      <w:pPr>
        <w:pStyle w:val="Normal"/>
        <w:ind w:firstLine="709"/>
        <w:jc w:val="both"/>
        <w:rPr>
          <w:sz w:val="24"/>
          <w:szCs w:val="24"/>
        </w:rPr>
      </w:pPr>
      <w:r>
        <w:rPr>
          <w:b/>
          <w:spacing w:val="10"/>
          <w:sz w:val="24"/>
          <w:szCs w:val="24"/>
        </w:rPr>
        <w:t>____________________</w:t>
      </w:r>
      <w:r>
        <w:rPr>
          <w:bCs/>
          <w:sz w:val="24"/>
          <w:szCs w:val="24"/>
        </w:rPr>
        <w:t xml:space="preserve"> </w:t>
      </w:r>
      <w:r>
        <w:rPr>
          <w:sz w:val="24"/>
          <w:szCs w:val="24"/>
        </w:rPr>
        <w:t xml:space="preserve">(далее – «Поставщик»), в лице _________________________, действующего на основании ___________________, с другой стороны, </w:t>
      </w:r>
    </w:p>
    <w:p>
      <w:pPr>
        <w:pStyle w:val="Normal"/>
        <w:ind w:firstLine="709"/>
        <w:jc w:val="both"/>
        <w:rPr>
          <w:sz w:val="24"/>
          <w:szCs w:val="24"/>
        </w:rPr>
      </w:pPr>
      <w:r>
        <w:rPr>
          <w:sz w:val="24"/>
          <w:szCs w:val="24"/>
        </w:rPr>
        <w:t xml:space="preserve">совместно в дальнейшем именуемые «Стороны», а по отдельности – «Сторона», </w:t>
        <w:br/>
      </w:r>
      <w:r>
        <w:rPr>
          <w:sz w:val="24"/>
          <w:szCs w:val="24"/>
          <w:highlight w:val="lightGray"/>
          <w:lang w:eastAsia="en-US"/>
        </w:rPr>
        <w:t>по результатам проведенной Покупателем конкурентной процедуры по лоту № ____________ и на основании протокола от «___» _________ г. №_______,</w:t>
      </w:r>
    </w:p>
    <w:p>
      <w:pPr>
        <w:pStyle w:val="Normal"/>
        <w:ind w:firstLine="709"/>
        <w:jc w:val="both"/>
        <w:rPr>
          <w:spacing w:val="10"/>
          <w:sz w:val="24"/>
          <w:szCs w:val="24"/>
        </w:rPr>
      </w:pPr>
      <w:r>
        <w:rPr>
          <w:sz w:val="24"/>
          <w:szCs w:val="24"/>
        </w:rPr>
        <w:t>заключили настоящий договор поставки (далее – «Договор») о нижеследующем:</w:t>
      </w:r>
    </w:p>
    <w:p>
      <w:pPr>
        <w:pStyle w:val="Normal"/>
        <w:shd w:val="clear" w:color="auto" w:fill="FFFFFF"/>
        <w:ind w:firstLine="709"/>
        <w:rPr>
          <w:bCs/>
          <w:sz w:val="24"/>
          <w:szCs w:val="24"/>
          <w:lang w:val="x-none"/>
        </w:rPr>
      </w:pPr>
      <w:r>
        <w:rPr>
          <w:bCs/>
          <w:sz w:val="24"/>
          <w:szCs w:val="24"/>
          <w:lang w:val="x-none"/>
        </w:rPr>
      </w:r>
    </w:p>
    <w:p>
      <w:pPr>
        <w:pStyle w:val="Normal"/>
        <w:shd w:val="clear" w:color="auto" w:fill="FFFFFF"/>
        <w:ind w:firstLine="709"/>
        <w:jc w:val="center"/>
        <w:rPr>
          <w:b/>
          <w:bCs/>
          <w:sz w:val="24"/>
          <w:szCs w:val="24"/>
        </w:rPr>
      </w:pPr>
      <w:r>
        <w:rPr>
          <w:b/>
          <w:bCs/>
          <w:sz w:val="24"/>
          <w:szCs w:val="24"/>
        </w:rPr>
        <w:t>Термины и определения</w:t>
      </w:r>
    </w:p>
    <w:p>
      <w:pPr>
        <w:pStyle w:val="Normal"/>
        <w:shd w:val="clear" w:color="auto" w:fill="FFFFFF"/>
        <w:ind w:firstLine="709"/>
        <w:jc w:val="both"/>
        <w:rPr>
          <w:bCs/>
          <w:sz w:val="24"/>
          <w:szCs w:val="24"/>
        </w:rPr>
      </w:pPr>
      <w:r>
        <w:rPr>
          <w:bCs/>
          <w:sz w:val="24"/>
          <w:szCs w:val="24"/>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9"/>
          <w:tab w:val="left" w:pos="0" w:leader="none"/>
        </w:tabs>
        <w:overflowPunct w:val="true"/>
        <w:ind w:firstLine="709" w:left="0"/>
        <w:jc w:val="both"/>
        <w:textAlignment w:val="baseline"/>
        <w:rPr>
          <w:sz w:val="24"/>
          <w:szCs w:val="24"/>
          <w:lang w:eastAsia="en-US"/>
        </w:rPr>
      </w:pPr>
      <w:r>
        <w:rPr>
          <w:b/>
          <w:sz w:val="24"/>
          <w:szCs w:val="24"/>
          <w:lang w:eastAsia="en-US"/>
        </w:rPr>
        <w:t>«Акт рекламации»</w:t>
      </w:r>
      <w:r>
        <w:rPr>
          <w:sz w:val="24"/>
          <w:szCs w:val="24"/>
          <w:lang w:eastAsia="en-US"/>
        </w:rPr>
        <w:t xml:space="preserve"> – документ, оформляемый по унифицированным формам </w:t>
        <w:br/>
        <w:t xml:space="preserve">№ ТОРГ-2 «Акт об установленном расхождении по количеству и качеству при приемке товарно-материальных ценностей» и № ТОРГ-3 «Акт об установленном расхождении </w:t>
        <w:br/>
        <w:t>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Товара.</w:t>
      </w:r>
    </w:p>
    <w:p>
      <w:pPr>
        <w:pStyle w:val="ListParagraph"/>
        <w:shd w:val="clear" w:color="auto" w:fill="FFFFFF"/>
        <w:tabs>
          <w:tab w:val="clear" w:pos="709"/>
          <w:tab w:val="left" w:pos="567" w:leader="none"/>
          <w:tab w:val="left" w:pos="1134" w:leader="none"/>
        </w:tabs>
        <w:overflowPunct w:val="true"/>
        <w:ind w:firstLine="709" w:left="0"/>
        <w:jc w:val="both"/>
        <w:textAlignment w:val="baseline"/>
        <w:rPr>
          <w:sz w:val="24"/>
          <w:szCs w:val="24"/>
          <w:lang w:eastAsia="en-US"/>
        </w:rPr>
      </w:pPr>
      <w:r>
        <w:rPr>
          <w:b/>
          <w:sz w:val="24"/>
          <w:szCs w:val="24"/>
          <w:highlight w:val="lightGray"/>
          <w:lang w:eastAsia="en-US"/>
        </w:rPr>
        <w:t>«Гарантийный срок»</w:t>
      </w:r>
      <w:r>
        <w:rPr>
          <w:sz w:val="24"/>
          <w:szCs w:val="24"/>
          <w:highlight w:val="lightGray"/>
        </w:rPr>
        <w:t xml:space="preserve"> </w:t>
      </w:r>
      <w:r>
        <w:rPr>
          <w:sz w:val="24"/>
          <w:szCs w:val="24"/>
          <w:highlight w:val="lightGray"/>
          <w:lang w:eastAsia="en-US"/>
        </w:rPr>
        <w:t>– период, в течение которого качество поставленного Товара должно соответствовать требованиям Договора и Применимого права, и Поставщик и / или изготовитель Товара обязуется устранять все выявленные Покупателем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Товара.</w:t>
      </w:r>
    </w:p>
    <w:p>
      <w:pPr>
        <w:pStyle w:val="ListParagraph"/>
        <w:shd w:val="clear" w:color="auto" w:fill="FFFFFF"/>
        <w:tabs>
          <w:tab w:val="clear" w:pos="709"/>
          <w:tab w:val="left" w:pos="0" w:leader="none"/>
        </w:tabs>
        <w:overflowPunct w:val="true"/>
        <w:ind w:firstLine="709" w:left="0"/>
        <w:jc w:val="both"/>
        <w:textAlignment w:val="baseline"/>
        <w:rPr>
          <w:sz w:val="24"/>
          <w:szCs w:val="24"/>
          <w:lang w:eastAsia="en-US"/>
        </w:rPr>
      </w:pPr>
      <w:r>
        <w:rPr>
          <w:b/>
          <w:sz w:val="24"/>
          <w:szCs w:val="24"/>
          <w:lang w:eastAsia="en-US"/>
        </w:rPr>
        <w:t>«Договор»</w:t>
      </w:r>
      <w:r>
        <w:rPr>
          <w:sz w:val="24"/>
          <w:szCs w:val="24"/>
          <w:lang w:eastAsia="en-US"/>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w:t>
        <w:br/>
        <w:t>что они заключены надлежащим образом, и из них явно следует, что они составляют часть Договора.</w:t>
      </w:r>
    </w:p>
    <w:p>
      <w:pPr>
        <w:pStyle w:val="ListParagraph"/>
        <w:shd w:val="clear" w:color="auto" w:fill="FFFFFF"/>
        <w:tabs>
          <w:tab w:val="clear" w:pos="709"/>
          <w:tab w:val="left" w:pos="0" w:leader="none"/>
        </w:tabs>
        <w:overflowPunct w:val="true"/>
        <w:ind w:firstLine="709" w:left="0"/>
        <w:jc w:val="both"/>
        <w:textAlignment w:val="baseline"/>
        <w:rPr>
          <w:sz w:val="24"/>
          <w:szCs w:val="24"/>
          <w:lang w:eastAsia="en-US"/>
        </w:rPr>
      </w:pPr>
      <w:r>
        <w:rPr>
          <w:b/>
          <w:sz w:val="24"/>
          <w:szCs w:val="24"/>
          <w:lang w:eastAsia="en-US"/>
        </w:rPr>
        <w:t>«Коммерческая тайна»</w:t>
      </w:r>
      <w:r>
        <w:rPr>
          <w:sz w:val="24"/>
          <w:szCs w:val="24"/>
          <w:lang w:eastAsia="en-US"/>
        </w:rPr>
        <w:t xml:space="preserve"> – режим конфиденциальности информации, позволяющий </w:t>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br/>
        <w:t xml:space="preserve">или получить иную коммерческую выгоду. </w:t>
      </w:r>
    </w:p>
    <w:p>
      <w:pPr>
        <w:pStyle w:val="ListParagraph"/>
        <w:shd w:val="clear" w:color="auto" w:fill="FFFFFF"/>
        <w:tabs>
          <w:tab w:val="clear" w:pos="709"/>
          <w:tab w:val="left" w:pos="0" w:leader="none"/>
        </w:tabs>
        <w:overflowPunct w:val="true"/>
        <w:ind w:firstLine="709" w:left="0"/>
        <w:jc w:val="both"/>
        <w:textAlignment w:val="baseline"/>
        <w:rPr>
          <w:b/>
          <w:sz w:val="24"/>
          <w:szCs w:val="24"/>
          <w:lang w:eastAsia="en-US"/>
        </w:rPr>
      </w:pPr>
      <w:r>
        <w:rPr>
          <w:b/>
          <w:sz w:val="24"/>
          <w:szCs w:val="24"/>
          <w:lang w:eastAsia="en-US"/>
        </w:rPr>
        <w:t xml:space="preserve">«Накладная ТОРГ-12» </w:t>
      </w:r>
      <w:r>
        <w:rPr>
          <w:sz w:val="24"/>
          <w:szCs w:val="24"/>
          <w:lang w:eastAsia="en-US"/>
        </w:rPr>
        <w:t>–</w:t>
      </w:r>
      <w:r>
        <w:rPr>
          <w:b/>
          <w:sz w:val="24"/>
          <w:szCs w:val="24"/>
          <w:lang w:eastAsia="en-US"/>
        </w:rPr>
        <w:t xml:space="preserve"> </w:t>
      </w:r>
      <w:r>
        <w:rPr>
          <w:sz w:val="24"/>
          <w:szCs w:val="24"/>
          <w:lang w:eastAsia="en-US"/>
        </w:rPr>
        <w:t xml:space="preserve">документ, оформляемый по унифицированной форме </w:t>
        <w:br/>
        <w:t xml:space="preserve">№ ТОРГ-12 «Товарная накладная», утвержденной постановлением Госкомстата РФ </w:t>
        <w:br/>
        <w:t>от 25.12.1998 № 132, подписываемый Сторонами после завершения приемки Товара по количеству, качеству и комплектности.</w:t>
      </w:r>
    </w:p>
    <w:p>
      <w:pPr>
        <w:pStyle w:val="ListParagraph"/>
        <w:shd w:val="clear" w:color="auto" w:fill="FFFFFF"/>
        <w:tabs>
          <w:tab w:val="clear" w:pos="709"/>
          <w:tab w:val="left" w:pos="0" w:leader="none"/>
        </w:tabs>
        <w:overflowPunct w:val="true"/>
        <w:ind w:firstLine="709" w:left="0"/>
        <w:jc w:val="both"/>
        <w:textAlignment w:val="baseline"/>
        <w:rPr>
          <w:sz w:val="24"/>
          <w:szCs w:val="24"/>
          <w:lang w:eastAsia="en-US"/>
        </w:rPr>
      </w:pPr>
      <w:r>
        <w:rPr>
          <w:b/>
          <w:sz w:val="24"/>
          <w:szCs w:val="24"/>
          <w:lang w:eastAsia="en-US"/>
        </w:rPr>
        <w:t xml:space="preserve">«Отказ от Договора» </w:t>
      </w:r>
      <w:r>
        <w:rPr>
          <w:sz w:val="24"/>
          <w:szCs w:val="24"/>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pPr>
        <w:pStyle w:val="Heading3"/>
        <w:keepNext w:val="false"/>
        <w:tabs>
          <w:tab w:val="clear" w:pos="709"/>
          <w:tab w:val="left" w:pos="0" w:leader="none"/>
        </w:tabs>
        <w:overflowPunct w:val="true"/>
        <w:spacing w:before="0" w:after="0"/>
        <w:ind w:firstLine="709"/>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eastAsia="en-US"/>
        </w:rPr>
        <w:t xml:space="preserve">«Партия Товара» </w:t>
      </w:r>
      <w:r>
        <w:rPr>
          <w:rFonts w:ascii="Times New Roman" w:hAnsi="Times New Roman"/>
          <w:b w:val="false"/>
          <w:color w:val="auto"/>
          <w:sz w:val="24"/>
          <w:szCs w:val="24"/>
          <w:lang w:eastAsia="en-US"/>
        </w:rPr>
        <w:t xml:space="preserve">– часть Товара, единовременно поставляемая Покупателю Поставщиком, </w:t>
      </w:r>
      <w:r>
        <w:rPr>
          <w:rFonts w:ascii="Times New Roman" w:hAnsi="Times New Roman"/>
          <w:b w:val="false"/>
          <w:color w:val="auto"/>
          <w:sz w:val="24"/>
          <w:szCs w:val="24"/>
          <w:lang w:val="ru-RU" w:eastAsia="en-US"/>
        </w:rPr>
        <w:t>характеристики</w:t>
      </w:r>
      <w:r>
        <w:rPr>
          <w:rFonts w:ascii="Times New Roman" w:hAnsi="Times New Roman"/>
          <w:b w:val="false"/>
          <w:color w:val="auto"/>
          <w:sz w:val="24"/>
          <w:szCs w:val="24"/>
          <w:lang w:eastAsia="en-US"/>
        </w:rPr>
        <w:t xml:space="preserve"> которой определя</w:t>
      </w:r>
      <w:r>
        <w:rPr>
          <w:rFonts w:ascii="Times New Roman" w:hAnsi="Times New Roman"/>
          <w:b w:val="false"/>
          <w:color w:val="auto"/>
          <w:sz w:val="24"/>
          <w:szCs w:val="24"/>
          <w:lang w:val="ru-RU" w:eastAsia="en-US"/>
        </w:rPr>
        <w:t>ю</w:t>
      </w:r>
      <w:r>
        <w:rPr>
          <w:rFonts w:ascii="Times New Roman" w:hAnsi="Times New Roman"/>
          <w:b w:val="false"/>
          <w:color w:val="auto"/>
          <w:sz w:val="24"/>
          <w:szCs w:val="24"/>
          <w:lang w:eastAsia="en-US"/>
        </w:rPr>
        <w:t xml:space="preserve">тся </w:t>
      </w:r>
      <w:r>
        <w:rPr>
          <w:rFonts w:ascii="Times New Roman" w:hAnsi="Times New Roman"/>
          <w:b w:val="false"/>
          <w:color w:val="auto"/>
          <w:sz w:val="24"/>
          <w:szCs w:val="24"/>
          <w:lang w:val="ru-RU" w:eastAsia="en-US"/>
        </w:rPr>
        <w:t xml:space="preserve">Заявкой Покупателя в соответствии со </w:t>
      </w:r>
      <w:r>
        <w:rPr>
          <w:rFonts w:ascii="Times New Roman" w:hAnsi="Times New Roman"/>
          <w:b w:val="false"/>
          <w:color w:val="auto"/>
          <w:sz w:val="24"/>
          <w:szCs w:val="24"/>
          <w:lang w:eastAsia="en-US"/>
        </w:rPr>
        <w:t>Спецификацией, являющейся приложением к Договору.</w:t>
      </w:r>
    </w:p>
    <w:p>
      <w:pPr>
        <w:pStyle w:val="Heading3"/>
        <w:keepNext w:val="false"/>
        <w:tabs>
          <w:tab w:val="clear" w:pos="709"/>
          <w:tab w:val="left" w:pos="0" w:leader="none"/>
        </w:tabs>
        <w:overflowPunct w:val="true"/>
        <w:spacing w:before="0" w:after="0"/>
        <w:ind w:firstLine="709"/>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val="ru-RU" w:eastAsia="en-US"/>
        </w:rPr>
        <w:t>«Применимое право»</w:t>
      </w:r>
      <w:r>
        <w:rPr>
          <w:rFonts w:ascii="Times New Roman" w:hAnsi="Times New Roman"/>
          <w:b w:val="false"/>
          <w:color w:val="auto"/>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p>
    <w:p>
      <w:pPr>
        <w:pStyle w:val="Normal"/>
        <w:ind w:firstLine="709"/>
        <w:jc w:val="both"/>
        <w:rPr>
          <w:sz w:val="24"/>
          <w:szCs w:val="24"/>
          <w:lang w:eastAsia="en-US"/>
        </w:rPr>
      </w:pPr>
      <w:r>
        <w:rPr>
          <w:b/>
          <w:sz w:val="24"/>
          <w:szCs w:val="24"/>
          <w:lang w:eastAsia="en-US"/>
        </w:rPr>
        <w:t>«Рабочий день»</w:t>
      </w:r>
      <w:r>
        <w:rPr>
          <w:sz w:val="24"/>
          <w:szCs w:val="24"/>
          <w:lang w:eastAsia="en-US"/>
        </w:rPr>
        <w:t xml:space="preserve"> – день, который в соответствии с Применимым правом, является рабочим днем в Российской Федерации.</w:t>
      </w:r>
    </w:p>
    <w:p>
      <w:pPr>
        <w:pStyle w:val="Heading3"/>
        <w:keepNext w:val="false"/>
        <w:widowControl w:val="false"/>
        <w:tabs>
          <w:tab w:val="clear" w:pos="709"/>
          <w:tab w:val="left" w:pos="567" w:leader="none"/>
        </w:tabs>
        <w:overflowPunct w:val="true"/>
        <w:spacing w:before="0" w:after="0"/>
        <w:ind w:firstLine="708"/>
        <w:jc w:val="both"/>
        <w:textAlignment w:val="baseline"/>
        <w:rPr>
          <w:highlight w:val="none"/>
          <w:shd w:fill="auto" w:val="clear"/>
        </w:rPr>
      </w:pPr>
      <w:r>
        <w:rPr>
          <w:rFonts w:eastAsia="Times New Roman" w:cs="Times New Roman" w:ascii="Times New Roman" w:hAnsi="Times New Roman"/>
          <w:b/>
          <w:color w:val="000000"/>
          <w:kern w:val="0"/>
          <w:sz w:val="24"/>
          <w:szCs w:val="24"/>
          <w:shd w:fill="auto" w:val="clear"/>
          <w:lang w:val="ru-RU" w:eastAsia="en-US" w:bidi="ar-SA"/>
        </w:rPr>
        <w:t xml:space="preserve">«Универсальный передаточный документ», «УПД» </w:t>
      </w:r>
      <w:r>
        <w:rPr>
          <w:rFonts w:eastAsia="Times New Roman" w:cs="Times New Roman" w:ascii="Times New Roman" w:hAnsi="Times New Roman"/>
          <w:b w:val="false"/>
          <w:color w:val="000000"/>
          <w:kern w:val="0"/>
          <w:sz w:val="24"/>
          <w:szCs w:val="24"/>
          <w:shd w:fill="auto" w:val="clear"/>
          <w:lang w:val="ru-RU" w:eastAsia="en-US" w:bidi="ar-SA"/>
        </w:rPr>
        <w:t>–</w:t>
      </w:r>
      <w:r>
        <w:rPr>
          <w:rFonts w:eastAsia="Times New Roman" w:cs="Times New Roman" w:ascii="Times New Roman" w:hAnsi="Times New Roman"/>
          <w:b/>
          <w:color w:val="000000"/>
          <w:kern w:val="0"/>
          <w:sz w:val="24"/>
          <w:szCs w:val="24"/>
          <w:shd w:fill="auto" w:val="clear"/>
          <w:lang w:val="ru-RU" w:eastAsia="en-US" w:bidi="ar-SA"/>
        </w:rPr>
        <w:t xml:space="preserve"> </w:t>
      </w:r>
      <w:r>
        <w:rPr>
          <w:rFonts w:eastAsia="Times New Roman" w:cs="Times New Roman" w:ascii="Times New Roman" w:hAnsi="Times New Roman"/>
          <w:b w:val="false"/>
          <w:color w:val="000000"/>
          <w:kern w:val="0"/>
          <w:sz w:val="24"/>
          <w:szCs w:val="24"/>
          <w:shd w:fill="auto" w:val="clear"/>
          <w:lang w:val="ru-RU" w:eastAsia="en-US" w:bidi="ar-SA"/>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r>
        <w:rPr>
          <w:rFonts w:eastAsia="Times New Roman" w:cs="Times New Roman" w:ascii="Times New Roman" w:hAnsi="Times New Roman"/>
          <w:b w:val="false"/>
          <w:bCs w:val="false"/>
          <w:color w:val="000000"/>
          <w:kern w:val="0"/>
          <w:sz w:val="24"/>
          <w:szCs w:val="24"/>
          <w:shd w:fill="auto" w:val="clear"/>
          <w:lang w:val="ru-RU" w:eastAsia="en-US" w:bidi="ar-SA"/>
        </w:rPr>
        <w:t>.</w:t>
      </w:r>
    </w:p>
    <w:p>
      <w:pPr>
        <w:pStyle w:val="Heading3"/>
        <w:tabs>
          <w:tab w:val="clear" w:pos="709"/>
          <w:tab w:val="left" w:pos="0" w:leader="none"/>
        </w:tabs>
        <w:overflowPunct w:val="true"/>
        <w:spacing w:before="0" w:after="0"/>
        <w:ind w:firstLine="709"/>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val="ru-RU" w:eastAsia="en-US"/>
        </w:rPr>
        <w:t>«Цена Договора»</w:t>
      </w:r>
      <w:r>
        <w:rPr>
          <w:rFonts w:ascii="Times New Roman" w:hAnsi="Times New Roman"/>
          <w:b w:val="false"/>
          <w:color w:val="auto"/>
          <w:sz w:val="24"/>
          <w:szCs w:val="24"/>
          <w:lang w:val="ru-RU"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и причитающееся ему вознаграждение, а также инфляционные риски на весь период действия Договора. </w:t>
      </w:r>
    </w:p>
    <w:p>
      <w:pPr>
        <w:pStyle w:val="Normal"/>
        <w:shd w:val="clear" w:color="auto" w:fill="FFFFFF"/>
        <w:ind w:firstLine="709"/>
        <w:jc w:val="center"/>
        <w:rPr>
          <w:bCs/>
          <w:sz w:val="24"/>
          <w:szCs w:val="24"/>
        </w:rPr>
      </w:pPr>
      <w:r>
        <w:rPr>
          <w:bCs/>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Предмет Договора</w:t>
      </w:r>
    </w:p>
    <w:p>
      <w:pPr>
        <w:pStyle w:val="Normal"/>
        <w:numPr>
          <w:ilvl w:val="1"/>
          <w:numId w:val="2"/>
        </w:numPr>
        <w:shd w:val="clear" w:color="auto" w:fill="FFFFFF"/>
        <w:tabs>
          <w:tab w:val="clear" w:pos="709"/>
          <w:tab w:val="left" w:pos="1134" w:leader="none"/>
        </w:tabs>
        <w:ind w:firstLine="709" w:left="0"/>
        <w:jc w:val="both"/>
        <w:rPr>
          <w:sz w:val="24"/>
          <w:szCs w:val="24"/>
        </w:rPr>
      </w:pPr>
      <w:r>
        <w:rPr>
          <w:bCs/>
          <w:sz w:val="24"/>
          <w:szCs w:val="24"/>
        </w:rPr>
        <w:t>Поставщик обязуется в порядке и сроки, установленные Договором, передать в собственность Покупателю</w:t>
      </w:r>
      <w:r>
        <w:rPr>
          <w:rFonts w:eastAsia="Calibri"/>
          <w:bCs/>
          <w:sz w:val="24"/>
          <w:szCs w:val="24"/>
          <w:lang w:eastAsia="en-US"/>
        </w:rPr>
        <w:t xml:space="preserve"> </w:t>
      </w:r>
      <w:r>
        <w:rPr>
          <w:bCs/>
          <w:sz w:val="24"/>
          <w:szCs w:val="24"/>
          <w:highlight w:val="lightGray"/>
        </w:rPr>
        <w:t xml:space="preserve">_____________________ </w:t>
      </w:r>
      <w:r>
        <w:rPr>
          <w:bCs/>
          <w:i/>
          <w:sz w:val="24"/>
          <w:szCs w:val="24"/>
          <w:highlight w:val="lightGray"/>
        </w:rPr>
        <w:t>[указывается общее наименование товара]</w:t>
      </w:r>
      <w:r>
        <w:rPr>
          <w:bCs/>
          <w:sz w:val="24"/>
          <w:szCs w:val="24"/>
        </w:rPr>
        <w:t xml:space="preserve"> (далее – «Товар») в соответствии со Спецификацией (Приложение № 1 к Договору), а Покупатель обязуется принять Товар и уплатить Цену Договора.</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Наименование, ассортимент и количество Товара (партий Товара), а также сроки и место его поставки указываются в заявке Покупателя, оформляемой в соответствии со Спецификацией </w:t>
      </w:r>
      <w:r>
        <w:rPr>
          <w:bCs/>
          <w:sz w:val="24"/>
          <w:szCs w:val="24"/>
        </w:rPr>
        <w:t>(Приложение № 1 к Договору)</w:t>
      </w:r>
      <w:r>
        <w:rPr>
          <w:sz w:val="24"/>
          <w:szCs w:val="24"/>
        </w:rPr>
        <w:t xml:space="preserve"> по форме согласно Приложению № 2 к Договору (далее – «Заявка») и направляемой Продавцу в порядке и сроки, установленные пунктом 3.1 Договора. </w:t>
      </w:r>
    </w:p>
    <w:p>
      <w:pPr>
        <w:pStyle w:val="Norma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Поставка Товара по Договору осуществляется для нужд </w:t>
      </w:r>
      <w:r>
        <w:rPr>
          <w:bCs/>
          <w:sz w:val="24"/>
          <w:szCs w:val="24"/>
          <w:highlight w:val="lightGray"/>
        </w:rPr>
        <w:t>__________________.</w:t>
      </w:r>
    </w:p>
    <w:p>
      <w:pPr>
        <w:pStyle w:val="Normal"/>
        <w:numPr>
          <w:ilvl w:val="1"/>
          <w:numId w:val="2"/>
        </w:numPr>
        <w:shd w:val="clear" w:color="auto" w:fill="FFFFFF"/>
        <w:tabs>
          <w:tab w:val="clear" w:pos="709"/>
          <w:tab w:val="left" w:pos="0" w:leader="none"/>
          <w:tab w:val="left" w:pos="540" w:leader="none"/>
          <w:tab w:val="left" w:pos="1134" w:leader="none"/>
        </w:tabs>
        <w:ind w:firstLine="709" w:left="0"/>
        <w:jc w:val="both"/>
        <w:rPr>
          <w:bCs/>
          <w:sz w:val="24"/>
          <w:szCs w:val="24"/>
        </w:rPr>
      </w:pPr>
      <w:r>
        <w:rPr>
          <w:bCs/>
          <w:sz w:val="24"/>
          <w:szCs w:val="24"/>
        </w:rPr>
        <w:t>Общий срок поставки Товара:</w:t>
      </w:r>
    </w:p>
    <w:p>
      <w:pPr>
        <w:pStyle w:val="Normal"/>
        <w:numPr>
          <w:ilvl w:val="2"/>
          <w:numId w:val="2"/>
        </w:numPr>
        <w:shd w:val="clear" w:color="auto" w:fill="FFFFFF"/>
        <w:tabs>
          <w:tab w:val="clear" w:pos="709"/>
          <w:tab w:val="left" w:pos="0" w:leader="none"/>
          <w:tab w:val="left" w:pos="1134" w:leader="none"/>
          <w:tab w:val="left" w:pos="1418" w:leader="none"/>
        </w:tabs>
        <w:ind w:firstLine="709" w:left="0"/>
        <w:jc w:val="both"/>
        <w:rPr>
          <w:bCs/>
          <w:sz w:val="24"/>
          <w:szCs w:val="24"/>
        </w:rPr>
      </w:pPr>
      <w:r>
        <w:rPr>
          <w:bCs/>
          <w:sz w:val="24"/>
          <w:szCs w:val="24"/>
        </w:rPr>
        <w:t xml:space="preserve">Начало – </w:t>
      </w:r>
      <w:r>
        <w:rPr>
          <w:bCs/>
          <w:sz w:val="24"/>
          <w:szCs w:val="24"/>
          <w:highlight w:val="lightGray"/>
        </w:rPr>
        <w:t>«___» ___________ 20___</w:t>
      </w:r>
      <w:r>
        <w:rPr>
          <w:bCs/>
          <w:sz w:val="24"/>
          <w:szCs w:val="24"/>
        </w:rPr>
        <w:t xml:space="preserve"> г.;</w:t>
      </w:r>
    </w:p>
    <w:p>
      <w:pPr>
        <w:pStyle w:val="Normal"/>
        <w:numPr>
          <w:ilvl w:val="2"/>
          <w:numId w:val="2"/>
        </w:numPr>
        <w:shd w:val="clear" w:color="auto" w:fill="FFFFFF"/>
        <w:tabs>
          <w:tab w:val="clear" w:pos="709"/>
          <w:tab w:val="left" w:pos="0" w:leader="none"/>
          <w:tab w:val="left" w:pos="1134" w:leader="none"/>
          <w:tab w:val="left" w:pos="1418" w:leader="none"/>
        </w:tabs>
        <w:ind w:firstLine="709" w:left="0"/>
        <w:jc w:val="both"/>
        <w:rPr>
          <w:bCs/>
          <w:sz w:val="24"/>
          <w:szCs w:val="24"/>
        </w:rPr>
      </w:pPr>
      <w:r>
        <w:rPr>
          <w:bCs/>
          <w:sz w:val="24"/>
          <w:szCs w:val="24"/>
        </w:rPr>
        <w:t xml:space="preserve">Окончание – </w:t>
      </w:r>
      <w:r>
        <w:rPr>
          <w:bCs/>
          <w:sz w:val="24"/>
          <w:szCs w:val="24"/>
          <w:highlight w:val="lightGray"/>
        </w:rPr>
        <w:t>«___» _________ 20__</w:t>
      </w:r>
      <w:r>
        <w:rPr>
          <w:bCs/>
          <w:sz w:val="24"/>
          <w:szCs w:val="24"/>
        </w:rPr>
        <w:t xml:space="preserve"> г.</w:t>
      </w:r>
    </w:p>
    <w:p>
      <w:pPr>
        <w:pStyle w:val="Normal"/>
        <w:shd w:val="clear" w:color="auto" w:fill="FFFFFF"/>
        <w:tabs>
          <w:tab w:val="clear" w:pos="709"/>
          <w:tab w:val="left" w:pos="540" w:leader="none"/>
        </w:tabs>
        <w:ind w:firstLine="709"/>
        <w:jc w:val="both"/>
        <w:rPr>
          <w:sz w:val="24"/>
          <w:szCs w:val="24"/>
        </w:rPr>
      </w:pPr>
      <w:r>
        <w:rPr>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Цена Договора и порядок расчетов</w:t>
      </w:r>
    </w:p>
    <w:p>
      <w:pPr>
        <w:pStyle w:val="Normal"/>
        <w:numPr>
          <w:ilvl w:val="1"/>
          <w:numId w:val="2"/>
        </w:numPr>
        <w:shd w:val="clear" w:color="auto" w:fill="FFFFFF"/>
        <w:tabs>
          <w:tab w:val="clear" w:pos="709"/>
          <w:tab w:val="left" w:pos="0" w:leader="none"/>
          <w:tab w:val="left" w:pos="1134" w:leader="none"/>
        </w:tabs>
        <w:ind w:firstLine="709" w:left="0"/>
        <w:jc w:val="both"/>
        <w:rPr>
          <w:sz w:val="24"/>
          <w:szCs w:val="24"/>
        </w:rPr>
      </w:pPr>
      <w:r>
        <w:rPr>
          <w:sz w:val="24"/>
          <w:szCs w:val="24"/>
        </w:rPr>
        <w:t xml:space="preserve">Цена Договора </w:t>
      </w:r>
      <w:r>
        <w:rPr>
          <w:bCs/>
          <w:sz w:val="24"/>
          <w:szCs w:val="24"/>
        </w:rPr>
        <w:t xml:space="preserve">является предельной и составляет </w:t>
      </w:r>
      <w:r>
        <w:rPr>
          <w:sz w:val="24"/>
          <w:szCs w:val="24"/>
          <w:highlight w:val="lightGray"/>
        </w:rPr>
        <w:t>_______</w:t>
      </w:r>
      <w:r>
        <w:rPr>
          <w:bCs/>
          <w:sz w:val="24"/>
          <w:szCs w:val="24"/>
        </w:rPr>
        <w:t xml:space="preserve"> (</w:t>
      </w:r>
      <w:r>
        <w:rPr>
          <w:sz w:val="24"/>
          <w:szCs w:val="24"/>
          <w:highlight w:val="lightGray"/>
        </w:rPr>
        <w:t>__________________</w:t>
      </w:r>
      <w:r>
        <w:rPr>
          <w:bCs/>
          <w:sz w:val="24"/>
          <w:szCs w:val="24"/>
          <w:highlight w:val="lightGray"/>
        </w:rPr>
        <w:t>)</w:t>
      </w:r>
      <w:r>
        <w:rPr>
          <w:bCs/>
          <w:sz w:val="24"/>
          <w:szCs w:val="24"/>
        </w:rPr>
        <w:t xml:space="preserve"> рублей </w:t>
      </w:r>
      <w:r>
        <w:rPr>
          <w:sz w:val="24"/>
          <w:szCs w:val="24"/>
          <w:highlight w:val="lightGray"/>
        </w:rPr>
        <w:t>___</w:t>
      </w:r>
      <w:r>
        <w:rPr>
          <w:bCs/>
          <w:sz w:val="24"/>
          <w:szCs w:val="24"/>
        </w:rPr>
        <w:t xml:space="preserve"> копеек без учета НДС, при этом НДС исчисляется дополнительно по ставке, установленной ст. 164 Налогового Кодекса РФ. </w:t>
      </w:r>
    </w:p>
    <w:p>
      <w:pPr>
        <w:pStyle w:val="Normal"/>
        <w:numPr>
          <w:ilvl w:val="1"/>
          <w:numId w:val="2"/>
        </w:numPr>
        <w:shd w:val="clear" w:color="auto" w:fill="FFFFFF"/>
        <w:tabs>
          <w:tab w:val="clear" w:pos="709"/>
          <w:tab w:val="left" w:pos="0" w:leader="none"/>
          <w:tab w:val="left" w:pos="1134" w:leader="none"/>
        </w:tabs>
        <w:ind w:firstLine="709" w:left="0"/>
        <w:jc w:val="both"/>
        <w:rPr>
          <w:sz w:val="24"/>
          <w:szCs w:val="24"/>
        </w:rPr>
      </w:pPr>
      <w:r>
        <w:rPr>
          <w:bCs/>
          <w:sz w:val="24"/>
          <w:szCs w:val="24"/>
        </w:rPr>
        <w:t xml:space="preserve">Цена за единицу Товара определяется в соответствии со Спецификацией (Приложение № 1 к Договору) и является фиксированной в течение всего срока действия Договора. </w:t>
      </w:r>
      <w:r>
        <w:rPr>
          <w:sz w:val="24"/>
          <w:szCs w:val="24"/>
        </w:rPr>
        <w:t>Общая стоимость Товара (всех партий Товара), указанного в Заявках, оформленных Покупателем в течение срока действия Договора, не может превышать Цену Договора, указанную в пункте 2.1 Договора.</w:t>
      </w:r>
    </w:p>
    <w:p>
      <w:pPr>
        <w:pStyle w:val="Normal"/>
        <w:numPr>
          <w:ilvl w:val="1"/>
          <w:numId w:val="2"/>
        </w:numPr>
        <w:shd w:val="clear" w:color="auto" w:fill="FFFFFF"/>
        <w:tabs>
          <w:tab w:val="clear" w:pos="709"/>
          <w:tab w:val="left" w:pos="1134" w:leader="none"/>
        </w:tabs>
        <w:ind w:firstLine="709" w:left="0"/>
        <w:jc w:val="both"/>
        <w:rPr>
          <w:bCs/>
          <w:sz w:val="24"/>
          <w:szCs w:val="24"/>
        </w:rPr>
      </w:pPr>
      <w:r>
        <w:rPr>
          <w:bCs/>
          <w:sz w:val="24"/>
          <w:szCs w:val="24"/>
        </w:rPr>
        <w:t xml:space="preserve">Цена Договора включает в себя прибыль Поставщика, а также все расходы и затраты Поставщика на: </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highlight w:val="lightGray"/>
        </w:rPr>
        <w:t>Производство и / или</w:t>
      </w:r>
      <w:r>
        <w:rPr>
          <w:bCs/>
          <w:sz w:val="24"/>
          <w:szCs w:val="24"/>
        </w:rPr>
        <w:t xml:space="preserve"> приобретение Товара;</w:t>
      </w:r>
    </w:p>
    <w:p>
      <w:pPr>
        <w:pStyle w:val="ListParagraph"/>
        <w:numPr>
          <w:ilvl w:val="2"/>
          <w:numId w:val="9"/>
        </w:numPr>
        <w:shd w:val="clear" w:color="auto" w:fill="FFFFFF"/>
        <w:tabs>
          <w:tab w:val="clear" w:pos="709"/>
          <w:tab w:val="left" w:pos="1418" w:leader="none"/>
        </w:tabs>
        <w:ind w:firstLine="709" w:left="0"/>
        <w:jc w:val="both"/>
        <w:rPr>
          <w:bCs/>
          <w:sz w:val="24"/>
          <w:szCs w:val="24"/>
        </w:rPr>
      </w:pPr>
      <w:r>
        <w:rPr>
          <w:bCs/>
          <w:sz w:val="24"/>
          <w:szCs w:val="24"/>
        </w:rPr>
        <w:t xml:space="preserve">Транспортировку Товара до места поставки, погрузку, разгрузку, </w:t>
      </w:r>
      <w:r>
        <w:rPr>
          <w:bCs/>
          <w:sz w:val="24"/>
          <w:szCs w:val="24"/>
          <w:highlight w:val="lightGray"/>
        </w:rPr>
        <w:t>перемещение по территории Покупателя</w:t>
      </w:r>
      <w:r>
        <w:rPr>
          <w:rStyle w:val="FootnoteReference"/>
          <w:sz w:val="24"/>
          <w:szCs w:val="24"/>
          <w:highlight w:val="lightGray"/>
          <w:vertAlign w:val="superscript"/>
        </w:rPr>
        <w:footnoteReference w:id="3"/>
      </w:r>
      <w:r>
        <w:rPr>
          <w:bCs/>
          <w:sz w:val="24"/>
          <w:szCs w:val="24"/>
        </w:rPr>
        <w:t xml:space="preserve">, стоимость тары и упаковки, лицензий, необходимых для использования Товара (если применимо); </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Подлежащие уплате налоги, сборы и пошлины (в том числе по таможенному оформлению Товара, если применимо)</w:t>
      </w:r>
      <w:r>
        <w:rPr>
          <w:bCs/>
          <w:sz w:val="24"/>
          <w:szCs w:val="24"/>
          <w:lang w:val="en-US"/>
        </w:rPr>
        <w:t>;</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Заработную плату, накладные и командировочные расходы, перемещение персонала Поставщика; </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Все прочие затраты и расходы Поставщика, связанные с поставкой Товара 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pPr>
        <w:pStyle w:val="Normal"/>
        <w:numPr>
          <w:ilvl w:val="1"/>
          <w:numId w:val="2"/>
        </w:numPr>
        <w:shd w:val="clear" w:color="auto" w:fill="FFFFFF"/>
        <w:tabs>
          <w:tab w:val="clear" w:pos="709"/>
          <w:tab w:val="left" w:pos="568" w:leader="none"/>
          <w:tab w:val="left" w:pos="1134" w:leader="none"/>
        </w:tabs>
        <w:ind w:firstLine="709" w:left="0"/>
        <w:jc w:val="both"/>
        <w:rPr>
          <w:sz w:val="24"/>
          <w:szCs w:val="24"/>
        </w:rPr>
      </w:pPr>
      <w:r>
        <w:rPr>
          <w:sz w:val="24"/>
          <w:szCs w:val="24"/>
        </w:rPr>
        <w:t>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2"/>
        </w:numPr>
        <w:shd w:val="clear" w:color="auto" w:fill="FFFFFF"/>
        <w:tabs>
          <w:tab w:val="clear" w:pos="709"/>
        </w:tabs>
        <w:ind w:firstLine="709" w:left="0"/>
        <w:jc w:val="both"/>
        <w:rPr>
          <w:bCs/>
          <w:sz w:val="24"/>
        </w:rPr>
      </w:pPr>
      <w:r>
        <w:rPr>
          <w:bCs/>
          <w:sz w:val="24"/>
        </w:rPr>
        <w:t xml:space="preserve">Оплата по Договору осуществляется Покупателем в течение </w:t>
      </w:r>
      <w:r>
        <w:rPr>
          <w:sz w:val="24"/>
          <w:szCs w:val="24"/>
          <w:highlight w:val="lightGray"/>
        </w:rPr>
        <w:t>20 (двадцати) календарных дней</w:t>
      </w:r>
      <w:r>
        <w:rPr>
          <w:rStyle w:val="FootnoteReference"/>
          <w:sz w:val="24"/>
          <w:szCs w:val="24"/>
          <w:highlight w:val="lightGray"/>
        </w:rPr>
        <w:footnoteReference w:id="4"/>
      </w:r>
      <w:r>
        <w:rPr>
          <w:sz w:val="24"/>
          <w:szCs w:val="24"/>
          <w:highlight w:val="lightGray"/>
        </w:rPr>
        <w:t xml:space="preserve"> / 45 (сорока пяти) календарных дней</w:t>
      </w:r>
      <w:r>
        <w:rPr>
          <w:rStyle w:val="FootnoteReference"/>
          <w:sz w:val="24"/>
          <w:szCs w:val="24"/>
          <w:highlight w:val="lightGray"/>
        </w:rPr>
        <w:footnoteReference w:id="5"/>
      </w:r>
      <w:r>
        <w:rPr>
          <w:sz w:val="24"/>
          <w:szCs w:val="24"/>
          <w:highlight w:val="lightGray"/>
        </w:rPr>
        <w:t xml:space="preserve"> 7 (семи) рабочих дней</w:t>
      </w:r>
      <w:r>
        <w:rPr>
          <w:rStyle w:val="FootnoteReference"/>
          <w:sz w:val="24"/>
          <w:szCs w:val="24"/>
          <w:highlight w:val="lightGray"/>
        </w:rPr>
        <w:footnoteReference w:id="6"/>
      </w:r>
      <w:r>
        <w:rPr>
          <w:sz w:val="24"/>
          <w:szCs w:val="24"/>
          <w:vertAlign w:val="superscript"/>
        </w:rPr>
        <w:t xml:space="preserve"> </w:t>
      </w:r>
      <w:r>
        <w:rPr>
          <w:bCs/>
          <w:sz w:val="24"/>
        </w:rPr>
        <w:t>с даты подписания Сторонами Накладной ТОРГ-12/УПД на основании счета, выставленного Поставщиком, и с учетом пункта 2.6 Договора.</w:t>
      </w:r>
    </w:p>
    <w:p>
      <w:pPr>
        <w:pStyle w:val="ListParagraph"/>
        <w:widowControl/>
        <w:numPr>
          <w:ilvl w:val="1"/>
          <w:numId w:val="2"/>
        </w:numPr>
        <w:shd w:val="clear" w:color="auto" w:fill="FFFFFF"/>
        <w:tabs>
          <w:tab w:val="clear" w:pos="709"/>
          <w:tab w:val="left" w:pos="0" w:leader="none"/>
          <w:tab w:val="left" w:pos="1134" w:leader="none"/>
          <w:tab w:val="left" w:pos="1276" w:leader="none"/>
        </w:tabs>
        <w:ind w:firstLine="709" w:left="0"/>
        <w:jc w:val="both"/>
        <w:rPr>
          <w:sz w:val="24"/>
          <w:szCs w:val="24"/>
        </w:rPr>
      </w:pPr>
      <w:r>
        <w:rPr>
          <w:sz w:val="24"/>
          <w:szCs w:val="24"/>
        </w:rPr>
        <w:t>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pPr>
        <w:pStyle w:val="Normal"/>
        <w:numPr>
          <w:ilvl w:val="1"/>
          <w:numId w:val="2"/>
        </w:numPr>
        <w:shd w:val="clear" w:color="auto" w:fill="FFFFFF"/>
        <w:tabs>
          <w:tab w:val="clear" w:pos="709"/>
          <w:tab w:val="left" w:pos="0" w:leader="none"/>
          <w:tab w:val="left" w:pos="567" w:leader="none"/>
          <w:tab w:val="left" w:pos="716" w:leader="none"/>
          <w:tab w:val="left" w:pos="1134" w:leader="none"/>
        </w:tabs>
        <w:ind w:firstLine="709" w:left="0"/>
        <w:jc w:val="both"/>
        <w:rPr>
          <w:sz w:val="24"/>
          <w:szCs w:val="24"/>
        </w:rPr>
      </w:pPr>
      <w:r>
        <w:rPr>
          <w:sz w:val="24"/>
          <w:szCs w:val="24"/>
        </w:rPr>
        <w:t>Индексация Цены Договора не допускается.</w:t>
      </w:r>
    </w:p>
    <w:p>
      <w:pPr>
        <w:pStyle w:val="Normal"/>
        <w:numPr>
          <w:ilvl w:val="1"/>
          <w:numId w:val="2"/>
        </w:numPr>
        <w:shd w:val="clear" w:color="auto" w:fill="FFFFFF"/>
        <w:tabs>
          <w:tab w:val="clear" w:pos="709"/>
          <w:tab w:val="left" w:pos="0" w:leader="none"/>
          <w:tab w:val="left" w:pos="567" w:leader="none"/>
          <w:tab w:val="left" w:pos="716" w:leader="none"/>
          <w:tab w:val="left" w:pos="1134" w:leader="none"/>
        </w:tabs>
        <w:ind w:firstLine="709" w:left="0"/>
        <w:jc w:val="both"/>
        <w:rPr>
          <w:sz w:val="24"/>
          <w:szCs w:val="24"/>
        </w:rPr>
      </w:pPr>
      <w:r>
        <w:rPr>
          <w:sz w:val="24"/>
          <w:szCs w:val="24"/>
          <w:highlight w:val="lightGray"/>
        </w:rPr>
        <w:t>Поставщик обязан представить Покупателю счета</w:t>
      </w:r>
      <w:r>
        <w:rPr>
          <w:bCs/>
          <w:sz w:val="24"/>
          <w:szCs w:val="24"/>
          <w:highlight w:val="lightGray"/>
        </w:rPr>
        <w:t>-</w:t>
      </w:r>
      <w:r>
        <w:rPr>
          <w:sz w:val="24"/>
          <w:szCs w:val="24"/>
          <w:highlight w:val="lightGray"/>
        </w:rPr>
        <w:t>фактуры/УПД,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w:t>
      </w:r>
      <w:r>
        <w:rPr>
          <w:bCs/>
          <w:sz w:val="24"/>
          <w:szCs w:val="24"/>
          <w:highlight w:val="lightGray"/>
        </w:rPr>
        <w:t>-</w:t>
      </w:r>
      <w:r>
        <w:rPr>
          <w:sz w:val="24"/>
          <w:szCs w:val="24"/>
          <w:highlight w:val="lightGray"/>
        </w:rPr>
        <w:t>фактуры/УПД в течение 3 (трех) рабочих дней с даты получения соответствующего письменного требования Покупателя.</w:t>
      </w:r>
      <w:r>
        <w:rPr>
          <w:rStyle w:val="FootnoteReference"/>
          <w:sz w:val="24"/>
          <w:szCs w:val="24"/>
          <w:highlight w:val="lightGray"/>
        </w:rPr>
        <w:footnoteReference w:id="7"/>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Поставщик обязан подписать акты сверки взаимных расчетов, направленные Покупателем в 2 (двух) экземплярах, и вернуть 1 (один) экземпляр Покупателю в течение 5 (пяти) рабочих дней с даты получения экземпляров актов сверки расчетов от Покупателя.</w:t>
      </w:r>
    </w:p>
    <w:p>
      <w:pPr>
        <w:pStyle w:val="ListParagraph"/>
        <w:numPr>
          <w:ilvl w:val="1"/>
          <w:numId w:val="2"/>
        </w:numPr>
        <w:shd w:val="clear" w:color="auto" w:fill="FFFFFF"/>
        <w:tabs>
          <w:tab w:val="clear" w:pos="709"/>
        </w:tabs>
        <w:ind w:firstLine="709" w:left="0"/>
        <w:jc w:val="both"/>
        <w:rPr>
          <w:sz w:val="24"/>
          <w:szCs w:val="24"/>
        </w:rPr>
      </w:pPr>
      <w:bookmarkStart w:id="0" w:name="_GoBack"/>
      <w:bookmarkEnd w:id="0"/>
      <w:r>
        <w:rPr>
          <w:sz w:val="24"/>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Товара, поставленного Поставщиком.</w:t>
      </w:r>
    </w:p>
    <w:p>
      <w:pPr>
        <w:pStyle w:val="ListParagraph"/>
        <w:shd w:val="clear" w:color="auto" w:fill="FFFFFF"/>
        <w:tabs>
          <w:tab w:val="clear" w:pos="709"/>
          <w:tab w:val="left" w:pos="1134" w:leader="none"/>
        </w:tabs>
        <w:ind w:firstLine="709" w:left="0"/>
        <w:jc w:val="both"/>
        <w:rPr>
          <w:sz w:val="24"/>
          <w:szCs w:val="24"/>
        </w:rPr>
      </w:pPr>
      <w:r>
        <w:rPr>
          <w:sz w:val="24"/>
          <w:szCs w:val="24"/>
        </w:rPr>
        <w:t>Покупатель направляет Поставщику уведомление о проведении сальдо взаимных обязательств Сторон по Договору.</w:t>
      </w:r>
    </w:p>
    <w:p>
      <w:pPr>
        <w:pStyle w:val="ListParagraph"/>
        <w:shd w:val="clear" w:color="auto" w:fill="FFFFFF"/>
        <w:ind w:hanging="0" w:left="709"/>
        <w:jc w:val="both"/>
        <w:rPr>
          <w:sz w:val="24"/>
          <w:szCs w:val="24"/>
          <w:highlight w:val="lightGray"/>
        </w:rPr>
      </w:pPr>
      <w:r>
        <w:rPr>
          <w:sz w:val="24"/>
          <w:szCs w:val="24"/>
          <w:highlight w:val="lightGray"/>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Порядок поставки и приемки Товара</w:t>
      </w:r>
    </w:p>
    <w:p>
      <w:pPr>
        <w:pStyle w:val="ListParagraph"/>
        <w:widowControl/>
        <w:numPr>
          <w:ilvl w:val="1"/>
          <w:numId w:val="2"/>
        </w:numPr>
        <w:shd w:val="clear" w:color="auto" w:fill="FFFFFF"/>
        <w:tabs>
          <w:tab w:val="clear" w:pos="709"/>
          <w:tab w:val="left" w:pos="1134" w:leader="none"/>
          <w:tab w:val="left" w:pos="1418" w:leader="none"/>
        </w:tabs>
        <w:ind w:firstLine="709" w:left="0"/>
        <w:jc w:val="both"/>
        <w:rPr>
          <w:sz w:val="24"/>
          <w:szCs w:val="24"/>
        </w:rPr>
      </w:pPr>
      <w:r>
        <w:rPr>
          <w:sz w:val="24"/>
          <w:szCs w:val="24"/>
        </w:rPr>
        <w:t>Поставка Товара (партии Товара) осуществляется по Заявке в следующем порядке:</w:t>
      </w:r>
    </w:p>
    <w:p>
      <w:pPr>
        <w:pStyle w:val="ListParagraph"/>
        <w:widowControl/>
        <w:numPr>
          <w:ilvl w:val="2"/>
          <w:numId w:val="2"/>
        </w:numPr>
        <w:shd w:val="clear" w:color="auto" w:fill="FFFFFF"/>
        <w:tabs>
          <w:tab w:val="clear" w:pos="709"/>
          <w:tab w:val="left" w:pos="1134" w:leader="none"/>
          <w:tab w:val="left" w:pos="1418" w:leader="none"/>
        </w:tabs>
        <w:ind w:firstLine="709" w:left="0"/>
        <w:jc w:val="both"/>
        <w:rPr>
          <w:sz w:val="24"/>
          <w:szCs w:val="24"/>
        </w:rPr>
      </w:pPr>
      <w:r>
        <w:rPr>
          <w:sz w:val="24"/>
          <w:szCs w:val="24"/>
        </w:rPr>
        <w:t xml:space="preserve">Покупатель в срок не позднее </w:t>
      </w:r>
      <w:r>
        <w:rPr>
          <w:sz w:val="24"/>
          <w:szCs w:val="24"/>
          <w:highlight w:val="lightGray"/>
        </w:rPr>
        <w:t>15 (пятнадцати) рабочих дней</w:t>
      </w:r>
      <w:r>
        <w:rPr>
          <w:sz w:val="24"/>
          <w:szCs w:val="24"/>
        </w:rPr>
        <w:t xml:space="preserve"> до предполагаемой даты поставки Товара (партии Товара) направляет Поставщику Заявку по электронной почте на адрес: _______________ </w:t>
      </w:r>
      <w:r>
        <w:rPr>
          <w:sz w:val="24"/>
          <w:szCs w:val="24"/>
          <w:highlight w:val="lightGray"/>
        </w:rPr>
        <w:t>с последующим направлением оригинала Заявки по адресу, указанному в разделе 16 Договора</w:t>
      </w:r>
      <w:r>
        <w:rPr>
          <w:sz w:val="24"/>
          <w:szCs w:val="24"/>
        </w:rPr>
        <w:t>.</w:t>
      </w:r>
    </w:p>
    <w:p>
      <w:pPr>
        <w:pStyle w:val="ListParagraph"/>
        <w:widowControl/>
        <w:numPr>
          <w:ilvl w:val="2"/>
          <w:numId w:val="2"/>
        </w:numPr>
        <w:tabs>
          <w:tab w:val="clear" w:pos="709"/>
          <w:tab w:val="left" w:pos="993" w:leader="none"/>
          <w:tab w:val="left" w:pos="1418" w:leader="none"/>
        </w:tabs>
        <w:ind w:firstLine="709" w:left="0"/>
        <w:jc w:val="both"/>
        <w:rPr>
          <w:sz w:val="24"/>
          <w:szCs w:val="24"/>
        </w:rPr>
      </w:pPr>
      <w:r>
        <w:rPr>
          <w:sz w:val="24"/>
          <w:szCs w:val="24"/>
        </w:rPr>
        <w:t xml:space="preserve">Поставщик в течение </w:t>
      </w:r>
      <w:r>
        <w:rPr>
          <w:sz w:val="24"/>
          <w:szCs w:val="24"/>
          <w:highlight w:val="lightGray"/>
        </w:rPr>
        <w:t>1 (одного) рабочего дня</w:t>
      </w:r>
      <w:r>
        <w:rPr>
          <w:sz w:val="24"/>
          <w:szCs w:val="24"/>
        </w:rPr>
        <w:t xml:space="preserve"> с даты получения Заявки подтверждает поставку Товара (партии Товара), указанного Покупателем в Заявке, по электронной почте на адрес: ______________ </w:t>
      </w:r>
      <w:r>
        <w:rPr>
          <w:sz w:val="24"/>
          <w:szCs w:val="24"/>
          <w:highlight w:val="lightGray"/>
        </w:rPr>
        <w:t>с последующим направлением письменного ответа по адресу, указанному в разделе 16 Договора</w:t>
      </w:r>
      <w:r>
        <w:rPr>
          <w:sz w:val="24"/>
          <w:szCs w:val="24"/>
        </w:rPr>
        <w:t>.</w:t>
      </w:r>
    </w:p>
    <w:p>
      <w:pPr>
        <w:pStyle w:val="ListParagraph"/>
        <w:widowControl/>
        <w:numPr>
          <w:ilvl w:val="2"/>
          <w:numId w:val="2"/>
        </w:numPr>
        <w:tabs>
          <w:tab w:val="clear" w:pos="709"/>
          <w:tab w:val="left" w:pos="993" w:leader="none"/>
          <w:tab w:val="left" w:pos="1418" w:leader="none"/>
        </w:tabs>
        <w:ind w:firstLine="709" w:left="0"/>
        <w:jc w:val="both"/>
        <w:rPr>
          <w:sz w:val="24"/>
          <w:szCs w:val="24"/>
        </w:rPr>
      </w:pPr>
      <w:r>
        <w:rPr>
          <w:sz w:val="24"/>
          <w:szCs w:val="24"/>
        </w:rPr>
        <w:t xml:space="preserve">Покупатель не позднее </w:t>
      </w:r>
      <w:r>
        <w:rPr>
          <w:sz w:val="24"/>
          <w:szCs w:val="24"/>
          <w:highlight w:val="lightGray"/>
        </w:rPr>
        <w:t>7 (семи) рабочих дней</w:t>
      </w:r>
      <w:r>
        <w:rPr>
          <w:sz w:val="24"/>
          <w:szCs w:val="24"/>
        </w:rPr>
        <w:t xml:space="preserve"> до предполагаемой даты поставки Товара (партии Товара) вправе вносить изменения в Заявку путем письменного уведомления Поставщика в порядке, предусмотренном для направления Заявки. Поставщик в течение 2 (двух) рабочих дней с даты получения изменений к ранее направленной Заявке рассматривает соответствующего уведомление Покупателя и подтверждает поставку Товара (партии Товара) в соответствии с измененной Заявкой в порядке, указанном в пункте 3.1.2 Договора.</w:t>
      </w:r>
    </w:p>
    <w:p>
      <w:pPr>
        <w:pStyle w:val="ListParagraph"/>
        <w:numPr>
          <w:ilvl w:val="2"/>
          <w:numId w:val="2"/>
        </w:numPr>
        <w:tabs>
          <w:tab w:val="clear" w:pos="709"/>
          <w:tab w:val="left" w:pos="993" w:leader="none"/>
          <w:tab w:val="left" w:pos="1418" w:leader="none"/>
        </w:tabs>
        <w:ind w:firstLine="709" w:left="0"/>
        <w:jc w:val="both"/>
        <w:rPr>
          <w:sz w:val="24"/>
          <w:szCs w:val="24"/>
        </w:rPr>
      </w:pPr>
      <w:r>
        <w:rPr>
          <w:sz w:val="24"/>
          <w:szCs w:val="24"/>
        </w:rPr>
        <w:t xml:space="preserve">В случае невозможности поставить Товар (партию Товара) по Заявке Поставщик обязан незамедлительно известить об этом Покупателя с указанием причин невозможности выполнения поставки Товара и сроков их устранения. </w:t>
      </w:r>
    </w:p>
    <w:p>
      <w:pPr>
        <w:pStyle w:val="ListParagraph"/>
        <w:numPr>
          <w:ilvl w:val="2"/>
          <w:numId w:val="2"/>
        </w:numPr>
        <w:tabs>
          <w:tab w:val="clear" w:pos="709"/>
          <w:tab w:val="left" w:pos="993" w:leader="none"/>
          <w:tab w:val="left" w:pos="1418" w:leader="none"/>
        </w:tabs>
        <w:ind w:firstLine="709" w:left="0"/>
        <w:jc w:val="both"/>
        <w:rPr>
          <w:sz w:val="24"/>
          <w:szCs w:val="24"/>
        </w:rPr>
      </w:pPr>
      <w:r>
        <w:rPr>
          <w:sz w:val="24"/>
          <w:szCs w:val="24"/>
        </w:rPr>
        <w:t>В случае, указанном в пункте 3.1.4 Договора, Покупатель вправе по своему усмотрению:</w:t>
      </w:r>
    </w:p>
    <w:p>
      <w:pPr>
        <w:pStyle w:val="Normal"/>
        <w:tabs>
          <w:tab w:val="clear" w:pos="709"/>
          <w:tab w:val="left" w:pos="993" w:leader="none"/>
        </w:tabs>
        <w:ind w:firstLine="709"/>
        <w:jc w:val="both"/>
        <w:rPr>
          <w:sz w:val="24"/>
          <w:szCs w:val="24"/>
        </w:rPr>
      </w:pPr>
      <w:r>
        <w:rPr>
          <w:sz w:val="24"/>
          <w:szCs w:val="24"/>
        </w:rPr>
        <w:t xml:space="preserve">3.1.5.1. Направить новую Заявку в порядке, установленном пунктом 3.1.1 Договора                   в согласованные с поставщиком сроки; </w:t>
      </w:r>
    </w:p>
    <w:p>
      <w:pPr>
        <w:pStyle w:val="Normal"/>
        <w:tabs>
          <w:tab w:val="clear" w:pos="709"/>
          <w:tab w:val="left" w:pos="1134" w:leader="none"/>
        </w:tabs>
        <w:ind w:firstLine="709"/>
        <w:jc w:val="both"/>
        <w:rPr>
          <w:sz w:val="24"/>
          <w:szCs w:val="24"/>
        </w:rPr>
      </w:pPr>
      <w:r>
        <w:rPr>
          <w:sz w:val="24"/>
          <w:szCs w:val="24"/>
        </w:rPr>
        <w:t>3.1.5.2. Расторгнуть Договор в порядке, установленном пунктом 12.2 Договора.</w:t>
      </w:r>
    </w:p>
    <w:p>
      <w:pPr>
        <w:pStyle w:val="ListParagraph"/>
        <w:widowControl/>
        <w:numPr>
          <w:ilvl w:val="2"/>
          <w:numId w:val="2"/>
        </w:numPr>
        <w:tabs>
          <w:tab w:val="clear" w:pos="709"/>
          <w:tab w:val="left" w:pos="993" w:leader="none"/>
          <w:tab w:val="left" w:pos="1418" w:leader="none"/>
        </w:tabs>
        <w:ind w:firstLine="709" w:left="0"/>
        <w:jc w:val="both"/>
        <w:rPr>
          <w:sz w:val="24"/>
          <w:szCs w:val="24"/>
        </w:rPr>
      </w:pPr>
      <w:r>
        <w:rPr>
          <w:sz w:val="24"/>
          <w:szCs w:val="24"/>
        </w:rPr>
        <w:t>Стороны вправе запросить друг у друга необходимые дополнительные сведения для поставки Товара по Заявке.</w:t>
      </w:r>
    </w:p>
    <w:p>
      <w:pPr>
        <w:pStyle w:val="ListParagraph"/>
        <w:numPr>
          <w:ilvl w:val="1"/>
          <w:numId w:val="2"/>
        </w:numPr>
        <w:shd w:val="clear" w:color="auto" w:fill="FFFFFF"/>
        <w:tabs>
          <w:tab w:val="clear" w:pos="709"/>
          <w:tab w:val="left" w:pos="1134" w:leader="none"/>
          <w:tab w:val="left" w:pos="1418" w:leader="none"/>
        </w:tabs>
        <w:ind w:firstLine="709" w:left="0"/>
        <w:jc w:val="both"/>
        <w:rPr>
          <w:bCs/>
          <w:sz w:val="24"/>
          <w:szCs w:val="24"/>
        </w:rPr>
      </w:pPr>
      <w:r>
        <w:rPr>
          <w:bCs/>
          <w:sz w:val="24"/>
          <w:szCs w:val="24"/>
        </w:rPr>
        <w:t xml:space="preserve">В течение 5 (пяти) рабочих дней с даты заключения Договора </w:t>
      </w:r>
      <w:r>
        <w:rPr>
          <w:sz w:val="24"/>
          <w:szCs w:val="24"/>
        </w:rPr>
        <w:t>Стороны определяют своих представителей, уполномоченных подписывать Заявки (изменения к ним) и принимать Заявки к исполнению, и письменно сообщают друг другу</w:t>
      </w:r>
      <w:r>
        <w:rPr>
          <w:bCs/>
        </w:rPr>
        <w:t xml:space="preserve"> </w:t>
      </w:r>
      <w:r>
        <w:rPr>
          <w:bCs/>
          <w:sz w:val="24"/>
          <w:szCs w:val="24"/>
        </w:rPr>
        <w:t>контакты и должность таких представителей</w:t>
      </w:r>
      <w:r>
        <w:rPr>
          <w:sz w:val="24"/>
          <w:szCs w:val="24"/>
        </w:rPr>
        <w:t xml:space="preserve">. </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r>
        <w:rPr>
          <w:bCs/>
          <w:sz w:val="24"/>
          <w:szCs w:val="24"/>
        </w:rPr>
        <w:t>Качество, комплектность, количество и ассортимент поставляемого по Договору Товара должны соответствовать Заявке, требованиям Договора,</w:t>
      </w:r>
      <w:r>
        <w:rPr>
          <w:b/>
          <w:bCs/>
          <w:sz w:val="24"/>
          <w:szCs w:val="24"/>
        </w:rPr>
        <w:t xml:space="preserve"> </w:t>
      </w:r>
      <w:r>
        <w:rPr>
          <w:bCs/>
          <w:sz w:val="24"/>
          <w:szCs w:val="24"/>
        </w:rPr>
        <w:t xml:space="preserve">в том числе, указанным в Спецификации (Приложение № 1 к Договору), а также Применимого права. </w:t>
      </w:r>
    </w:p>
    <w:p>
      <w:pPr>
        <w:pStyle w:val="Normal"/>
        <w:widowControl/>
        <w:shd w:val="clear" w:color="auto" w:fill="FFFFFF"/>
        <w:tabs>
          <w:tab w:val="clear" w:pos="709"/>
          <w:tab w:val="left" w:pos="1134" w:leader="none"/>
        </w:tabs>
        <w:ind w:firstLine="709"/>
        <w:jc w:val="both"/>
        <w:rPr>
          <w:bCs/>
          <w:sz w:val="24"/>
          <w:szCs w:val="24"/>
        </w:rPr>
      </w:pPr>
      <w:r>
        <w:rPr>
          <w:bCs/>
          <w:sz w:val="24"/>
          <w:szCs w:val="24"/>
          <w:highlight w:val="lightGray"/>
        </w:rPr>
        <w:t xml:space="preserve">Поставщик не вправе производить </w:t>
      </w:r>
      <w:r>
        <w:rPr>
          <w:sz w:val="24"/>
          <w:szCs w:val="24"/>
          <w:highlight w:val="lightGray"/>
        </w:rPr>
        <w:t>замену Товара, содержащегося в одном из реестров, предусмотренных пунктом 2 постановления Правительства РФ от 03.12.2020 № 2013 «О минимальной доле закупок товаров российского происхождения» на иной Товар, не включенный в такие реестры.</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r>
        <w:rPr>
          <w:bCs/>
          <w:sz w:val="24"/>
          <w:szCs w:val="24"/>
        </w:rPr>
        <w:t>Поставляемый Товар должен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и не обременен правами третьих лиц.</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r>
        <w:rPr>
          <w:bCs/>
          <w:sz w:val="24"/>
          <w:szCs w:val="24"/>
        </w:rPr>
        <w:t xml:space="preserve">Одновременно с передачей Товара Поставщик обязан передать Покупателю оригиналы следующих относящихся к Товару документов: </w:t>
      </w:r>
    </w:p>
    <w:p>
      <w:pPr>
        <w:pStyle w:val="Normal"/>
        <w:numPr>
          <w:ilvl w:val="0"/>
          <w:numId w:val="4"/>
        </w:numPr>
        <w:tabs>
          <w:tab w:val="clear" w:pos="709"/>
          <w:tab w:val="left" w:pos="1418" w:leader="none"/>
        </w:tabs>
        <w:ind w:firstLine="709" w:left="0"/>
        <w:jc w:val="both"/>
        <w:rPr>
          <w:sz w:val="24"/>
          <w:szCs w:val="24"/>
          <w:highlight w:val="lightGray"/>
        </w:rPr>
      </w:pPr>
      <w:r>
        <w:rPr>
          <w:sz w:val="24"/>
          <w:szCs w:val="24"/>
          <w:highlight w:val="lightGray"/>
        </w:rPr>
        <w:t>сертификат качества в __(____) экз.;</w:t>
      </w:r>
    </w:p>
    <w:p>
      <w:pPr>
        <w:pStyle w:val="Normal"/>
        <w:numPr>
          <w:ilvl w:val="0"/>
          <w:numId w:val="4"/>
        </w:numPr>
        <w:tabs>
          <w:tab w:val="clear" w:pos="709"/>
          <w:tab w:val="left" w:pos="1418" w:leader="none"/>
        </w:tabs>
        <w:ind w:firstLine="709" w:left="0"/>
        <w:jc w:val="both"/>
        <w:rPr>
          <w:sz w:val="24"/>
          <w:szCs w:val="24"/>
          <w:highlight w:val="lightGray"/>
        </w:rPr>
      </w:pPr>
      <w:r>
        <w:rPr>
          <w:sz w:val="24"/>
          <w:szCs w:val="24"/>
          <w:highlight w:val="lightGray"/>
        </w:rPr>
        <w:t>технический паспорт на русском языке в __(____) экз.;</w:t>
      </w:r>
    </w:p>
    <w:p>
      <w:pPr>
        <w:pStyle w:val="Normal"/>
        <w:numPr>
          <w:ilvl w:val="0"/>
          <w:numId w:val="4"/>
        </w:numPr>
        <w:tabs>
          <w:tab w:val="clear" w:pos="709"/>
          <w:tab w:val="left" w:pos="1418" w:leader="none"/>
        </w:tabs>
        <w:ind w:firstLine="709" w:left="0"/>
        <w:jc w:val="both"/>
        <w:rPr>
          <w:sz w:val="24"/>
          <w:szCs w:val="24"/>
          <w:highlight w:val="lightGray"/>
        </w:rPr>
      </w:pPr>
      <w:r>
        <w:rPr>
          <w:sz w:val="24"/>
          <w:szCs w:val="24"/>
          <w:highlight w:val="lightGray"/>
        </w:rPr>
        <w:t>инструкция по эксплуатации на русском языке в __(____) экз.;</w:t>
      </w:r>
    </w:p>
    <w:p>
      <w:pPr>
        <w:pStyle w:val="Normal"/>
        <w:numPr>
          <w:ilvl w:val="0"/>
          <w:numId w:val="4"/>
        </w:numPr>
        <w:tabs>
          <w:tab w:val="clear" w:pos="709"/>
          <w:tab w:val="left" w:pos="1418" w:leader="none"/>
        </w:tabs>
        <w:ind w:firstLine="709" w:left="0"/>
        <w:jc w:val="both"/>
        <w:rPr>
          <w:sz w:val="24"/>
          <w:szCs w:val="24"/>
          <w:highlight w:val="lightGray"/>
        </w:rPr>
      </w:pPr>
      <w:r>
        <w:rPr>
          <w:sz w:val="24"/>
          <w:szCs w:val="24"/>
          <w:highlight w:val="lightGray"/>
        </w:rPr>
        <w:t>упаковочный лист в __(____) экз.;</w:t>
      </w:r>
    </w:p>
    <w:p>
      <w:pPr>
        <w:pStyle w:val="Normal"/>
        <w:numPr>
          <w:ilvl w:val="0"/>
          <w:numId w:val="3"/>
        </w:numPr>
        <w:tabs>
          <w:tab w:val="clear" w:pos="709"/>
          <w:tab w:val="left" w:pos="1418" w:leader="none"/>
        </w:tabs>
        <w:ind w:firstLine="709" w:left="0"/>
        <w:jc w:val="both"/>
        <w:rPr>
          <w:sz w:val="24"/>
          <w:szCs w:val="24"/>
          <w:highlight w:val="lightGray"/>
        </w:rPr>
      </w:pPr>
      <w:r>
        <w:rPr>
          <w:sz w:val="24"/>
          <w:szCs w:val="24"/>
          <w:highlight w:val="lightGray"/>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и т.п.) в зависимости от номенклатуры поставляемого Товара;</w:t>
      </w:r>
    </w:p>
    <w:p>
      <w:pPr>
        <w:pStyle w:val="Normal"/>
        <w:numPr>
          <w:ilvl w:val="0"/>
          <w:numId w:val="3"/>
        </w:numPr>
        <w:shd w:val="clear" w:color="auto" w:fill="FFFFFF"/>
        <w:tabs>
          <w:tab w:val="clear" w:pos="709"/>
          <w:tab w:val="left" w:pos="1418" w:leader="none"/>
        </w:tabs>
        <w:ind w:firstLine="709" w:left="0"/>
        <w:jc w:val="both"/>
        <w:rPr>
          <w:sz w:val="24"/>
          <w:szCs w:val="24"/>
          <w:highlight w:val="lightGray"/>
        </w:rPr>
      </w:pPr>
      <w:r>
        <w:rPr>
          <w:sz w:val="24"/>
          <w:szCs w:val="24"/>
          <w:highlight w:val="lightGray"/>
        </w:rPr>
        <w:t>Накладная ТОРГ-12/УПД в __(____) экз.</w:t>
      </w:r>
    </w:p>
    <w:p>
      <w:pPr>
        <w:pStyle w:val="ListParagraph"/>
        <w:widowControl/>
        <w:numPr>
          <w:ilvl w:val="1"/>
          <w:numId w:val="2"/>
        </w:numPr>
        <w:shd w:val="clear" w:color="auto" w:fill="FFFFFF"/>
        <w:tabs>
          <w:tab w:val="clear" w:pos="709"/>
          <w:tab w:val="left" w:pos="1134" w:leader="none"/>
          <w:tab w:val="left" w:pos="1418" w:leader="none"/>
        </w:tabs>
        <w:ind w:firstLine="709" w:left="0"/>
        <w:jc w:val="both"/>
        <w:rPr>
          <w:bCs/>
          <w:sz w:val="24"/>
          <w:szCs w:val="24"/>
        </w:rPr>
      </w:pPr>
      <w:r>
        <w:rPr>
          <w:bCs/>
          <w:sz w:val="24"/>
          <w:szCs w:val="24"/>
        </w:rPr>
        <w:t xml:space="preserve">Поставщик обязан обеспечить присутствие во время приемки Товара и в месте поставки своего представителя, уполномоченного надлежащим образом оформленной доверенностью на передачу Товара Покупателю, подписание Акта рекламации. 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Товара, при этом такой отказ не будет являться нарушением обязательств Покупателя по Договору. Стороны будут рассматривать неявку представителя Поставщика как просрочку поставки. </w:t>
      </w:r>
    </w:p>
    <w:p>
      <w:pPr>
        <w:pStyle w:val="ListParagraph"/>
        <w:widowControl/>
        <w:shd w:val="clear" w:color="auto" w:fill="FFFFFF"/>
        <w:tabs>
          <w:tab w:val="clear" w:pos="709"/>
          <w:tab w:val="left" w:pos="1134" w:leader="none"/>
          <w:tab w:val="left" w:pos="1418" w:leader="none"/>
        </w:tabs>
        <w:ind w:hanging="0" w:left="709"/>
        <w:jc w:val="both"/>
        <w:rPr>
          <w:bCs/>
          <w:sz w:val="24"/>
          <w:szCs w:val="24"/>
        </w:rPr>
      </w:pPr>
      <w:r>
        <w:rPr>
          <w:bCs/>
          <w:sz w:val="24"/>
          <w:szCs w:val="24"/>
        </w:rPr>
        <w:t>Оригинал доверенности представителя Поставщика подлежит передаче Покупателю.</w:t>
      </w:r>
    </w:p>
    <w:p>
      <w:pPr>
        <w:pStyle w:val="ListParagraph"/>
        <w:widowControl/>
        <w:numPr>
          <w:ilvl w:val="1"/>
          <w:numId w:val="2"/>
        </w:numPr>
        <w:shd w:val="clear" w:color="auto" w:fill="FFFFFF"/>
        <w:tabs>
          <w:tab w:val="clear" w:pos="709"/>
          <w:tab w:val="left" w:pos="1134" w:leader="none"/>
          <w:tab w:val="left" w:pos="1418" w:leader="none"/>
        </w:tabs>
        <w:ind w:firstLine="709" w:left="0"/>
        <w:jc w:val="both"/>
        <w:rPr>
          <w:bCs/>
          <w:sz w:val="24"/>
          <w:szCs w:val="24"/>
        </w:rPr>
      </w:pPr>
      <w:r>
        <w:rPr>
          <w:bCs/>
          <w:sz w:val="24"/>
          <w:szCs w:val="24"/>
        </w:rPr>
        <w:t>В случае неявки представителя Поставщика и / или его отказа от подписания Акта рекламации при приемке Товара, составленный и подписанный Покупателем 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pPr>
        <w:pStyle w:val="ListParagraph"/>
        <w:widowControl/>
        <w:numPr>
          <w:ilvl w:val="1"/>
          <w:numId w:val="2"/>
        </w:numPr>
        <w:shd w:val="clear" w:color="auto" w:fill="FFFFFF"/>
        <w:tabs>
          <w:tab w:val="clear" w:pos="709"/>
          <w:tab w:val="left" w:pos="1134" w:leader="none"/>
          <w:tab w:val="left" w:pos="1418" w:leader="none"/>
        </w:tabs>
        <w:ind w:firstLine="709" w:left="0"/>
        <w:jc w:val="both"/>
        <w:rPr>
          <w:bCs/>
          <w:sz w:val="24"/>
          <w:szCs w:val="24"/>
        </w:rPr>
      </w:pPr>
      <w:bookmarkStart w:id="1" w:name="_Ref361408474"/>
      <w:r>
        <w:rPr>
          <w:bCs/>
          <w:sz w:val="24"/>
          <w:szCs w:val="24"/>
        </w:rPr>
        <w:t>Товар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перегрузок и длительного хранения.</w:t>
      </w:r>
      <w:bookmarkEnd w:id="1"/>
      <w:r>
        <w:rPr>
          <w:bCs/>
          <w:sz w:val="24"/>
          <w:szCs w:val="24"/>
        </w:rPr>
        <w:t xml:space="preserve"> Поставщик обязан сообщить Покупателю условия длительного хранения поставленного Товара (допускается определение условий хранения в сопроводительных документах). </w:t>
      </w:r>
    </w:p>
    <w:p>
      <w:pPr>
        <w:pStyle w:val="ListParagraph"/>
        <w:shd w:val="clear" w:color="auto" w:fill="FFFFFF"/>
        <w:tabs>
          <w:tab w:val="clear" w:pos="709"/>
          <w:tab w:val="left" w:pos="1418" w:leader="none"/>
        </w:tabs>
        <w:ind w:firstLine="709" w:left="0"/>
        <w:jc w:val="both"/>
        <w:rPr>
          <w:bCs/>
          <w:sz w:val="24"/>
          <w:szCs w:val="24"/>
        </w:rPr>
      </w:pPr>
      <w:r>
        <w:rPr>
          <w:sz w:val="24"/>
          <w:szCs w:val="24"/>
        </w:rPr>
        <w:t xml:space="preserve">Тара и упаковка Товара должны соответствовать требованиям Применимого права, предъявляемым к таре и упаковке соответствующего Товара. </w:t>
      </w:r>
      <w:r>
        <w:rPr>
          <w:bCs/>
          <w:sz w:val="24"/>
          <w:szCs w:val="24"/>
        </w:rPr>
        <w:t xml:space="preserve">Отдельные требования к упаковке и маркировке негабаритного Товара, а также любые другие специальные требования, помимо установленных в настоящем пункте Договора, указываются Сторонами в Спецификации (Приложение № 1 к Договору) и в Заявке. </w:t>
      </w:r>
    </w:p>
    <w:p>
      <w:pPr>
        <w:pStyle w:val="ListParagraph"/>
        <w:shd w:val="clear" w:color="auto" w:fill="FFFFFF"/>
        <w:tabs>
          <w:tab w:val="clear" w:pos="709"/>
          <w:tab w:val="left" w:pos="1418" w:leader="none"/>
        </w:tabs>
        <w:ind w:firstLine="709" w:left="0"/>
        <w:jc w:val="both"/>
        <w:rPr>
          <w:bCs/>
          <w:sz w:val="24"/>
          <w:szCs w:val="24"/>
        </w:rPr>
      </w:pPr>
      <w:r>
        <w:rPr>
          <w:bCs/>
          <w:sz w:val="24"/>
          <w:szCs w:val="24"/>
        </w:rPr>
        <w:t xml:space="preserve">Стоимость тары и упаковки включена в стоимость Товара. Тара и упаковка возврату </w:t>
        <w:br/>
        <w:t xml:space="preserve">не подлежат. </w:t>
      </w:r>
    </w:p>
    <w:p>
      <w:pPr>
        <w:pStyle w:val="ListParagraph"/>
        <w:widowControl/>
        <w:numPr>
          <w:ilvl w:val="1"/>
          <w:numId w:val="2"/>
        </w:numPr>
        <w:shd w:val="clear" w:color="auto" w:fill="FFFFFF"/>
        <w:tabs>
          <w:tab w:val="clear" w:pos="709"/>
          <w:tab w:val="left" w:pos="1134" w:leader="none"/>
          <w:tab w:val="left" w:pos="1418" w:leader="none"/>
        </w:tabs>
        <w:ind w:firstLine="709" w:left="0"/>
        <w:jc w:val="both"/>
        <w:rPr>
          <w:sz w:val="24"/>
          <w:szCs w:val="24"/>
        </w:rPr>
      </w:pPr>
      <w:r>
        <w:rPr>
          <w:sz w:val="24"/>
          <w:szCs w:val="24"/>
        </w:rPr>
        <w:t xml:space="preserve">Погрузка, доставка, разгрузка </w:t>
      </w:r>
      <w:r>
        <w:rPr>
          <w:sz w:val="24"/>
          <w:szCs w:val="24"/>
          <w:highlight w:val="lightGray"/>
        </w:rPr>
        <w:t xml:space="preserve">и перемещение Товара (в том числе </w:t>
        <w:br/>
        <w:t>по территории Покупателя)</w:t>
      </w:r>
      <w:r>
        <w:rPr>
          <w:rStyle w:val="FootnoteReference"/>
          <w:sz w:val="24"/>
          <w:szCs w:val="24"/>
          <w:highlight w:val="lightGray"/>
          <w:vertAlign w:val="superscript"/>
        </w:rPr>
        <w:footnoteReference w:id="8"/>
      </w:r>
      <w:r>
        <w:rPr>
          <w:sz w:val="24"/>
          <w:szCs w:val="24"/>
        </w:rPr>
        <w:t xml:space="preserve"> </w:t>
      </w:r>
      <w:r>
        <w:rPr>
          <w:bCs/>
          <w:sz w:val="24"/>
          <w:szCs w:val="24"/>
        </w:rPr>
        <w:t>осуществляется</w:t>
      </w:r>
      <w:r>
        <w:rPr>
          <w:sz w:val="24"/>
          <w:szCs w:val="24"/>
        </w:rPr>
        <w:t xml:space="preserve"> Поставщиком. Стоимость погрузки, доставки, разгрузки </w:t>
      </w:r>
      <w:r>
        <w:rPr>
          <w:sz w:val="24"/>
          <w:szCs w:val="24"/>
          <w:highlight w:val="lightGray"/>
        </w:rPr>
        <w:t>и перемещения Товара</w:t>
      </w:r>
      <w:r>
        <w:rPr>
          <w:sz w:val="24"/>
          <w:szCs w:val="24"/>
        </w:rPr>
        <w:t xml:space="preserve"> включена в Цену Договора.</w:t>
      </w:r>
    </w:p>
    <w:p>
      <w:pPr>
        <w:pStyle w:val="ListParagraph"/>
        <w:widowControl/>
        <w:numPr>
          <w:ilvl w:val="1"/>
          <w:numId w:val="2"/>
        </w:numPr>
        <w:shd w:val="clear" w:color="auto" w:fill="FFFFFF"/>
        <w:tabs>
          <w:tab w:val="clear" w:pos="709"/>
          <w:tab w:val="left" w:pos="1134" w:leader="none"/>
          <w:tab w:val="left" w:pos="1418" w:leader="none"/>
        </w:tabs>
        <w:ind w:firstLine="709" w:left="0"/>
        <w:jc w:val="both"/>
        <w:rPr>
          <w:sz w:val="24"/>
          <w:szCs w:val="24"/>
        </w:rPr>
      </w:pPr>
      <w:r>
        <w:rPr>
          <w:sz w:val="24"/>
          <w:szCs w:val="24"/>
        </w:rPr>
        <w:t xml:space="preserve">Досрочная поставка Товара допускается только при условии получения Поставщиком письменного согласия Покупателя.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bookmarkStart w:id="2" w:name="_Ref361396594"/>
      <w:r>
        <w:rPr>
          <w:sz w:val="24"/>
          <w:szCs w:val="24"/>
        </w:rPr>
        <w:t>Датой поставки Товара является дата подписания Сторонами Накладной</w:t>
        <w:br/>
        <w:t>ТОРГ-12/УПД.</w:t>
      </w:r>
      <w:bookmarkEnd w:id="2"/>
      <w:r>
        <w:rPr>
          <w:sz w:val="24"/>
          <w:szCs w:val="24"/>
        </w:rPr>
        <w:t xml:space="preserve">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Приемка Товара осуществляется Покупателем в дату поставки Товара в присутствии представителя Поставщика. </w:t>
      </w:r>
    </w:p>
    <w:p>
      <w:pPr>
        <w:pStyle w:val="ListParagraph"/>
        <w:numPr>
          <w:ilvl w:val="1"/>
          <w:numId w:val="2"/>
        </w:numPr>
        <w:tabs>
          <w:tab w:val="clear" w:pos="709"/>
          <w:tab w:val="left" w:pos="1418" w:leader="none"/>
        </w:tabs>
        <w:ind w:firstLine="709" w:left="0"/>
        <w:jc w:val="both"/>
        <w:rPr>
          <w:sz w:val="24"/>
          <w:szCs w:val="24"/>
        </w:rPr>
      </w:pPr>
      <w:r>
        <w:rPr>
          <w:sz w:val="24"/>
          <w:szCs w:val="24"/>
        </w:rPr>
        <w:t>Если при передаче Товара Покупателю будет обнаружено несоответствие Товара требованиям Заявки и Договора, Покупатель вправе отказаться от получения Товара, сделав соответствующую отметку в Накладной ТОРГ-12/УПД.</w:t>
      </w:r>
    </w:p>
    <w:p>
      <w:pPr>
        <w:pStyle w:val="ListParagraph"/>
        <w:numPr>
          <w:ilvl w:val="1"/>
          <w:numId w:val="2"/>
        </w:numPr>
        <w:tabs>
          <w:tab w:val="clear" w:pos="709"/>
          <w:tab w:val="left" w:pos="1418" w:leader="none"/>
        </w:tabs>
        <w:ind w:firstLine="709" w:left="0"/>
        <w:jc w:val="both"/>
        <w:rPr>
          <w:sz w:val="24"/>
          <w:szCs w:val="24"/>
        </w:rPr>
      </w:pPr>
      <w:r>
        <w:rPr>
          <w:sz w:val="24"/>
          <w:szCs w:val="24"/>
        </w:rPr>
        <w:t xml:space="preserve">В случае обнаружения внутри тары и упаковки недопоставки, некомплектности, недостатков, несоответствий и / 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 / или дефектов Товара.  </w:t>
      </w:r>
    </w:p>
    <w:p>
      <w:pPr>
        <w:pStyle w:val="Normal"/>
        <w:shd w:val="clear" w:color="auto" w:fill="FFFFFF"/>
        <w:tabs>
          <w:tab w:val="clear" w:pos="709"/>
          <w:tab w:val="left" w:pos="1134" w:leader="none"/>
          <w:tab w:val="left" w:pos="1418" w:leader="none"/>
          <w:tab w:val="left" w:pos="1851" w:leader="none"/>
        </w:tabs>
        <w:ind w:firstLine="709"/>
        <w:jc w:val="both"/>
        <w:rPr>
          <w:sz w:val="24"/>
          <w:szCs w:val="24"/>
        </w:rPr>
      </w:pPr>
      <w:r>
        <w:rPr>
          <w:sz w:val="24"/>
          <w:szCs w:val="24"/>
        </w:rPr>
        <w:t>Поставщик обязан своими силами и за свой счет устранить выявленные недостатки, несоответствия и / или дефекты Товара, в том числе путем его замены на новый, в течение 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 / или дефектов Товара его приемка осуществляется в соответствии с настоящим разделом Договора.</w:t>
      </w:r>
    </w:p>
    <w:p>
      <w:pPr>
        <w:pStyle w:val="Normal"/>
        <w:shd w:val="clear" w:color="auto" w:fill="FFFFFF"/>
        <w:tabs>
          <w:tab w:val="clear" w:pos="709"/>
          <w:tab w:val="left" w:pos="1134" w:leader="none"/>
          <w:tab w:val="left" w:pos="1418" w:leader="none"/>
          <w:tab w:val="left" w:pos="1851" w:leader="none"/>
        </w:tabs>
        <w:ind w:firstLine="709"/>
        <w:jc w:val="both"/>
        <w:rPr>
          <w:sz w:val="24"/>
          <w:szCs w:val="24"/>
        </w:rPr>
      </w:pPr>
      <w:bookmarkStart w:id="3" w:name="_Ref361408232"/>
      <w:r>
        <w:rPr>
          <w:sz w:val="24"/>
          <w:szCs w:val="24"/>
        </w:rPr>
        <w:t>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Товара по Заявке.</w:t>
      </w:r>
      <w:bookmarkEnd w:id="3"/>
    </w:p>
    <w:p>
      <w:pPr>
        <w:pStyle w:val="ListParagraph"/>
        <w:numPr>
          <w:ilvl w:val="1"/>
          <w:numId w:val="2"/>
        </w:numPr>
        <w:shd w:val="clear" w:color="auto" w:fill="FFFFFF"/>
        <w:tabs>
          <w:tab w:val="clear" w:pos="709"/>
          <w:tab w:val="left" w:pos="1418" w:leader="none"/>
          <w:tab w:val="left" w:pos="1851" w:leader="none"/>
        </w:tabs>
        <w:ind w:firstLine="709" w:left="0"/>
        <w:jc w:val="both"/>
        <w:rPr>
          <w:sz w:val="24"/>
          <w:szCs w:val="24"/>
        </w:rPr>
      </w:pPr>
      <w:r>
        <w:rPr>
          <w:sz w:val="24"/>
          <w:szCs w:val="24"/>
        </w:rPr>
        <w:t>В случае неисполнения Поставщиком обязательств по устранению выявленных недостатков, несоответствий и / или дефектов Товара в порядке, предусмотренном пунктом 3.14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Товара, от которой отказался Покупатель, возвратить ее стоимость, а также возместить убытки, причиненные Покупателю ненадлежащим исполнением Договора, в том числе расходы на хранение Товара.</w:t>
      </w:r>
    </w:p>
    <w:p>
      <w:pPr>
        <w:pStyle w:val="Normal"/>
        <w:shd w:val="clear" w:color="auto" w:fill="FFFFFF"/>
        <w:tabs>
          <w:tab w:val="clear" w:pos="709"/>
          <w:tab w:val="left" w:pos="1283" w:leader="none"/>
          <w:tab w:val="left" w:pos="1851" w:leader="none"/>
        </w:tabs>
        <w:ind w:firstLine="709"/>
        <w:jc w:val="both"/>
        <w:rPr>
          <w:sz w:val="24"/>
          <w:szCs w:val="24"/>
        </w:rPr>
      </w:pPr>
      <w:r>
        <w:rPr>
          <w:sz w:val="24"/>
          <w:szCs w:val="24"/>
        </w:rPr>
        <w:t>Если Поставщик не вывезет Товар в указанный срок, Покупатель вправе самостоятельно возвратить Товар Поставщику. Расходы, понесенные Покупателем в связи                   с возвратом Товара, подлежат возмещению Поставщиком.</w:t>
      </w:r>
    </w:p>
    <w:p>
      <w:pPr>
        <w:pStyle w:val="ListParagraph"/>
        <w:widowControl/>
        <w:numPr>
          <w:ilvl w:val="1"/>
          <w:numId w:val="2"/>
        </w:numPr>
        <w:shd w:val="clear" w:color="auto" w:fill="FFFFFF"/>
        <w:tabs>
          <w:tab w:val="clear" w:pos="709"/>
          <w:tab w:val="left" w:pos="1134" w:leader="none"/>
          <w:tab w:val="left" w:pos="1418" w:leader="none"/>
        </w:tabs>
        <w:ind w:firstLine="709" w:left="0"/>
        <w:jc w:val="both"/>
        <w:rPr>
          <w:b/>
          <w:color w:val="000000"/>
          <w:sz w:val="24"/>
          <w:szCs w:val="24"/>
        </w:rPr>
      </w:pPr>
      <w:r>
        <w:rPr>
          <w:sz w:val="24"/>
          <w:szCs w:val="24"/>
        </w:rPr>
        <w:t>По иным вопросам, касающимся приемки Товара по количеству, качеству и комплектности, в части не противоречащей законодательству Российской Федерации и условиям Договора, Стороны руководствуются Инструкцией Госарбитража при Совете Министров СССР от 15.06.1965 № П-6 (за исключением пунктов 18, 21, 29-32), Инструкцией Госарбитража при Совете Министров СССР от 25.04.1966 № П-7 (за исключением пунктов 20, 23, абз.3 пункта 30, 35, 38-42).</w:t>
      </w:r>
      <w:r>
        <w:rPr>
          <w:b/>
          <w:bCs/>
          <w:color w:val="000000"/>
          <w:sz w:val="24"/>
          <w:szCs w:val="24"/>
        </w:rPr>
        <w:t xml:space="preserve"> </w:t>
      </w:r>
    </w:p>
    <w:p>
      <w:pPr>
        <w:pStyle w:val="ListParagraph"/>
        <w:widowControl/>
        <w:numPr>
          <w:ilvl w:val="1"/>
          <w:numId w:val="2"/>
        </w:numPr>
        <w:shd w:val="clear" w:color="auto" w:fill="FFFFFF"/>
        <w:tabs>
          <w:tab w:val="clear" w:pos="709"/>
          <w:tab w:val="left" w:pos="1134" w:leader="none"/>
          <w:tab w:val="left" w:pos="1418" w:leader="none"/>
        </w:tabs>
        <w:ind w:firstLine="709" w:left="0"/>
        <w:jc w:val="both"/>
        <w:rPr>
          <w:sz w:val="24"/>
          <w:szCs w:val="24"/>
        </w:rPr>
      </w:pPr>
      <w:r>
        <w:rPr>
          <w:sz w:val="24"/>
          <w:szCs w:val="24"/>
        </w:rPr>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Накладной ТОРГ-12/УПД.</w:t>
      </w:r>
    </w:p>
    <w:p>
      <w:pPr>
        <w:pStyle w:val="Normal"/>
        <w:widowControl/>
        <w:shd w:val="clear" w:color="auto" w:fill="FFFFFF"/>
        <w:tabs>
          <w:tab w:val="clear" w:pos="709"/>
          <w:tab w:val="left" w:pos="1134" w:leader="none"/>
          <w:tab w:val="left" w:pos="1418" w:leader="none"/>
        </w:tabs>
        <w:ind w:firstLine="709"/>
        <w:jc w:val="both"/>
        <w:rPr>
          <w:sz w:val="24"/>
          <w:szCs w:val="24"/>
        </w:rPr>
      </w:pPr>
      <w:r>
        <w:rPr>
          <w:sz w:val="24"/>
          <w:szCs w:val="24"/>
        </w:rPr>
      </w:r>
    </w:p>
    <w:p>
      <w:pPr>
        <w:pStyle w:val="ListParagraph"/>
        <w:numPr>
          <w:ilvl w:val="0"/>
          <w:numId w:val="2"/>
        </w:numPr>
        <w:shd w:val="clear" w:color="auto" w:fill="FFFFFF"/>
        <w:ind w:hanging="0" w:left="0"/>
        <w:jc w:val="center"/>
        <w:rPr>
          <w:b/>
          <w:sz w:val="24"/>
          <w:szCs w:val="24"/>
          <w:highlight w:val="lightGray"/>
        </w:rPr>
      </w:pPr>
      <w:r>
        <w:rPr>
          <w:b/>
          <w:sz w:val="24"/>
          <w:szCs w:val="24"/>
          <w:highlight w:val="lightGray"/>
        </w:rPr>
        <w:t>Гарантийный срок</w:t>
      </w:r>
      <w:r>
        <w:rPr>
          <w:rStyle w:val="FootnoteReference"/>
          <w:b/>
          <w:sz w:val="24"/>
          <w:szCs w:val="24"/>
          <w:highlight w:val="lightGray"/>
        </w:rPr>
        <w:footnoteReference w:id="9"/>
      </w:r>
    </w:p>
    <w:p>
      <w:pPr>
        <w:pStyle w:val="ListParagraph"/>
        <w:numPr>
          <w:ilvl w:val="1"/>
          <w:numId w:val="2"/>
        </w:numPr>
        <w:tabs>
          <w:tab w:val="clear" w:pos="709"/>
          <w:tab w:val="left" w:pos="1134" w:leader="none"/>
        </w:tabs>
        <w:ind w:firstLine="709" w:left="0"/>
        <w:jc w:val="both"/>
        <w:rPr>
          <w:sz w:val="24"/>
          <w:szCs w:val="24"/>
        </w:rPr>
      </w:pPr>
      <w:r>
        <w:rPr>
          <w:sz w:val="24"/>
          <w:szCs w:val="24"/>
        </w:rPr>
        <w:t xml:space="preserve">Гарантийный срок на Товар, </w:t>
      </w:r>
      <w:r>
        <w:rPr>
          <w:sz w:val="24"/>
          <w:szCs w:val="24"/>
          <w:highlight w:val="lightGray"/>
        </w:rPr>
        <w:t>поставленный по Договору</w:t>
      </w:r>
      <w:r>
        <w:rPr>
          <w:sz w:val="24"/>
          <w:szCs w:val="24"/>
        </w:rPr>
        <w:t xml:space="preserve">, составляет </w:t>
      </w:r>
      <w:r>
        <w:rPr>
          <w:sz w:val="24"/>
          <w:szCs w:val="24"/>
          <w:highlight w:val="lightGray"/>
        </w:rPr>
        <w:t>____ (______)</w:t>
      </w:r>
      <w:r>
        <w:rPr>
          <w:sz w:val="24"/>
          <w:szCs w:val="24"/>
        </w:rPr>
        <w:t xml:space="preserve"> месяцев и начинает течь с даты подписания Сторонами Накладной ТОРГ-12/УПД. Гарантийный срок может быть продлен в соответствии с условиями Договора. </w:t>
      </w:r>
    </w:p>
    <w:p>
      <w:pPr>
        <w:pStyle w:val="ListParagraph"/>
        <w:tabs>
          <w:tab w:val="clear" w:pos="709"/>
          <w:tab w:val="left" w:pos="1134" w:leader="none"/>
          <w:tab w:val="left" w:pos="1851" w:leader="none"/>
        </w:tabs>
        <w:ind w:firstLine="709" w:left="0"/>
        <w:jc w:val="both"/>
        <w:rPr>
          <w:sz w:val="24"/>
          <w:szCs w:val="24"/>
        </w:rPr>
      </w:pPr>
      <w:r>
        <w:rPr>
          <w:sz w:val="24"/>
          <w:szCs w:val="24"/>
        </w:rPr>
        <w:t>Установленный в отношении Товара гарантийный срок распространяется на все составные части и комплектующие Товара.</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В течение Гарантийного срока Поставщик гарантирует соответствие качества Товара требованиям Договора, технического паспорта и иных документов, относящихся к Товару, и Применимого права, возможность эксплуатации (использования) Товара в соответствии с его целевым назначением, а также несет безусловную ответственность за обнаруженные недостатки, несоответствия и / или дефекты Товара, если не докажет, что такие недостатки, несоответствия и / или дефекты явились следствием несоблюдения Покупателем требований по использованию Товара, установленных в инструкциях и иных документах, переданных Покупателю в соответствии с пунктом 3.5 Договора. </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В случае обнаружения в течение Гарантийного срока недостатков, несоответствий и / 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 / или дефектах. Если к указанному в настоящем пункте сроку представитель Поставщика не прибудет, Акт о недостатках, несоответствиях и / или дефектах будет составлен Покупателем в одностороннем порядке и будет признан Сторонами действительным.</w:t>
      </w:r>
    </w:p>
    <w:p>
      <w:pPr>
        <w:pStyle w:val="Normal"/>
        <w:widowControl/>
        <w:numPr>
          <w:ilvl w:val="1"/>
          <w:numId w:val="2"/>
        </w:numPr>
        <w:shd w:val="clear" w:color="auto" w:fill="FFFFFF"/>
        <w:tabs>
          <w:tab w:val="clear" w:pos="709"/>
          <w:tab w:val="left" w:pos="1134" w:leader="none"/>
          <w:tab w:val="left" w:pos="1276" w:leader="none"/>
        </w:tabs>
        <w:ind w:firstLine="709" w:left="0"/>
        <w:jc w:val="both"/>
        <w:rPr>
          <w:sz w:val="24"/>
          <w:szCs w:val="24"/>
        </w:rPr>
      </w:pPr>
      <w:r>
        <w:rPr>
          <w:sz w:val="24"/>
          <w:szCs w:val="24"/>
        </w:rPr>
        <w:t xml:space="preserve">Поставщик обязан своими силами и за свой счет устранить недостатки, несоответствия и / или дефекты Товара, обнаруженные Покупателем в течение Гарантийного срока, в срок, указанный </w:t>
      </w:r>
      <w:bookmarkStart w:id="4" w:name="OLE_LINK6"/>
      <w:bookmarkStart w:id="5" w:name="OLE_LINK5"/>
      <w:r>
        <w:rPr>
          <w:sz w:val="24"/>
          <w:szCs w:val="24"/>
        </w:rPr>
        <w:t>Покупателем в соответствии с пунктом 4.3 Договора</w:t>
      </w:r>
      <w:bookmarkEnd w:id="4"/>
      <w:bookmarkEnd w:id="5"/>
      <w:r>
        <w:rPr>
          <w:sz w:val="24"/>
          <w:szCs w:val="24"/>
        </w:rPr>
        <w:t xml:space="preserve">, путем замены или ремонта Товара. </w:t>
      </w:r>
    </w:p>
    <w:p>
      <w:pPr>
        <w:pStyle w:val="Normal"/>
        <w:widowControl/>
        <w:shd w:val="clear" w:color="auto" w:fill="FFFFFF"/>
        <w:tabs>
          <w:tab w:val="clear" w:pos="709"/>
          <w:tab w:val="left" w:pos="1134" w:leader="none"/>
        </w:tabs>
        <w:ind w:firstLine="709"/>
        <w:jc w:val="both"/>
        <w:rPr>
          <w:sz w:val="24"/>
          <w:szCs w:val="24"/>
        </w:rPr>
      </w:pPr>
      <w:r>
        <w:rPr>
          <w:sz w:val="24"/>
          <w:szCs w:val="24"/>
        </w:rPr>
        <w:t xml:space="preserve">Устранение недостатков путем ремонта Товара может осуществляться только по письменному согласованию с Покупателем. Поставщик вправе по согласованию с Покупателем вместо замены Товара возвратить Покупателю его стоимость. Вывоз Товара для целей устранения недостатков (дефектов) осуществляется силами Поставщика и за его счет.  </w:t>
      </w:r>
    </w:p>
    <w:p>
      <w:pPr>
        <w:pStyle w:val="ListParagraph"/>
        <w:widowControl/>
        <w:numPr>
          <w:ilvl w:val="1"/>
          <w:numId w:val="2"/>
        </w:numPr>
        <w:shd w:val="clear" w:color="auto" w:fill="FFFFFF"/>
        <w:tabs>
          <w:tab w:val="clear" w:pos="709"/>
          <w:tab w:val="left" w:pos="1134" w:leader="none"/>
          <w:tab w:val="left" w:pos="1276" w:leader="none"/>
        </w:tabs>
        <w:ind w:firstLine="709" w:left="0"/>
        <w:jc w:val="both"/>
        <w:rPr>
          <w:sz w:val="24"/>
          <w:szCs w:val="24"/>
        </w:rPr>
      </w:pPr>
      <w:r>
        <w:rPr>
          <w:sz w:val="24"/>
          <w:szCs w:val="24"/>
        </w:rPr>
        <w:t>Если Поставщик не устранит недостатки (дефекты) Товара в установленный Покупателем срок, Покупатель вправе устранить их собственными силами или силами третьих лиц, с отнесением на Поставщика соответствующих расходов. Поставщик обязан возместить расходы Покупателя на устранение недостатков, несоответствий и / или дефектов Товара в течение 10 (десяти) рабочих дней с даты получения соответствующего письменного требования Покупателя.</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Гарантийный срок на Товар увеличивается на тот период времени, в течение которого Покупатель не мог эксплуатировать (использовать) Товар вследствие его недостатков (дефектов). Гарантийный срок на замененную или отремонтированную единицу Товара устанавливается продолжительностью, указанной в пункте 4.1 Договора, и начинает исчисляться заново с даты приемки Покупателем замененной единицы Товара или работ по устранению недостатков (дефектов).</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Устранение недостатков, несоответствий и / или дефектов Товара или возврат его стоимости, в том числе в рамках срока, установленного в соответствии с пунктом 4.3 Договора, не освобождает Поставщика от обязанности возмещения убытков, причиненных Покупателю вследствие наличия таких недостатков (дефектов). </w:t>
      </w:r>
    </w:p>
    <w:p>
      <w:pPr>
        <w:pStyle w:val="Normal"/>
        <w:shd w:val="clear" w:color="auto" w:fill="FFFFFF"/>
        <w:tabs>
          <w:tab w:val="clear" w:pos="709"/>
          <w:tab w:val="left" w:pos="1190" w:leader="none"/>
        </w:tabs>
        <w:ind w:firstLine="709"/>
        <w:jc w:val="both"/>
        <w:rPr>
          <w:sz w:val="24"/>
          <w:szCs w:val="24"/>
        </w:rPr>
      </w:pPr>
      <w:r>
        <w:rPr>
          <w:sz w:val="24"/>
          <w:szCs w:val="24"/>
        </w:rPr>
      </w:r>
    </w:p>
    <w:p>
      <w:pPr>
        <w:pStyle w:val="Normal"/>
        <w:numPr>
          <w:ilvl w:val="0"/>
          <w:numId w:val="2"/>
        </w:numPr>
        <w:shd w:val="clear" w:color="auto" w:fill="FFFFFF"/>
        <w:ind w:hanging="0" w:left="0"/>
        <w:jc w:val="center"/>
        <w:rPr>
          <w:b/>
          <w:bCs/>
          <w:sz w:val="24"/>
          <w:szCs w:val="24"/>
        </w:rPr>
      </w:pPr>
      <w:r>
        <w:rPr>
          <w:b/>
          <w:bCs/>
          <w:sz w:val="24"/>
          <w:szCs w:val="24"/>
        </w:rPr>
        <w:t>Ответственность Сторон</w:t>
      </w:r>
    </w:p>
    <w:p>
      <w:pPr>
        <w:pStyle w:val="ListParagraph"/>
        <w:numPr>
          <w:ilvl w:val="1"/>
          <w:numId w:val="2"/>
        </w:numPr>
        <w:tabs>
          <w:tab w:val="clear" w:pos="709"/>
          <w:tab w:val="left" w:pos="1276" w:leader="none"/>
        </w:tabs>
        <w:ind w:firstLine="709" w:left="0"/>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Normal"/>
        <w:widowControl/>
        <w:numPr>
          <w:ilvl w:val="1"/>
          <w:numId w:val="2"/>
        </w:numPr>
        <w:tabs>
          <w:tab w:val="clear" w:pos="709"/>
          <w:tab w:val="left" w:pos="1276" w:leader="none"/>
        </w:tabs>
        <w:ind w:firstLine="709" w:left="0"/>
        <w:jc w:val="both"/>
        <w:rPr>
          <w:bCs/>
          <w:sz w:val="24"/>
          <w:szCs w:val="24"/>
        </w:rPr>
      </w:pPr>
      <w:r>
        <w:rPr>
          <w:bCs/>
          <w:sz w:val="24"/>
          <w:szCs w:val="24"/>
        </w:rPr>
        <w:t xml:space="preserve">В случае нарушения Покупателем сроков оплаты, установленных разделом 2 Договора, Поставщик вправе 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 </w:t>
      </w:r>
    </w:p>
    <w:p>
      <w:pPr>
        <w:pStyle w:val="Normal"/>
        <w:widowControl/>
        <w:numPr>
          <w:ilvl w:val="1"/>
          <w:numId w:val="2"/>
        </w:numPr>
        <w:tabs>
          <w:tab w:val="clear" w:pos="709"/>
          <w:tab w:val="left" w:pos="1276" w:leader="none"/>
        </w:tabs>
        <w:ind w:firstLine="709" w:left="0"/>
        <w:jc w:val="both"/>
        <w:rPr>
          <w:bCs/>
          <w:sz w:val="24"/>
          <w:szCs w:val="24"/>
        </w:rPr>
      </w:pPr>
      <w:r>
        <w:rPr>
          <w:bCs/>
          <w:sz w:val="24"/>
          <w:szCs w:val="24"/>
        </w:rPr>
        <w:t xml:space="preserve">В случае </w:t>
      </w:r>
      <w:r>
        <w:rPr>
          <w:sz w:val="24"/>
          <w:szCs w:val="24"/>
        </w:rPr>
        <w:t>нарушения Поставщиком обязательств по поставке Товара (</w:t>
      </w:r>
      <w:r>
        <w:rPr>
          <w:rFonts w:eastAsia="Calibri"/>
          <w:bCs/>
          <w:sz w:val="24"/>
          <w:szCs w:val="24"/>
        </w:rPr>
        <w:t>нарушение срока поставки, недопоставка)</w:t>
      </w:r>
      <w:r>
        <w:rPr>
          <w:sz w:val="24"/>
          <w:szCs w:val="24"/>
        </w:rPr>
        <w:t>, в том числе установленных в Заявке, а также в случае несвоевременного устранения выявленных недостатков Товара, Покупатель вправе требовать уплаты Поставщиком неустойки в размере 0,1 (ноль целых и одна десятая) процента от Цены Договора за каждый день просрочки.</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bCs/>
          <w:sz w:val="24"/>
          <w:szCs w:val="24"/>
        </w:rPr>
        <w:t xml:space="preserve">В случае нарушения Поставщиком требований пропускного и внутриобъектового режима, требований охраны труда, пожарной и промышленной безопасности, если они зафиксированы Покупателем или уполномоченным государственным органом, Покупатель, помимо возмещения убытков, вправе требовать уплаты Поставщиком штрафа в размерах, установленных Приложением № 3 к Договору. </w:t>
      </w:r>
    </w:p>
    <w:p>
      <w:pPr>
        <w:pStyle w:val="ListParagraph"/>
        <w:widowControl/>
        <w:numPr>
          <w:ilvl w:val="1"/>
          <w:numId w:val="2"/>
        </w:numPr>
        <w:shd w:val="clear" w:color="auto" w:fill="FFFFFF"/>
        <w:tabs>
          <w:tab w:val="clear" w:pos="709"/>
          <w:tab w:val="left" w:pos="1276" w:leader="none"/>
        </w:tabs>
        <w:ind w:firstLine="709" w:left="0"/>
        <w:jc w:val="both"/>
        <w:rPr>
          <w:bCs/>
          <w:sz w:val="24"/>
          <w:szCs w:val="24"/>
          <w:highlight w:val="lightGray"/>
        </w:rPr>
      </w:pPr>
      <w:r>
        <w:rPr>
          <w:bCs/>
          <w:sz w:val="24"/>
          <w:szCs w:val="24"/>
          <w:highlight w:val="lightGray"/>
        </w:rPr>
        <w:t xml:space="preserve">Если в результате составления и выставления Поставщиком счетов-фактур/УПД </w:t>
        <w:br/>
        <w:t xml:space="preserve">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w:t>
        <w:br/>
        <w:t xml:space="preserve">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w:t>
        <w:br/>
        <w:t>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p>
    <w:p>
      <w:pPr>
        <w:pStyle w:val="ListParagraph"/>
        <w:widowControl/>
        <w:shd w:val="clear" w:color="auto" w:fill="FFFFFF"/>
        <w:tabs>
          <w:tab w:val="clear" w:pos="709"/>
          <w:tab w:val="left" w:pos="1276" w:leader="none"/>
        </w:tabs>
        <w:ind w:firstLine="709" w:left="0"/>
        <w:jc w:val="both"/>
        <w:rPr>
          <w:bCs/>
          <w:sz w:val="24"/>
          <w:szCs w:val="24"/>
        </w:rPr>
      </w:pPr>
      <w:r>
        <w:rPr>
          <w:bCs/>
          <w:sz w:val="24"/>
          <w:szCs w:val="24"/>
        </w:rPr>
        <w:t>В случае нарушения Поставщиком сроков предоставления счетов-фактур/УПД, установленных пунктом 2.9 Договора, Покупатель вправе требовать уплаты Поставщиком штрафа в размере 50 000 (Пятидесяти тысяч) рублей за каждый случай нарушения</w:t>
      </w:r>
      <w:r>
        <w:rPr>
          <w:rStyle w:val="FootnoteReference"/>
          <w:bCs/>
          <w:sz w:val="24"/>
          <w:szCs w:val="24"/>
        </w:rPr>
        <w:footnoteReference w:id="10"/>
      </w:r>
      <w:r>
        <w:rPr>
          <w:bCs/>
          <w:sz w:val="24"/>
          <w:szCs w:val="24"/>
        </w:rPr>
        <w:t>.</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bCs/>
          <w:sz w:val="24"/>
          <w:szCs w:val="24"/>
        </w:rPr>
        <w:t xml:space="preserve">Поставщик несет ответственность перед Покупателем за причиненный ущерб </w:t>
        <w:br/>
        <w:t xml:space="preserve">в размере фактически понесенных и документально подтвержденных расходов, возникших </w:t>
        <w:b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bCs/>
          <w:sz w:val="24"/>
          <w:szCs w:val="24"/>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bCs/>
          <w:sz w:val="24"/>
          <w:szCs w:val="24"/>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bCs/>
          <w:sz w:val="24"/>
          <w:szCs w:val="24"/>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bCs/>
          <w:sz w:val="24"/>
          <w:szCs w:val="24"/>
        </w:rPr>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w:t>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br/>
        <w:t>в письменном требовании,</w:t>
      </w:r>
      <w:r>
        <w:rPr>
          <w:sz w:val="24"/>
          <w:szCs w:val="24"/>
        </w:rPr>
        <w:t xml:space="preserve"> </w:t>
      </w:r>
      <w:r>
        <w:rPr>
          <w:bCs/>
          <w:sz w:val="24"/>
          <w:szCs w:val="24"/>
        </w:rPr>
        <w:t>сумма неустойки, подлежащая уплате виновной Стороной, определяется на основании решения суда.</w:t>
      </w:r>
    </w:p>
    <w:p>
      <w:pPr>
        <w:pStyle w:val="Normal"/>
        <w:shd w:val="clear" w:color="auto" w:fill="FFFFFF"/>
        <w:ind w:firstLine="709"/>
        <w:jc w:val="both"/>
        <w:rPr>
          <w:sz w:val="24"/>
          <w:szCs w:val="24"/>
        </w:rPr>
      </w:pPr>
      <w:r>
        <w:rPr>
          <w:sz w:val="24"/>
          <w:szCs w:val="24"/>
        </w:rPr>
      </w:r>
    </w:p>
    <w:p>
      <w:pPr>
        <w:pStyle w:val="ListParagraph"/>
        <w:widowControl/>
        <w:numPr>
          <w:ilvl w:val="0"/>
          <w:numId w:val="2"/>
        </w:numPr>
        <w:shd w:val="clear" w:color="auto" w:fill="FFFFFF"/>
        <w:tabs>
          <w:tab w:val="clear" w:pos="709"/>
          <w:tab w:val="left" w:pos="0" w:leader="none"/>
        </w:tabs>
        <w:ind w:hanging="0" w:left="0"/>
        <w:jc w:val="center"/>
        <w:rPr>
          <w:b/>
          <w:bCs/>
          <w:sz w:val="24"/>
          <w:szCs w:val="24"/>
        </w:rPr>
      </w:pPr>
      <w:r>
        <w:rPr>
          <w:b/>
          <w:bCs/>
          <w:sz w:val="24"/>
          <w:szCs w:val="24"/>
        </w:rPr>
        <w:t>Конфиденциальность</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widowControl/>
        <w:numPr>
          <w:ilvl w:val="0"/>
          <w:numId w:val="5"/>
        </w:numPr>
        <w:tabs>
          <w:tab w:val="left" w:pos="0" w:leader="none"/>
          <w:tab w:val="left" w:pos="709" w:leader="none"/>
          <w:tab w:val="left" w:pos="1418" w:leader="none"/>
        </w:tabs>
        <w:ind w:firstLine="709" w:left="0"/>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pPr>
        <w:pStyle w:val="Normal"/>
        <w:widowControl/>
        <w:numPr>
          <w:ilvl w:val="0"/>
          <w:numId w:val="5"/>
        </w:numPr>
        <w:tabs>
          <w:tab w:val="left" w:pos="0" w:leader="none"/>
          <w:tab w:val="left" w:pos="709" w:leader="none"/>
          <w:tab w:val="left" w:pos="1418" w:leader="none"/>
        </w:tabs>
        <w:ind w:firstLine="709" w:left="0"/>
        <w:jc w:val="both"/>
        <w:rPr>
          <w:bCs/>
          <w:sz w:val="24"/>
          <w:szCs w:val="24"/>
        </w:rPr>
      </w:pPr>
      <w:r>
        <w:rPr>
          <w:bCs/>
          <w:sz w:val="24"/>
          <w:szCs w:val="24"/>
        </w:rPr>
        <w:t xml:space="preserve">данная Информация не относится к категории общедоступной </w:t>
        <w:br/>
        <w:t>или обязательной к раскрытию Покупателем в соответствии с законодательством Российской Федерации.</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Условия Договора и сам факт его заключения составляют Информацию </w:t>
        <w:br/>
        <w:t xml:space="preserve">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Информация может включать в себя, в том числе, но не ограничиваясь:</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учетные регистры бухгалтерского учета;</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бизнес-планы;</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 xml:space="preserve">сведения о находящихся на регистрации товарных знаках Покупателя, а также </w:t>
        <w:br/>
        <w:t>об объектах интеллектуальной собственности Покупателя, сведения о которых не являются опубликованными;</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 xml:space="preserve">сведения о Поставщиках, поставщиках оборудования и материалов, а также </w:t>
        <w:br/>
        <w:t>о покупателях продукции Покупателя и их аффилированных лицах;</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сведения об объемах производства и / или реализации продукции и услуг Покупателя или его аффилированных лиц;</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bookmarkStart w:id="6" w:name="_Ref361337849"/>
      <w:r>
        <w:rPr>
          <w:bCs/>
          <w:sz w:val="24"/>
          <w:szCs w:val="24"/>
        </w:rPr>
        <w:t>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sz w:val="24"/>
          <w:szCs w:val="24"/>
        </w:rPr>
        <w:t xml:space="preserve"> </w:t>
      </w:r>
      <w:r>
        <w:rPr>
          <w:bCs/>
          <w:sz w:val="24"/>
          <w:szCs w:val="24"/>
        </w:rPr>
        <w:t>(расторжения) или исполнения, в том числе:</w:t>
      </w:r>
      <w:bookmarkEnd w:id="6"/>
      <w:r>
        <w:rPr>
          <w:bCs/>
          <w:sz w:val="24"/>
          <w:szCs w:val="24"/>
        </w:rPr>
        <w:t xml:space="preserve">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Не разглашать, не обсуждать содержание, не предоставлять копий, </w:t>
        <w:br/>
        <w:t xml:space="preserve">не публиковать и не </w:t>
      </w:r>
      <w:r>
        <w:rPr>
          <w:sz w:val="24"/>
          <w:szCs w:val="24"/>
        </w:rPr>
        <w:t>раскрывать</w:t>
      </w:r>
      <w:r>
        <w:rPr>
          <w:bCs/>
          <w:sz w:val="24"/>
          <w:szCs w:val="24"/>
        </w:rPr>
        <w:t xml:space="preserve"> в какой-либо иной форме третьим лицам Информацию </w:t>
        <w:br/>
        <w:t>без получения предварительного письменного согласия Покупателя, за исключением случаев, предусмотренных законодательством Российской Федерации и пункте 6.6.7 Договора.</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w:t>
        <w:br/>
        <w:t>в отношении защиты Информации обычно используемые им меры защиты.</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Использовать Информацию исключительно для целей, для которых она была предоставлена.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w:t>
        <w:br/>
        <w:t xml:space="preserve">на технических средствах Поставщика. При этом Покупатель признает, что обязательства </w:t>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br/>
        <w:t xml:space="preserve">или методики создания резервных копий.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bookmarkStart w:id="7" w:name="_Ref361337832"/>
      <w:r>
        <w:rPr>
          <w:bCs/>
          <w:sz w:val="24"/>
          <w:szCs w:val="24"/>
        </w:rPr>
        <w:t xml:space="preserve">Раскрывать Информацию своим работникам, членам органов управления </w:t>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br/>
        <w:t>за свои собственные.</w:t>
      </w:r>
      <w:bookmarkEnd w:id="7"/>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Не разглашать третьим лицам факты передачи или получения Информации.</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bookmarkStart w:id="8" w:name="_Ref361337863"/>
      <w:r>
        <w:rPr>
          <w:bCs/>
          <w:sz w:val="24"/>
          <w:szCs w:val="24"/>
        </w:rPr>
        <w:t xml:space="preserve">Поставщик, нарушивший условия настоящего раздела Договора, возмещает Покупателю убытки, вызванные таким нарушением, в течение 10 (десяти) календарных дней </w:t>
        <w:br/>
        <w:t>с даты получения соответствующего письменного требования Покупателя.</w:t>
      </w:r>
      <w:bookmarkEnd w:id="8"/>
    </w:p>
    <w:p>
      <w:pPr>
        <w:pStyle w:val="Normal"/>
        <w:numPr>
          <w:ilvl w:val="1"/>
          <w:numId w:val="2"/>
        </w:numPr>
        <w:shd w:val="clear" w:color="auto" w:fill="FFFFFF"/>
        <w:tabs>
          <w:tab w:val="clear" w:pos="709"/>
          <w:tab w:val="left" w:pos="1134" w:leader="none"/>
        </w:tabs>
        <w:ind w:firstLine="709" w:left="0"/>
        <w:jc w:val="both"/>
        <w:rPr>
          <w:bCs/>
          <w:sz w:val="24"/>
          <w:szCs w:val="24"/>
        </w:rPr>
      </w:pPr>
      <w:r>
        <w:rPr>
          <w:bCs/>
          <w:sz w:val="24"/>
          <w:szCs w:val="24"/>
        </w:rPr>
        <w:t xml:space="preserve">Условия защиты Информации, представляемой Поставщиком Покупателю, могут быть дополнительно урегулированы отдельно заключаемым Сторонами соглашением. </w:t>
      </w:r>
    </w:p>
    <w:p>
      <w:pPr>
        <w:pStyle w:val="Normal"/>
        <w:shd w:val="clear" w:color="auto" w:fill="FFFFFF"/>
        <w:ind w:firstLine="709"/>
        <w:jc w:val="both"/>
        <w:rPr>
          <w:bCs/>
          <w:sz w:val="24"/>
          <w:szCs w:val="24"/>
        </w:rPr>
      </w:pPr>
      <w:r>
        <w:rPr>
          <w:bCs/>
          <w:sz w:val="24"/>
          <w:szCs w:val="24"/>
        </w:rPr>
      </w:r>
    </w:p>
    <w:p>
      <w:pPr>
        <w:pStyle w:val="ListParagraph"/>
        <w:widowControl/>
        <w:numPr>
          <w:ilvl w:val="0"/>
          <w:numId w:val="2"/>
        </w:numPr>
        <w:shd w:val="clear" w:color="auto" w:fill="FFFFFF"/>
        <w:tabs>
          <w:tab w:val="clear" w:pos="709"/>
          <w:tab w:val="left" w:pos="426" w:leader="none"/>
        </w:tabs>
        <w:ind w:hanging="0" w:left="0"/>
        <w:jc w:val="center"/>
        <w:rPr>
          <w:b/>
          <w:bCs/>
          <w:sz w:val="24"/>
          <w:szCs w:val="24"/>
        </w:rPr>
      </w:pPr>
      <w:r>
        <w:rPr>
          <w:b/>
          <w:bCs/>
          <w:sz w:val="24"/>
          <w:szCs w:val="24"/>
        </w:rPr>
        <w:t>Разрешение споров</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Все споры, разногласия и требования, возникающие между Сторонами </w:t>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Споры, указанные в пункте 7.1 Договора, которые не были урегулированы Сторонами путем переговоров, подлежат разрешению в Арбитражном суде </w:t>
      </w:r>
      <w:r>
        <w:rPr>
          <w:bCs/>
          <w:sz w:val="24"/>
          <w:szCs w:val="24"/>
          <w:highlight w:val="lightGray"/>
        </w:rPr>
        <w:t>____________________</w:t>
      </w:r>
      <w:r>
        <w:rPr>
          <w:rStyle w:val="FootnoteReference"/>
          <w:bCs/>
          <w:sz w:val="24"/>
          <w:szCs w:val="24"/>
          <w:highlight w:val="lightGray"/>
          <w:shd w:fill="auto" w:val="clear"/>
        </w:rPr>
        <w:footnoteReference w:id="11"/>
      </w:r>
      <w:r>
        <w:rPr>
          <w:bCs/>
          <w:sz w:val="24"/>
          <w:szCs w:val="24"/>
        </w:rPr>
        <w:t xml:space="preserve"> в соответствии с законодательством Российской Федерации.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w:t>
      </w:r>
      <w:r>
        <w:rPr>
          <w:bCs/>
          <w:sz w:val="24"/>
          <w:szCs w:val="24"/>
          <w:highlight w:val="lightGray"/>
        </w:rPr>
        <w:t>13.8</w:t>
      </w:r>
      <w:r>
        <w:rPr>
          <w:bCs/>
          <w:sz w:val="24"/>
          <w:szCs w:val="24"/>
        </w:rPr>
        <w:t xml:space="preserve">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Срок для рассмотрения претензии – 15 (пятнадцать) рабочих дней со дня </w:t>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br/>
        <w:t>с иском в суд.</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Условия настоящего раздела Договора сохраняют свою силу в случае признания Договора незаключенным и / или недействительным.</w:t>
      </w:r>
    </w:p>
    <w:p>
      <w:pPr>
        <w:pStyle w:val="Normal"/>
        <w:shd w:val="clear" w:color="auto" w:fill="FFFFFF"/>
        <w:ind w:firstLine="709"/>
        <w:jc w:val="both"/>
        <w:rPr>
          <w:sz w:val="24"/>
          <w:szCs w:val="24"/>
        </w:rPr>
      </w:pPr>
      <w:r>
        <w:rPr>
          <w:sz w:val="24"/>
          <w:szCs w:val="24"/>
        </w:rPr>
      </w:r>
    </w:p>
    <w:p>
      <w:pPr>
        <w:pStyle w:val="ListParagraph"/>
        <w:widowControl/>
        <w:numPr>
          <w:ilvl w:val="0"/>
          <w:numId w:val="2"/>
        </w:numPr>
        <w:shd w:val="clear" w:color="auto" w:fill="FFFFFF"/>
        <w:ind w:hanging="0" w:left="0"/>
        <w:jc w:val="center"/>
        <w:rPr>
          <w:b/>
          <w:bCs/>
          <w:sz w:val="24"/>
          <w:szCs w:val="24"/>
        </w:rPr>
      </w:pPr>
      <w:r>
        <w:rPr>
          <w:b/>
          <w:bCs/>
          <w:sz w:val="24"/>
          <w:szCs w:val="24"/>
        </w:rPr>
        <w:t>Антикоррупционная оговорка</w:t>
      </w:r>
    </w:p>
    <w:p>
      <w:pPr>
        <w:pStyle w:val="ListParagraph"/>
        <w:numPr>
          <w:ilvl w:val="1"/>
          <w:numId w:val="2"/>
        </w:numPr>
        <w:shd w:val="clear" w:color="auto" w:fill="FFFFFF"/>
        <w:tabs>
          <w:tab w:val="clear" w:pos="709"/>
          <w:tab w:val="left" w:pos="1134" w:leader="none"/>
        </w:tabs>
        <w:ind w:firstLine="709" w:left="0"/>
        <w:jc w:val="both"/>
        <w:rPr>
          <w:bCs/>
          <w:color w:val="000000"/>
          <w:sz w:val="24"/>
          <w:szCs w:val="24"/>
        </w:rPr>
      </w:pP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8.2.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8.3.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8.4.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8.5.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8.6.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shd w:val="clear" w:color="auto" w:fill="FFFFFF"/>
        <w:tabs>
          <w:tab w:val="clear" w:pos="709"/>
          <w:tab w:val="left" w:pos="567" w:leader="none"/>
          <w:tab w:val="left" w:pos="1134" w:leader="none"/>
        </w:tabs>
        <w:ind w:firstLine="709"/>
        <w:jc w:val="both"/>
        <w:rPr>
          <w:color w:val="000000"/>
          <w:sz w:val="24"/>
          <w:szCs w:val="24"/>
        </w:rPr>
      </w:pPr>
      <w:r>
        <w:rPr>
          <w:color w:val="000000"/>
          <w:sz w:val="24"/>
          <w:szCs w:val="24"/>
        </w:rPr>
        <w:t xml:space="preserve">8.7.  Каналы связи Линия доверия Группы РусГидро: </w:t>
      </w:r>
    </w:p>
    <w:p>
      <w:pPr>
        <w:pStyle w:val="Normal"/>
        <w:shd w:val="clear" w:color="auto" w:fill="FFFFFF"/>
        <w:tabs>
          <w:tab w:val="clear" w:pos="709"/>
          <w:tab w:val="left" w:pos="567" w:leader="none"/>
          <w:tab w:val="left" w:pos="1134" w:leader="none"/>
        </w:tabs>
        <w:ind w:firstLine="709"/>
        <w:jc w:val="both"/>
        <w:rPr>
          <w:sz w:val="24"/>
          <w:szCs w:val="24"/>
        </w:rPr>
      </w:pPr>
      <w:r>
        <w:rPr>
          <w:sz w:val="24"/>
          <w:szCs w:val="24"/>
        </w:rPr>
        <w:t>8.7.1. Электронная почта: ld@rushydro.ru.</w:t>
      </w:r>
    </w:p>
    <w:p>
      <w:pPr>
        <w:pStyle w:val="Normal"/>
        <w:shd w:val="clear" w:color="auto" w:fill="FFFFFF"/>
        <w:tabs>
          <w:tab w:val="clear" w:pos="709"/>
          <w:tab w:val="left" w:pos="567" w:leader="none"/>
          <w:tab w:val="left" w:pos="1134" w:leader="none"/>
        </w:tabs>
        <w:ind w:firstLine="709"/>
        <w:jc w:val="both"/>
        <w:rPr>
          <w:sz w:val="24"/>
          <w:szCs w:val="24"/>
        </w:rPr>
      </w:pPr>
      <w:r>
        <w:rPr>
          <w:sz w:val="24"/>
          <w:szCs w:val="24"/>
        </w:rPr>
        <w:t>8.7.2. 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Normal"/>
        <w:ind w:firstLine="709"/>
        <w:jc w:val="both"/>
        <w:rPr>
          <w:sz w:val="24"/>
          <w:szCs w:val="24"/>
        </w:rPr>
      </w:pPr>
      <w:r>
        <w:rPr>
          <w:sz w:val="24"/>
          <w:szCs w:val="24"/>
        </w:rPr>
        <w:t>8.7.3.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shd w:val="clear" w:color="auto" w:fill="FFFFFF"/>
        <w:tabs>
          <w:tab w:val="clear" w:pos="709"/>
          <w:tab w:val="left" w:pos="0" w:leader="none"/>
          <w:tab w:val="left" w:pos="284" w:leader="none"/>
          <w:tab w:val="left" w:pos="567" w:leader="none"/>
        </w:tabs>
        <w:ind w:firstLine="709" w:left="0"/>
        <w:jc w:val="both"/>
        <w:rPr>
          <w:b/>
          <w:bCs/>
          <w:sz w:val="24"/>
          <w:szCs w:val="24"/>
        </w:rPr>
      </w:pPr>
      <w:r>
        <w:rPr>
          <w:b/>
          <w:bCs/>
          <w:sz w:val="24"/>
          <w:szCs w:val="24"/>
        </w:rPr>
      </w:r>
    </w:p>
    <w:p>
      <w:pPr>
        <w:pStyle w:val="ListParagraph"/>
        <w:shd w:val="clear" w:color="auto" w:fill="FFFFFF"/>
        <w:tabs>
          <w:tab w:val="clear" w:pos="709"/>
          <w:tab w:val="left" w:pos="0" w:leader="none"/>
          <w:tab w:val="left" w:pos="284" w:leader="none"/>
          <w:tab w:val="left" w:pos="567" w:leader="none"/>
        </w:tabs>
        <w:ind w:firstLine="709" w:left="0"/>
        <w:jc w:val="both"/>
        <w:rPr>
          <w:b/>
          <w:bCs/>
          <w:sz w:val="24"/>
          <w:szCs w:val="24"/>
        </w:rPr>
      </w:pPr>
      <w:r>
        <w:rPr>
          <w:b/>
          <w:bCs/>
          <w:sz w:val="24"/>
          <w:szCs w:val="24"/>
        </w:rPr>
      </w:r>
    </w:p>
    <w:p>
      <w:pPr>
        <w:pStyle w:val="ListParagraph"/>
        <w:shd w:val="clear" w:color="auto" w:fill="FFFFFF"/>
        <w:tabs>
          <w:tab w:val="clear" w:pos="709"/>
          <w:tab w:val="left" w:pos="0" w:leader="none"/>
          <w:tab w:val="left" w:pos="284" w:leader="none"/>
          <w:tab w:val="left" w:pos="567" w:leader="none"/>
        </w:tabs>
        <w:ind w:firstLine="709" w:left="0"/>
        <w:jc w:val="both"/>
        <w:rPr>
          <w:b/>
          <w:bCs/>
          <w:sz w:val="24"/>
          <w:szCs w:val="24"/>
        </w:rPr>
      </w:pPr>
      <w:r>
        <w:rPr>
          <w:b/>
          <w:bCs/>
          <w:sz w:val="24"/>
          <w:szCs w:val="24"/>
        </w:rPr>
      </w:r>
    </w:p>
    <w:p>
      <w:pPr>
        <w:pStyle w:val="ListParagraph"/>
        <w:widowControl/>
        <w:numPr>
          <w:ilvl w:val="0"/>
          <w:numId w:val="2"/>
        </w:numPr>
        <w:shd w:val="clear" w:color="auto" w:fill="FFFFFF"/>
        <w:ind w:hanging="0" w:left="0"/>
        <w:jc w:val="center"/>
        <w:rPr>
          <w:b/>
          <w:bCs/>
          <w:sz w:val="24"/>
          <w:szCs w:val="24"/>
        </w:rPr>
      </w:pPr>
      <w:r>
        <w:rPr>
          <w:b/>
          <w:bCs/>
          <w:sz w:val="24"/>
          <w:szCs w:val="24"/>
        </w:rPr>
        <w:t>Обстоятельства непреодолимой силы (форс-мажор)</w:t>
      </w:r>
    </w:p>
    <w:p>
      <w:pPr>
        <w:pStyle w:val="ListParagraph"/>
        <w:widowControl/>
        <w:numPr>
          <w:ilvl w:val="1"/>
          <w:numId w:val="2"/>
        </w:numPr>
        <w:shd w:val="clear" w:color="auto" w:fill="FFFFFF"/>
        <w:tabs>
          <w:tab w:val="clear" w:pos="709"/>
          <w:tab w:val="left" w:pos="0" w:leader="none"/>
          <w:tab w:val="left" w:pos="1134" w:leader="none"/>
          <w:tab w:val="left" w:pos="1418" w:leader="none"/>
        </w:tabs>
        <w:ind w:firstLine="709" w:left="0"/>
        <w:jc w:val="both"/>
        <w:rPr>
          <w:bCs/>
          <w:sz w:val="24"/>
          <w:szCs w:val="24"/>
        </w:rPr>
      </w:pPr>
      <w:r>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widowControl/>
        <w:numPr>
          <w:ilvl w:val="1"/>
          <w:numId w:val="2"/>
        </w:numPr>
        <w:shd w:val="clear" w:color="auto" w:fill="FFFFFF"/>
        <w:tabs>
          <w:tab w:val="clear" w:pos="709"/>
          <w:tab w:val="left" w:pos="0" w:leader="none"/>
          <w:tab w:val="left" w:pos="1134" w:leader="none"/>
          <w:tab w:val="left" w:pos="1418" w:leader="none"/>
        </w:tabs>
        <w:ind w:firstLine="709" w:left="0"/>
        <w:jc w:val="both"/>
        <w:rPr>
          <w:bCs/>
          <w:sz w:val="24"/>
          <w:szCs w:val="24"/>
        </w:rPr>
      </w:pPr>
      <w:r>
        <w:rPr>
          <w:bCs/>
          <w:sz w:val="24"/>
          <w:szCs w:val="24"/>
        </w:rPr>
        <w:t xml:space="preserve">Сторона имеет право ссылаться на обстоятельства непреодолимой силы только </w:t>
        <w:br/>
        <w:t>в случае, если такие обстоятельства непосредственно повлияли на возможность исполнения этой Стороной условий Договора.</w:t>
      </w:r>
    </w:p>
    <w:p>
      <w:pPr>
        <w:pStyle w:val="ListParagraph"/>
        <w:widowControl/>
        <w:numPr>
          <w:ilvl w:val="1"/>
          <w:numId w:val="2"/>
        </w:numPr>
        <w:shd w:val="clear" w:color="auto" w:fill="FFFFFF"/>
        <w:tabs>
          <w:tab w:val="clear" w:pos="709"/>
          <w:tab w:val="left" w:pos="0" w:leader="none"/>
          <w:tab w:val="left" w:pos="1134" w:leader="none"/>
          <w:tab w:val="left" w:pos="1418" w:leader="none"/>
        </w:tabs>
        <w:ind w:firstLine="709" w:left="0"/>
        <w:jc w:val="both"/>
        <w:rPr>
          <w:bCs/>
          <w:sz w:val="24"/>
          <w:szCs w:val="24"/>
        </w:rPr>
      </w:pPr>
      <w:r>
        <w:rPr>
          <w:bCs/>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br/>
        <w:t>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widowControl/>
        <w:numPr>
          <w:ilvl w:val="1"/>
          <w:numId w:val="2"/>
        </w:numPr>
        <w:shd w:val="clear" w:color="auto" w:fill="FFFFFF"/>
        <w:tabs>
          <w:tab w:val="clear" w:pos="709"/>
          <w:tab w:val="left" w:pos="0" w:leader="none"/>
          <w:tab w:val="left" w:pos="1134" w:leader="none"/>
          <w:tab w:val="left" w:pos="1418" w:leader="none"/>
        </w:tabs>
        <w:ind w:firstLine="709" w:left="0"/>
        <w:jc w:val="both"/>
        <w:rPr>
          <w:bCs/>
          <w:sz w:val="24"/>
          <w:szCs w:val="24"/>
        </w:rPr>
      </w:pPr>
      <w:r>
        <w:rPr>
          <w:sz w:val="24"/>
          <w:szCs w:val="24"/>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widowControl/>
        <w:numPr>
          <w:ilvl w:val="1"/>
          <w:numId w:val="2"/>
        </w:numPr>
        <w:shd w:val="clear" w:color="auto" w:fill="FFFFFF"/>
        <w:tabs>
          <w:tab w:val="clear" w:pos="709"/>
          <w:tab w:val="left" w:pos="0" w:leader="none"/>
          <w:tab w:val="left" w:pos="1134" w:leader="none"/>
          <w:tab w:val="left" w:pos="1418" w:leader="none"/>
        </w:tabs>
        <w:ind w:firstLine="709" w:left="0"/>
        <w:jc w:val="both"/>
        <w:rPr>
          <w:bCs/>
          <w:sz w:val="24"/>
          <w:szCs w:val="24"/>
        </w:rPr>
      </w:pPr>
      <w:r>
        <w:rPr>
          <w:bCs/>
          <w:sz w:val="24"/>
          <w:szCs w:val="24"/>
        </w:rPr>
        <w:t xml:space="preserve">Отсутствие уведомления или несвоевременное уведомление </w:t>
        <w:br/>
        <w:t xml:space="preserve">об обстоятельствах непреодолимой силы лишает соответствующую Сторону права </w:t>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widowControl/>
        <w:numPr>
          <w:ilvl w:val="1"/>
          <w:numId w:val="2"/>
        </w:numPr>
        <w:shd w:val="clear" w:color="auto" w:fill="FFFFFF"/>
        <w:tabs>
          <w:tab w:val="clear" w:pos="709"/>
          <w:tab w:val="left" w:pos="0" w:leader="none"/>
          <w:tab w:val="left" w:pos="568" w:leader="none"/>
          <w:tab w:val="left" w:pos="1134" w:leader="none"/>
          <w:tab w:val="left" w:pos="1418" w:leader="none"/>
        </w:tabs>
        <w:ind w:firstLine="709" w:left="0"/>
        <w:jc w:val="both"/>
        <w:rPr>
          <w:bCs/>
          <w:sz w:val="24"/>
          <w:szCs w:val="24"/>
        </w:rPr>
      </w:pPr>
      <w:r>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0" w:leader="none"/>
          <w:tab w:val="left" w:pos="568" w:leader="none"/>
          <w:tab w:val="left" w:pos="1418" w:leader="none"/>
        </w:tabs>
        <w:ind w:firstLine="709" w:left="0"/>
        <w:jc w:val="both"/>
        <w:rPr>
          <w:bCs/>
          <w:sz w:val="24"/>
          <w:szCs w:val="24"/>
        </w:rPr>
      </w:pPr>
      <w:r>
        <w:rPr>
          <w:bCs/>
          <w:sz w:val="24"/>
          <w:szCs w:val="24"/>
        </w:rPr>
        <w:t xml:space="preserve">При этом любая из Сторон вправе отказаться от исполнения Договора </w:t>
        <w:br/>
        <w:t>в одностороннем внесудебном порядке.</w:t>
      </w:r>
    </w:p>
    <w:p>
      <w:pPr>
        <w:pStyle w:val="Normal"/>
        <w:shd w:val="clear" w:color="auto" w:fill="FFFFFF"/>
        <w:ind w:firstLine="709"/>
        <w:jc w:val="both"/>
        <w:rPr>
          <w:sz w:val="24"/>
          <w:szCs w:val="24"/>
        </w:rPr>
      </w:pPr>
      <w:r>
        <w:rPr>
          <w:sz w:val="24"/>
          <w:szCs w:val="24"/>
        </w:rPr>
      </w:r>
    </w:p>
    <w:p>
      <w:pPr>
        <w:pStyle w:val="Normal"/>
        <w:widowControl/>
        <w:numPr>
          <w:ilvl w:val="0"/>
          <w:numId w:val="2"/>
        </w:numPr>
        <w:shd w:val="clear" w:color="auto" w:fill="FFFFFF"/>
        <w:spacing w:before="0" w:after="0"/>
        <w:ind w:hanging="0" w:left="0"/>
        <w:contextualSpacing/>
        <w:jc w:val="center"/>
        <w:rPr>
          <w:b/>
          <w:bCs/>
          <w:sz w:val="24"/>
          <w:szCs w:val="24"/>
        </w:rPr>
      </w:pPr>
      <w:r>
        <w:rPr>
          <w:b/>
          <w:bCs/>
          <w:sz w:val="24"/>
          <w:szCs w:val="24"/>
        </w:rPr>
        <w:t>Особые положения</w:t>
      </w:r>
    </w:p>
    <w:p>
      <w:pPr>
        <w:pStyle w:val="ListParagraph"/>
        <w:widowControl/>
        <w:numPr>
          <w:ilvl w:val="1"/>
          <w:numId w:val="13"/>
        </w:numPr>
        <w:shd w:val="clear" w:color="auto" w:fill="FFFFFF"/>
        <w:tabs>
          <w:tab w:val="clear" w:pos="709"/>
          <w:tab w:val="left" w:pos="1134" w:leader="none"/>
        </w:tabs>
        <w:ind w:firstLine="709" w:left="0"/>
        <w:jc w:val="both"/>
        <w:rPr>
          <w:bCs/>
          <w:sz w:val="24"/>
          <w:szCs w:val="24"/>
        </w:rPr>
      </w:pPr>
      <w:bookmarkStart w:id="9" w:name="_Ref361337900"/>
      <w:r>
        <w:rPr>
          <w:bCs/>
        </w:rPr>
        <w:t xml:space="preserve">. </w:t>
      </w:r>
      <w:r>
        <w:rPr>
          <w:bCs/>
          <w:sz w:val="24"/>
          <w:szCs w:val="24"/>
        </w:rPr>
        <w:t>Поставщик обязуется не привлекать и не допускать привлечения к исполнению обязательств по Договору организации:</w:t>
      </w:r>
    </w:p>
    <w:p>
      <w:pPr>
        <w:pStyle w:val="ListParagraph"/>
        <w:widowControl/>
        <w:numPr>
          <w:ilvl w:val="1"/>
          <w:numId w:val="12"/>
        </w:numPr>
        <w:shd w:val="clear" w:color="auto" w:fill="FFFFFF"/>
        <w:tabs>
          <w:tab w:val="clear" w:pos="709"/>
          <w:tab w:val="left" w:pos="1134" w:leader="none"/>
        </w:tabs>
        <w:ind w:firstLine="709" w:left="0"/>
        <w:jc w:val="both"/>
        <w:rPr>
          <w:bCs/>
          <w:sz w:val="24"/>
          <w:szCs w:val="24"/>
        </w:rPr>
      </w:pPr>
      <w:r>
        <w:rPr>
          <w:bCs/>
          <w:sz w:val="24"/>
          <w:szCs w:val="24"/>
        </w:rPr>
        <w:t xml:space="preserve"> </w:t>
      </w:r>
      <w:r>
        <w:rPr>
          <w:bCs/>
          <w:sz w:val="24"/>
          <w:szCs w:val="24"/>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bCs/>
            <w:sz w:val="24"/>
            <w:szCs w:val="24"/>
          </w:rPr>
          <w:t>№ 18162/09</w:t>
        </w:r>
      </w:hyperlink>
      <w:r>
        <w:rPr>
          <w:bCs/>
          <w:sz w:val="24"/>
          <w:szCs w:val="24"/>
        </w:rPr>
        <w:t xml:space="preserve"> </w:t>
        <w:br/>
        <w:t xml:space="preserve">и от 25.05.2010 </w:t>
      </w:r>
      <w:hyperlink r:id="rId3">
        <w:r>
          <w:rPr>
            <w:bCs/>
            <w:sz w:val="24"/>
            <w:szCs w:val="24"/>
          </w:rPr>
          <w:t>№ 15658/09</w:t>
        </w:r>
      </w:hyperlink>
      <w:r>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w:t>
        <w:br/>
        <w:t xml:space="preserve">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w:t>
        <w:br/>
        <w:t xml:space="preserve">и / или </w:t>
      </w:r>
    </w:p>
    <w:p>
      <w:pPr>
        <w:pStyle w:val="ListParagraph"/>
        <w:widowControl/>
        <w:numPr>
          <w:ilvl w:val="1"/>
          <w:numId w:val="12"/>
        </w:numPr>
        <w:shd w:val="clear" w:color="auto" w:fill="FFFFFF"/>
        <w:tabs>
          <w:tab w:val="clear" w:pos="709"/>
          <w:tab w:val="left" w:pos="1134" w:leader="none"/>
        </w:tabs>
        <w:ind w:firstLine="709" w:left="0"/>
        <w:jc w:val="both"/>
        <w:rPr>
          <w:bCs/>
          <w:sz w:val="24"/>
          <w:szCs w:val="24"/>
        </w:rPr>
      </w:pPr>
      <w:r>
        <w:rPr>
          <w:bCs/>
          <w:sz w:val="24"/>
          <w:szCs w:val="24"/>
        </w:rPr>
        <w:t xml:space="preserve">соответствующие </w:t>
      </w:r>
      <w:hyperlink r:id="rId4">
        <w:r>
          <w:rPr>
            <w:bCs/>
            <w:sz w:val="24"/>
            <w:szCs w:val="24"/>
          </w:rPr>
          <w:t>Критери</w:t>
        </w:r>
      </w:hyperlink>
      <w:r>
        <w:rPr>
          <w:bCs/>
          <w:sz w:val="24"/>
          <w:szCs w:val="24"/>
        </w:rPr>
        <w:t xml:space="preserve">ям самостоятельной оценки рисков </w:t>
        <w:br/>
        <w:t xml:space="preserve">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w:t>
        <w:br/>
        <w:t>от 30.05.2007 № ММ-3-06/333@).</w:t>
      </w:r>
      <w:bookmarkEnd w:id="9"/>
    </w:p>
    <w:p>
      <w:pPr>
        <w:pStyle w:val="ListParagraph"/>
        <w:widowControl/>
        <w:numPr>
          <w:ilvl w:val="1"/>
          <w:numId w:val="13"/>
        </w:numPr>
        <w:shd w:val="clear" w:color="auto" w:fill="FFFFFF"/>
        <w:tabs>
          <w:tab w:val="clear" w:pos="709"/>
          <w:tab w:val="left" w:pos="1134" w:leader="none"/>
        </w:tabs>
        <w:ind w:firstLine="709" w:left="0"/>
        <w:jc w:val="both"/>
        <w:rPr>
          <w:bCs/>
          <w:sz w:val="24"/>
          <w:szCs w:val="24"/>
        </w:rPr>
      </w:pPr>
      <w:bookmarkStart w:id="10" w:name="_Ref361337921"/>
      <w:r>
        <w:rPr>
          <w:bCs/>
          <w:sz w:val="24"/>
          <w:szCs w:val="24"/>
        </w:rPr>
        <w:t xml:space="preserve"> </w:t>
      </w:r>
      <w:r>
        <w:rPr>
          <w:bCs/>
          <w:sz w:val="24"/>
          <w:szCs w:val="24"/>
        </w:rPr>
        <w:t xml:space="preserve">Поставщик обязуется незамедлительно уведомить Покупателя о появлении </w:t>
        <w:br/>
        <w:t>в ходе исполнения Договора у привлеченных Поставщиком Субпоставщиков признаков недобросовестности, указанных в пункте 10.1 Договора, а также обеспечить прекращение участия таких организаций в исполнении Договора.</w:t>
      </w:r>
      <w:bookmarkEnd w:id="10"/>
    </w:p>
    <w:p>
      <w:pPr>
        <w:pStyle w:val="ListParagraph"/>
        <w:widowControl/>
        <w:numPr>
          <w:ilvl w:val="1"/>
          <w:numId w:val="13"/>
        </w:numPr>
        <w:shd w:val="clear" w:color="auto" w:fill="FFFFFF"/>
        <w:tabs>
          <w:tab w:val="clear" w:pos="709"/>
          <w:tab w:val="left" w:pos="1134" w:leader="none"/>
        </w:tabs>
        <w:ind w:firstLine="709" w:left="0"/>
        <w:jc w:val="both"/>
        <w:rPr>
          <w:bCs/>
          <w:sz w:val="24"/>
          <w:szCs w:val="24"/>
        </w:rPr>
      </w:pPr>
      <w:bookmarkStart w:id="11" w:name="_Ref361337948"/>
      <w:r>
        <w:rPr>
          <w:bCs/>
          <w:sz w:val="24"/>
          <w:szCs w:val="24"/>
        </w:rPr>
        <w:t xml:space="preserve">. В случае нарушения Поставщиком обязательств, установленных пунктами 10.1, 10.2 Договора, Покупатель вправе в одностороннем внесудебном порядке отказаться </w:t>
        <w:br/>
        <w:t xml:space="preserve">от Договора путем направления уведомления об отказе от Договора (исполнения Договора) </w:t>
        <w:br/>
        <w:t xml:space="preserve">с указанием даты прекращения (расторжения) Договора, которая не должна наступать ранее 10 (десяти) рабочих дней с даты получения Поставщиком такого уведомления. Договор считается прекращенным (расторгнутым) с даты, указанной в уведомлении об отказе </w:t>
        <w:br/>
        <w:t>от Договора (исполнения Договора) при условии, что Покупатель не отзовет указанное уведомление по итогам рассмотрения мотивированных письменных возражений Поставщика, представленных до наступления указанной Покупателем даты расторжения.</w:t>
      </w:r>
      <w:bookmarkEnd w:id="11"/>
    </w:p>
    <w:p>
      <w:pPr>
        <w:pStyle w:val="ListParagraph"/>
        <w:widowControl/>
        <w:numPr>
          <w:ilvl w:val="1"/>
          <w:numId w:val="13"/>
        </w:numPr>
        <w:shd w:val="clear" w:color="auto" w:fill="FFFFFF"/>
        <w:tabs>
          <w:tab w:val="clear" w:pos="709"/>
          <w:tab w:val="left" w:pos="1134" w:leader="none"/>
        </w:tabs>
        <w:ind w:firstLine="709" w:left="0"/>
        <w:jc w:val="both"/>
        <w:rPr>
          <w:bCs/>
          <w:sz w:val="24"/>
          <w:szCs w:val="24"/>
        </w:rPr>
      </w:pPr>
      <w:bookmarkStart w:id="12" w:name="_Ref361337980"/>
      <w:r>
        <w:rPr>
          <w:bCs/>
          <w:sz w:val="24"/>
          <w:szCs w:val="24"/>
        </w:rPr>
        <w:t>. Поставщик обязан уплатить Покупателю штраф в размере суммы денежных средств, перечисленных организации, отвечающей признакам недобросовестности, а также дополнительно компенсировать Покупателю убытки, причиненные в результате нарушения обязательств, установленных пунктами 10.1, 10.2 Договора.</w:t>
      </w:r>
      <w:bookmarkEnd w:id="12"/>
    </w:p>
    <w:p>
      <w:pPr>
        <w:pStyle w:val="ListParagraph"/>
        <w:widowControl/>
        <w:numPr>
          <w:ilvl w:val="1"/>
          <w:numId w:val="13"/>
        </w:numPr>
        <w:shd w:val="clear" w:color="auto" w:fill="FFFFFF"/>
        <w:tabs>
          <w:tab w:val="clear" w:pos="709"/>
          <w:tab w:val="left" w:pos="1134" w:leader="none"/>
        </w:tabs>
        <w:ind w:firstLine="709" w:left="0"/>
        <w:jc w:val="both"/>
        <w:rPr>
          <w:bCs/>
          <w:sz w:val="24"/>
          <w:szCs w:val="24"/>
        </w:rPr>
      </w:pPr>
      <w:bookmarkStart w:id="13" w:name="_Ref373243071"/>
      <w:r>
        <w:rPr>
          <w:bCs/>
          <w:sz w:val="24"/>
          <w:szCs w:val="24"/>
        </w:rPr>
        <w:t xml:space="preserve">. Штраф, предусмотренный пунктом 10.4 Договора, оплачивается Поставщиком </w:t>
        <w:br/>
        <w:t xml:space="preserve">в течение 10 (десяти) рабочих дней с даты получения соответствующего письменного требования Покупателя. Покупатель вправе предъявить требование об уплате штрафа </w:t>
        <w:br/>
        <w:t>вне независимости от направления уведомления об отказе от Договора (исполнения Договора), предусмотренного пунктом 10.3 Договора.</w:t>
      </w:r>
      <w:bookmarkEnd w:id="13"/>
    </w:p>
    <w:p>
      <w:pPr>
        <w:pStyle w:val="ListParagraph"/>
        <w:widowControl/>
        <w:numPr>
          <w:ilvl w:val="1"/>
          <w:numId w:val="13"/>
        </w:numPr>
        <w:shd w:val="clear" w:color="auto" w:fill="FFFFFF"/>
        <w:tabs>
          <w:tab w:val="clear" w:pos="709"/>
          <w:tab w:val="left" w:pos="1134" w:leader="none"/>
        </w:tabs>
        <w:ind w:firstLine="709" w:left="0"/>
        <w:jc w:val="both"/>
        <w:rPr>
          <w:bCs/>
          <w:sz w:val="24"/>
          <w:szCs w:val="24"/>
        </w:rPr>
      </w:pPr>
      <w:bookmarkStart w:id="14" w:name="_Ref361337992"/>
      <w:r>
        <w:rPr>
          <w:bCs/>
          <w:sz w:val="24"/>
          <w:szCs w:val="24"/>
        </w:rPr>
        <w:t xml:space="preserve">. Покупатель вправе приостановить осуществление любых платежей по Договору, причитающихся Поставщику, независимо от наличия оснований и наступления сроков таких платежей, до уплаты Поставщиком штрафа, предусмотренного пунктом 10.4. Договора. </w:t>
        <w:br/>
        <w:t>При этом Покупатель не будет считаться просрочившим и / или нарушившим свои обязательства по Договору.</w:t>
      </w:r>
      <w:bookmarkEnd w:id="14"/>
    </w:p>
    <w:p>
      <w:pPr>
        <w:pStyle w:val="ListParagraph"/>
        <w:widowControl/>
        <w:numPr>
          <w:ilvl w:val="1"/>
          <w:numId w:val="13"/>
        </w:numPr>
        <w:shd w:val="clear" w:color="auto" w:fill="FFFFFF"/>
        <w:tabs>
          <w:tab w:val="clear" w:pos="709"/>
          <w:tab w:val="left" w:pos="1134" w:leader="none"/>
        </w:tabs>
        <w:ind w:firstLine="709" w:left="0"/>
        <w:jc w:val="both"/>
        <w:rPr>
          <w:bCs/>
          <w:sz w:val="24"/>
          <w:szCs w:val="24"/>
        </w:rPr>
      </w:pPr>
      <w:r>
        <w:rPr>
          <w:bCs/>
          <w:sz w:val="24"/>
          <w:szCs w:val="24"/>
        </w:rPr>
        <w:t>. Независимо от других положений Договора, положения пунктов 10.4, 10.5 Договора продолжают действовать в течение 4 (четырех) лет после его прекращения (расторжения) или исполнения.</w:t>
      </w:r>
    </w:p>
    <w:p>
      <w:pPr>
        <w:pStyle w:val="Normal"/>
        <w:widowControl/>
        <w:shd w:val="clear" w:color="auto" w:fill="FFFFFF"/>
        <w:tabs>
          <w:tab w:val="clear" w:pos="709"/>
          <w:tab w:val="left" w:pos="1134" w:leader="none"/>
        </w:tabs>
        <w:jc w:val="both"/>
        <w:rPr>
          <w:bCs/>
          <w:sz w:val="24"/>
          <w:szCs w:val="24"/>
        </w:rPr>
      </w:pPr>
      <w:r>
        <w:rPr>
          <w:bCs/>
          <w:sz w:val="24"/>
          <w:szCs w:val="24"/>
        </w:rPr>
      </w:r>
    </w:p>
    <w:p>
      <w:pPr>
        <w:pStyle w:val="ListParagraph"/>
        <w:widowControl/>
        <w:numPr>
          <w:ilvl w:val="0"/>
          <w:numId w:val="2"/>
        </w:numPr>
        <w:shd w:val="clear" w:color="auto" w:fill="FFFFFF"/>
        <w:tabs>
          <w:tab w:val="clear" w:pos="709"/>
          <w:tab w:val="left" w:pos="426" w:leader="none"/>
        </w:tabs>
        <w:ind w:hanging="0" w:left="0"/>
        <w:jc w:val="center"/>
        <w:rPr>
          <w:b/>
          <w:sz w:val="24"/>
          <w:szCs w:val="24"/>
        </w:rPr>
      </w:pPr>
      <w:r>
        <w:rPr>
          <w:b/>
          <w:bCs/>
          <w:sz w:val="24"/>
          <w:szCs w:val="24"/>
        </w:rPr>
        <w:t>Заверения</w:t>
      </w:r>
      <w:r>
        <w:rPr>
          <w:b/>
          <w:sz w:val="24"/>
          <w:szCs w:val="24"/>
        </w:rPr>
        <w:t xml:space="preserve"> Сторон</w:t>
      </w:r>
    </w:p>
    <w:p>
      <w:pPr>
        <w:pStyle w:val="ListParagraph"/>
        <w:widowControl/>
        <w:numPr>
          <w:ilvl w:val="1"/>
          <w:numId w:val="2"/>
        </w:numPr>
        <w:shd w:val="clear" w:color="auto" w:fill="FFFFFF"/>
        <w:tabs>
          <w:tab w:val="clear" w:pos="709"/>
          <w:tab w:val="left" w:pos="1134" w:leader="none"/>
          <w:tab w:val="left" w:pos="1418" w:leader="none"/>
        </w:tabs>
        <w:ind w:firstLine="709" w:left="0"/>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pPr>
        <w:pStyle w:val="ListParagraph"/>
        <w:widowControl/>
        <w:numPr>
          <w:ilvl w:val="0"/>
          <w:numId w:val="6"/>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является юридическим лицом, надлежащим образом учрежденным </w:t>
        <w:br/>
        <w:t>и правомерно осуществляющим свою деятельность в соответствии с законодательством Российской Федерации;</w:t>
      </w:r>
    </w:p>
    <w:p>
      <w:pPr>
        <w:pStyle w:val="ListParagraph"/>
        <w:widowControl/>
        <w:numPr>
          <w:ilvl w:val="0"/>
          <w:numId w:val="6"/>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обладает полной правоспособностью на заключение Договора </w:t>
        <w:br/>
        <w:t>и исполнение всех своих обязательств, возникающих из Договора или в связи с ним;</w:t>
      </w:r>
    </w:p>
    <w:p>
      <w:pPr>
        <w:pStyle w:val="ListParagraph"/>
        <w:widowControl/>
        <w:numPr>
          <w:ilvl w:val="0"/>
          <w:numId w:val="6"/>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получила все корпоративные одобрения Договора органами управления </w:t>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br/>
        <w:t>и иных лиц, необходимые для заключения и исполнения Договора;</w:t>
      </w:r>
    </w:p>
    <w:p>
      <w:pPr>
        <w:pStyle w:val="ListParagraph"/>
        <w:widowControl/>
        <w:numPr>
          <w:ilvl w:val="0"/>
          <w:numId w:val="6"/>
        </w:numPr>
        <w:shd w:val="clear" w:color="auto" w:fill="FFFFFF"/>
        <w:tabs>
          <w:tab w:val="left" w:pos="0" w:leader="none"/>
          <w:tab w:val="left" w:pos="709" w:leader="none"/>
          <w:tab w:val="left" w:pos="1418" w:leader="none"/>
        </w:tabs>
        <w:ind w:firstLine="709" w:left="0"/>
        <w:jc w:val="both"/>
        <w:rPr>
          <w:sz w:val="24"/>
          <w:szCs w:val="24"/>
        </w:rPr>
      </w:pPr>
      <w:r>
        <w:rPr>
          <w:sz w:val="24"/>
          <w:szCs w:val="24"/>
        </w:rPr>
        <w:t>лица, подписывающие от имени Сторон Договор, надлежащим образом уполномочены на его подписание;</w:t>
      </w:r>
    </w:p>
    <w:p>
      <w:pPr>
        <w:pStyle w:val="ListParagraph"/>
        <w:widowControl/>
        <w:numPr>
          <w:ilvl w:val="0"/>
          <w:numId w:val="6"/>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br/>
        <w:t xml:space="preserve">или в связи с ним.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Поставщик заявляет и заверяет Покупателя в том, что на момент заключения Договора:</w:t>
      </w:r>
    </w:p>
    <w:p>
      <w:pPr>
        <w:pStyle w:val="ListParagraph"/>
        <w:widowControl/>
        <w:numPr>
          <w:ilvl w:val="0"/>
          <w:numId w:val="8"/>
        </w:numPr>
        <w:shd w:val="clear" w:color="auto" w:fill="FFFFFF"/>
        <w:tabs>
          <w:tab w:val="left" w:pos="0" w:leader="none"/>
          <w:tab w:val="left" w:pos="709" w:leader="none"/>
        </w:tabs>
        <w:ind w:firstLine="709" w:left="0"/>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8"/>
        </w:numPr>
        <w:shd w:val="clear" w:color="auto" w:fill="FFFFFF"/>
        <w:tabs>
          <w:tab w:val="left" w:pos="0" w:leader="none"/>
          <w:tab w:val="left" w:pos="709" w:leader="none"/>
        </w:tabs>
        <w:ind w:firstLine="709" w:left="0"/>
        <w:jc w:val="both"/>
        <w:rPr>
          <w:sz w:val="24"/>
          <w:szCs w:val="24"/>
        </w:rPr>
      </w:pPr>
      <w:r>
        <w:rPr>
          <w:sz w:val="24"/>
          <w:szCs w:val="24"/>
        </w:rPr>
        <w:t>руководителем Поставщика является лицо, не являющееся массовым руководителем;</w:t>
      </w:r>
    </w:p>
    <w:p>
      <w:pPr>
        <w:pStyle w:val="ListParagraph"/>
        <w:widowControl/>
        <w:numPr>
          <w:ilvl w:val="0"/>
          <w:numId w:val="8"/>
        </w:numPr>
        <w:shd w:val="clear" w:color="auto" w:fill="FFFFFF"/>
        <w:tabs>
          <w:tab w:val="left" w:pos="0" w:leader="none"/>
          <w:tab w:val="left" w:pos="709" w:leader="none"/>
        </w:tabs>
        <w:ind w:firstLine="709" w:left="0"/>
        <w:jc w:val="both"/>
        <w:rPr>
          <w:sz w:val="24"/>
          <w:szCs w:val="24"/>
        </w:rPr>
      </w:pPr>
      <w:r>
        <w:rPr>
          <w:sz w:val="24"/>
          <w:szCs w:val="24"/>
        </w:rPr>
        <w:t xml:space="preserve">Поставщик фактически находится по адресу, указанному в Едином государственном реестре юридических лиц; </w:t>
      </w:r>
    </w:p>
    <w:p>
      <w:pPr>
        <w:pStyle w:val="ListParagraph"/>
        <w:widowControl/>
        <w:numPr>
          <w:ilvl w:val="0"/>
          <w:numId w:val="8"/>
        </w:numPr>
        <w:shd w:val="clear" w:color="auto" w:fill="FFFFFF"/>
        <w:tabs>
          <w:tab w:val="left" w:pos="0" w:leader="none"/>
          <w:tab w:val="left" w:pos="709" w:leader="none"/>
        </w:tabs>
        <w:ind w:firstLine="709" w:left="0"/>
        <w:jc w:val="both"/>
        <w:rPr>
          <w:sz w:val="24"/>
          <w:szCs w:val="24"/>
        </w:rPr>
      </w:pPr>
      <w:r>
        <w:rPr>
          <w:sz w:val="24"/>
          <w:szCs w:val="24"/>
        </w:rPr>
        <w:t xml:space="preserve">Поставщик своевременно и в полном объеме уплачивает налоги и сборы </w:t>
        <w:br/>
        <w:t>в соответствии с законодательством Российской Федерации;</w:t>
      </w:r>
    </w:p>
    <w:p>
      <w:pPr>
        <w:pStyle w:val="ListParagraph"/>
        <w:widowControl/>
        <w:numPr>
          <w:ilvl w:val="0"/>
          <w:numId w:val="7"/>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не находится в процедуре несостоятельности (банкротства) </w:t>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pPr>
        <w:pStyle w:val="ListParagraph"/>
        <w:widowControl/>
        <w:numPr>
          <w:ilvl w:val="0"/>
          <w:numId w:val="7"/>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тщательно изучил всю информацию, связанную с Договором, </w:t>
        <w:br/>
        <w:t>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и трудности исполнения обязательств, возникающих из Договора или в связи с ним;</w:t>
      </w:r>
    </w:p>
    <w:p>
      <w:pPr>
        <w:pStyle w:val="ListParagraph"/>
        <w:widowControl/>
        <w:numPr>
          <w:ilvl w:val="0"/>
          <w:numId w:val="7"/>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своевременно и в полном объеме в соответствии </w:t>
        <w:br/>
        <w:t>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7"/>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вся информация, предоставленная Покупателю, является достоверной, полной </w:t>
        <w:br/>
        <w:t xml:space="preserve">и точной, и Поставщик не скрыл никаких обстоятельств, которые при их обнаружении могли </w:t>
        <w:br/>
        <w:t>бы негативно повлиять на решение Покупателя заключить Договор на указанных в нем условиях.</w:t>
      </w:r>
    </w:p>
    <w:p>
      <w:pPr>
        <w:pStyle w:val="Normal"/>
        <w:widowControl/>
        <w:numPr>
          <w:ilvl w:val="1"/>
          <w:numId w:val="2"/>
        </w:numPr>
        <w:tabs>
          <w:tab w:val="clear" w:pos="709"/>
          <w:tab w:val="left" w:pos="1418" w:leader="none"/>
        </w:tabs>
        <w:ind w:firstLine="709" w:left="0"/>
        <w:jc w:val="both"/>
        <w:rPr>
          <w:sz w:val="24"/>
          <w:szCs w:val="24"/>
        </w:rPr>
      </w:pPr>
      <w:r>
        <w:rPr>
          <w:sz w:val="24"/>
          <w:szCs w:val="24"/>
        </w:rPr>
        <w:t xml:space="preserve">При заключении и исполнении Договора каждая Сторона полагается </w:t>
        <w:br/>
        <w:t xml:space="preserve">на достоверность, точность и полноту заверений другой Стороны, изложенных в настоящем разделе Договора.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В случае, если </w:t>
      </w:r>
      <w:r>
        <w:rPr>
          <w:bCs/>
          <w:sz w:val="24"/>
          <w:szCs w:val="24"/>
        </w:rPr>
        <w:t xml:space="preserve">Поставщик </w:t>
      </w:r>
      <w:r>
        <w:rPr>
          <w:sz w:val="24"/>
          <w:szCs w:val="24"/>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w:t>
        <w:br/>
        <w:t>по письменному требованию Покупателя уплатить последнему штраф в размере 5 (пяти) процентов от Цены Договора, указанной в пункте 2.1 Договора.</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widowControl/>
        <w:shd w:val="clear" w:color="auto" w:fill="FFFFFF"/>
        <w:tabs>
          <w:tab w:val="clear" w:pos="709"/>
          <w:tab w:val="left" w:pos="1134" w:leader="none"/>
          <w:tab w:val="left" w:pos="1418" w:leader="none"/>
        </w:tabs>
        <w:ind w:firstLine="709" w:left="0"/>
        <w:jc w:val="both"/>
        <w:rPr>
          <w:sz w:val="24"/>
          <w:szCs w:val="24"/>
        </w:rPr>
      </w:pPr>
      <w:r>
        <w:rPr>
          <w:sz w:val="24"/>
          <w:szCs w:val="24"/>
        </w:rPr>
      </w:r>
    </w:p>
    <w:p>
      <w:pPr>
        <w:pStyle w:val="ListParagraph"/>
        <w:widowControl/>
        <w:numPr>
          <w:ilvl w:val="0"/>
          <w:numId w:val="2"/>
        </w:numPr>
        <w:shd w:val="clear" w:color="auto" w:fill="FFFFFF"/>
        <w:tabs>
          <w:tab w:val="clear" w:pos="709"/>
          <w:tab w:val="left" w:pos="426" w:leader="none"/>
        </w:tabs>
        <w:ind w:hanging="0" w:left="0"/>
        <w:jc w:val="center"/>
        <w:rPr>
          <w:b/>
          <w:sz w:val="24"/>
          <w:szCs w:val="24"/>
        </w:rPr>
      </w:pPr>
      <w:r>
        <w:rPr>
          <w:b/>
          <w:bCs/>
          <w:sz w:val="24"/>
          <w:szCs w:val="24"/>
        </w:rPr>
        <w:t>П</w:t>
      </w:r>
      <w:r>
        <w:rPr>
          <w:b/>
          <w:sz w:val="24"/>
          <w:szCs w:val="24"/>
        </w:rPr>
        <w:t>рекращение (расторжение) Договора</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w:t>
      </w:r>
      <w:r>
        <w:rPr>
          <w:sz w:val="24"/>
          <w:szCs w:val="24"/>
          <w:highlight w:val="lightGray"/>
        </w:rPr>
        <w:t>13.8</w:t>
      </w:r>
      <w:r>
        <w:rPr>
          <w:sz w:val="24"/>
          <w:szCs w:val="24"/>
        </w:rPr>
        <w:t xml:space="preserve"> Договора, с приложением подписанного соглашения о расторжении Договора. Уведомление должно быть рассмотрено Стороной</w:t>
      </w:r>
      <w:r>
        <w:rPr>
          <w:spacing w:val="2"/>
          <w:sz w:val="24"/>
          <w:szCs w:val="24"/>
        </w:rPr>
        <w:t>–</w:t>
      </w:r>
      <w:r>
        <w:rPr>
          <w:sz w:val="24"/>
          <w:szCs w:val="24"/>
        </w:rPr>
        <w:t>получателем в течение 30 (тридцати) календарных дней со дня его получения.</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Покупатель вправе в одностороннем внесудебном порядке отказаться от Договора при условии обязательного направления письменного уведомления об этом Поставщику не позднее чем за 30 (тридцать) календарных дней до предполагаемой даты расторжения Договора. В этом случае Договор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pPr>
        <w:pStyle w:val="ListParagraph"/>
        <w:widowControl/>
        <w:numPr>
          <w:ilvl w:val="1"/>
          <w:numId w:val="2"/>
        </w:numPr>
        <w:shd w:val="clear" w:color="auto" w:fill="FFFFFF"/>
        <w:tabs>
          <w:tab w:val="left" w:pos="709" w:leader="none"/>
          <w:tab w:val="left" w:pos="1418" w:leader="none"/>
        </w:tabs>
        <w:ind w:firstLine="709" w:left="0"/>
        <w:jc w:val="both"/>
        <w:rPr/>
      </w:pPr>
      <w:r>
        <w:rPr>
          <w:sz w:val="24"/>
          <w:szCs w:val="24"/>
        </w:rPr>
        <w:t xml:space="preserve">В случае существенного нарушения Договора Поставщиком Покупатель вправе в одностороннем внесудебном порядке отказаться от Договора. </w:t>
      </w:r>
    </w:p>
    <w:p>
      <w:pPr>
        <w:pStyle w:val="ListParagraph"/>
        <w:widowControl/>
        <w:shd w:val="clear" w:color="auto" w:fill="FFFFFF"/>
        <w:tabs>
          <w:tab w:val="clear" w:pos="709"/>
          <w:tab w:val="left" w:pos="1134" w:leader="none"/>
          <w:tab w:val="left" w:pos="1418" w:leader="none"/>
        </w:tabs>
        <w:ind w:firstLine="709" w:left="0"/>
        <w:jc w:val="both"/>
        <w:rPr/>
      </w:pPr>
      <w:r>
        <w:rPr>
          <w:sz w:val="24"/>
          <w:szCs w:val="24"/>
        </w:rPr>
        <w:t xml:space="preserve">Стороны установили, что существенным нарушением Договора Поставщиком является: </w:t>
      </w:r>
    </w:p>
    <w:p>
      <w:pPr>
        <w:pStyle w:val="NormalWeb"/>
        <w:numPr>
          <w:ilvl w:val="0"/>
          <w:numId w:val="11"/>
        </w:numPr>
        <w:tabs>
          <w:tab w:val="clear" w:pos="709"/>
          <w:tab w:val="left" w:pos="1418" w:leader="none"/>
        </w:tabs>
        <w:spacing w:beforeAutospacing="0" w:before="0" w:afterAutospacing="0" w:after="0"/>
        <w:ind w:firstLine="709" w:left="0"/>
        <w:jc w:val="both"/>
        <w:rPr/>
      </w:pPr>
      <w:r>
        <w:rPr/>
        <w:t xml:space="preserve">нарушение Поставщиком общего срока поставки Товара по Договору, а также промежуточных сроков поставки Товара (партий Товара), установленных Заявками Покупателя, более чем на 30 (тридцать) календарных дней по причинам, не зависящим от Покупателя; </w:t>
      </w:r>
    </w:p>
    <w:p>
      <w:pPr>
        <w:pStyle w:val="NormalWeb"/>
        <w:numPr>
          <w:ilvl w:val="0"/>
          <w:numId w:val="11"/>
        </w:numPr>
        <w:tabs>
          <w:tab w:val="clear" w:pos="709"/>
          <w:tab w:val="left" w:pos="1418" w:leader="none"/>
        </w:tabs>
        <w:spacing w:beforeAutospacing="0" w:before="0" w:afterAutospacing="0" w:after="0"/>
        <w:ind w:firstLine="709" w:left="0"/>
        <w:jc w:val="both"/>
        <w:rPr/>
      </w:pPr>
      <w:r>
        <w:rPr/>
        <w:t xml:space="preserve">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30 (тридцать) календарных дней, либо такие недостатки (дефекты) являются неустранимыми; </w:t>
      </w:r>
    </w:p>
    <w:p>
      <w:pPr>
        <w:pStyle w:val="NormalWeb"/>
        <w:numPr>
          <w:ilvl w:val="0"/>
          <w:numId w:val="11"/>
        </w:numPr>
        <w:tabs>
          <w:tab w:val="clear" w:pos="709"/>
          <w:tab w:val="left" w:pos="1418" w:leader="none"/>
        </w:tabs>
        <w:spacing w:beforeAutospacing="0" w:before="0" w:afterAutospacing="0" w:after="0"/>
        <w:ind w:firstLine="709" w:left="0"/>
        <w:jc w:val="both"/>
        <w:rPr/>
      </w:pPr>
      <w:r>
        <w:rPr/>
        <w:t xml:space="preserve">наложение ареста на имущество Поставщика, введение арбитражным судом процедуры несостоятельности (банкротства) в отношении Поставщика; </w:t>
      </w:r>
    </w:p>
    <w:p>
      <w:pPr>
        <w:pStyle w:val="NormalWeb"/>
        <w:numPr>
          <w:ilvl w:val="0"/>
          <w:numId w:val="11"/>
        </w:numPr>
        <w:tabs>
          <w:tab w:val="clear" w:pos="709"/>
          <w:tab w:val="left" w:pos="1418" w:leader="none"/>
        </w:tabs>
        <w:spacing w:beforeAutospacing="0" w:before="0" w:afterAutospacing="0" w:after="0"/>
        <w:ind w:firstLine="709" w:left="0"/>
        <w:jc w:val="both"/>
        <w:rPr/>
      </w:pPr>
      <w:r>
        <w:rPr/>
        <w:t xml:space="preserve">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11 Договора, и имеющих существенное значение для его заключения и исполнения. </w:t>
      </w:r>
    </w:p>
    <w:p>
      <w:pPr>
        <w:pStyle w:val="ListParagraph"/>
        <w:widowControl/>
        <w:numPr>
          <w:ilvl w:val="1"/>
          <w:numId w:val="10"/>
        </w:numPr>
        <w:shd w:val="clear" w:color="auto" w:fill="FFFFFF"/>
        <w:tabs>
          <w:tab w:val="clear" w:pos="709"/>
          <w:tab w:val="left" w:pos="1418" w:leader="none"/>
        </w:tabs>
        <w:ind w:firstLine="709" w:left="0"/>
        <w:jc w:val="both"/>
        <w:rPr>
          <w:sz w:val="24"/>
          <w:szCs w:val="24"/>
        </w:rPr>
      </w:pPr>
      <w:r>
        <w:rPr>
          <w:sz w:val="24"/>
          <w:szCs w:val="24"/>
        </w:rPr>
        <w:t>В случае отказа Покупателя от Договора в случаях, предусмотренных пунктами 12.3, 12.3 Договора, последний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pPr>
        <w:pStyle w:val="ListParagraph"/>
        <w:numPr>
          <w:ilvl w:val="1"/>
          <w:numId w:val="10"/>
        </w:numPr>
        <w:ind w:firstLine="709" w:left="0"/>
        <w:jc w:val="both"/>
        <w:rPr>
          <w:sz w:val="24"/>
          <w:szCs w:val="24"/>
        </w:rPr>
      </w:pPr>
      <w:r>
        <w:rPr>
          <w:sz w:val="24"/>
          <w:szCs w:val="24"/>
        </w:rPr>
        <w:t>С даты прекращения (расторжения) Договора Поставщик обязан прекратить поставку Товара.</w:t>
      </w:r>
    </w:p>
    <w:p>
      <w:pPr>
        <w:pStyle w:val="ListParagraph"/>
        <w:numPr>
          <w:ilvl w:val="1"/>
          <w:numId w:val="10"/>
        </w:numPr>
        <w:ind w:firstLine="709" w:left="0"/>
        <w:jc w:val="both"/>
        <w:rPr>
          <w:sz w:val="24"/>
          <w:szCs w:val="24"/>
        </w:rPr>
      </w:pPr>
      <w:r>
        <w:rPr>
          <w:sz w:val="24"/>
          <w:szCs w:val="24"/>
        </w:rPr>
        <w:t xml:space="preserve">При прекращении (расторжении) Договора по основаниям, указанным </w:t>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4 Договора, а также обязательств Поставщика по оплате неустойки, штрафов, возмещению убытков в случаях и размерах, предусмотренных Договором.</w:t>
      </w:r>
    </w:p>
    <w:p>
      <w:pPr>
        <w:pStyle w:val="Normal"/>
        <w:ind w:hanging="0" w:left="709"/>
        <w:jc w:val="both"/>
        <w:rPr>
          <w:sz w:val="24"/>
          <w:szCs w:val="24"/>
        </w:rPr>
      </w:pPr>
      <w:r>
        <w:rPr>
          <w:sz w:val="24"/>
          <w:szCs w:val="24"/>
        </w:rPr>
      </w:r>
    </w:p>
    <w:p>
      <w:pPr>
        <w:pStyle w:val="ListParagraph"/>
        <w:widowControl/>
        <w:numPr>
          <w:ilvl w:val="0"/>
          <w:numId w:val="2"/>
        </w:numPr>
        <w:shd w:val="clear" w:color="auto" w:fill="FFFFFF"/>
        <w:tabs>
          <w:tab w:val="clear" w:pos="709"/>
          <w:tab w:val="left" w:pos="426" w:leader="none"/>
        </w:tabs>
        <w:ind w:hanging="0" w:left="0"/>
        <w:jc w:val="center"/>
        <w:rPr>
          <w:b/>
          <w:bCs/>
          <w:sz w:val="24"/>
          <w:szCs w:val="24"/>
        </w:rPr>
      </w:pPr>
      <w:r>
        <w:rPr>
          <w:b/>
          <w:bCs/>
          <w:sz w:val="24"/>
          <w:szCs w:val="24"/>
        </w:rPr>
        <w:t>Заключительные положения</w:t>
      </w:r>
    </w:p>
    <w:p>
      <w:pPr>
        <w:pStyle w:val="ListParagraph"/>
        <w:widowControl/>
        <w:numPr>
          <w:ilvl w:val="1"/>
          <w:numId w:val="2"/>
        </w:numPr>
        <w:shd w:val="clear" w:color="auto" w:fill="FFFFFF"/>
        <w:tabs>
          <w:tab w:val="clear" w:pos="709"/>
          <w:tab w:val="left" w:pos="142" w:leader="none"/>
          <w:tab w:val="left" w:pos="1418" w:leader="none"/>
        </w:tabs>
        <w:ind w:firstLine="709" w:left="0"/>
        <w:jc w:val="both"/>
        <w:rPr>
          <w:sz w:val="24"/>
          <w:szCs w:val="24"/>
        </w:rPr>
      </w:pPr>
      <w:r>
        <w:rPr>
          <w:sz w:val="24"/>
          <w:szCs w:val="24"/>
        </w:rPr>
        <w:t xml:space="preserve">Договор вступает в силу с даты его подписания Сторонами и действует </w:t>
        <w:br/>
        <w:t xml:space="preserve">до полного исполнения ими принятых на себя обязательств. </w:t>
      </w:r>
      <w:r>
        <w:rPr>
          <w:sz w:val="24"/>
          <w:szCs w:val="24"/>
          <w:highlight w:val="lightGray"/>
        </w:rPr>
        <w:t xml:space="preserve">В соответствии с пунктом 2 статьи 425 ГК РФ, условия Договора применяются к отношениям Сторон, возникшим </w:t>
        <w:br/>
        <w:t>с __________</w:t>
      </w:r>
      <w:r>
        <w:rPr>
          <w:sz w:val="24"/>
          <w:szCs w:val="24"/>
        </w:rPr>
        <w:t>.</w:t>
      </w:r>
    </w:p>
    <w:p>
      <w:pPr>
        <w:pStyle w:val="Normal"/>
        <w:widowControl/>
        <w:numPr>
          <w:ilvl w:val="1"/>
          <w:numId w:val="2"/>
        </w:numPr>
        <w:tabs>
          <w:tab w:val="clear" w:pos="709"/>
        </w:tabs>
        <w:snapToGrid w:val="false"/>
        <w:ind w:firstLine="709" w:left="0"/>
        <w:jc w:val="both"/>
        <w:rPr>
          <w:sz w:val="24"/>
          <w:szCs w:val="24"/>
          <w:highlight w:val="lightGray"/>
        </w:rPr>
      </w:pPr>
      <w:r>
        <w:rPr>
          <w:sz w:val="24"/>
          <w:szCs w:val="24"/>
          <w:highlight w:val="lightGray"/>
        </w:rPr>
        <w:t xml:space="preserve">Договор заключается в электронной форме с использованием программно-аппаратных средств </w:t>
      </w:r>
      <w:r>
        <w:rPr>
          <w:i/>
          <w:sz w:val="24"/>
          <w:szCs w:val="24"/>
          <w:highlight w:val="lightGray"/>
        </w:rPr>
        <w:t>электронной площадки</w:t>
      </w:r>
      <w:r>
        <w:rPr>
          <w:sz w:val="24"/>
          <w:szCs w:val="24"/>
          <w:highlight w:val="lightGray"/>
        </w:rPr>
        <w:t xml:space="preserve"> путем его подписания усиленными квалифицированными электронными подписями (далее – УКЭП) уполномоченных представителей Сторон. </w:t>
      </w:r>
    </w:p>
    <w:p>
      <w:pPr>
        <w:pStyle w:val="Normal"/>
        <w:ind w:firstLine="709"/>
        <w:jc w:val="both"/>
        <w:rPr>
          <w:sz w:val="24"/>
          <w:szCs w:val="24"/>
          <w:highlight w:val="lightGray"/>
        </w:rPr>
      </w:pPr>
      <w:r>
        <w:rPr>
          <w:sz w:val="24"/>
          <w:szCs w:val="24"/>
          <w:highlight w:val="lightGray"/>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rStyle w:val="FootnoteReference"/>
          <w:sz w:val="24"/>
          <w:szCs w:val="24"/>
          <w:highlight w:val="lightGray"/>
        </w:rPr>
        <w:footnoteReference w:id="12"/>
      </w:r>
      <w:r>
        <w:rPr>
          <w:sz w:val="24"/>
          <w:szCs w:val="24"/>
          <w:highlight w:val="lightGray"/>
        </w:rPr>
        <w:t>.</w:t>
      </w:r>
    </w:p>
    <w:p>
      <w:pPr>
        <w:pStyle w:val="Normal"/>
        <w:snapToGrid w:val="false"/>
        <w:ind w:firstLine="709"/>
        <w:jc w:val="both"/>
        <w:rPr>
          <w:i/>
          <w:i/>
          <w:sz w:val="24"/>
          <w:szCs w:val="24"/>
          <w:highlight w:val="lightGray"/>
        </w:rPr>
      </w:pPr>
      <w:r>
        <w:rPr>
          <w:i/>
          <w:sz w:val="24"/>
          <w:szCs w:val="24"/>
          <w:highlight w:val="lightGray"/>
        </w:rPr>
        <w:t>Либо</w:t>
      </w:r>
    </w:p>
    <w:p>
      <w:pPr>
        <w:pStyle w:val="Normal"/>
        <w:snapToGrid w:val="false"/>
        <w:ind w:firstLine="709"/>
        <w:jc w:val="both"/>
        <w:rPr>
          <w:i/>
          <w:i/>
          <w:sz w:val="24"/>
          <w:szCs w:val="24"/>
          <w:highlight w:val="lightGray"/>
        </w:rPr>
      </w:pPr>
      <w:r>
        <w:rPr>
          <w:sz w:val="24"/>
          <w:szCs w:val="24"/>
          <w:highlight w:val="lightGray"/>
        </w:rPr>
        <w:t>Договор заключается в электронной форме с</w:t>
      </w:r>
      <w:r>
        <w:rPr>
          <w:i/>
          <w:sz w:val="24"/>
          <w:szCs w:val="24"/>
          <w:highlight w:val="lightGray"/>
        </w:rPr>
        <w:t xml:space="preserve"> </w:t>
      </w:r>
      <w:r>
        <w:rPr>
          <w:sz w:val="24"/>
          <w:szCs w:val="24"/>
          <w:highlight w:val="lightGray"/>
        </w:rPr>
        <w:t>использованием программно-аппаратных средств</w:t>
      </w:r>
      <w:r>
        <w:rPr>
          <w:i/>
          <w:sz w:val="24"/>
          <w:szCs w:val="24"/>
          <w:highlight w:val="lightGray"/>
        </w:rPr>
        <w:t xml:space="preserve"> информационной системы электронного документооборота общего пользования</w:t>
      </w:r>
      <w:r>
        <w:rPr>
          <w:sz w:val="24"/>
          <w:szCs w:val="24"/>
          <w:highlight w:val="lightGray"/>
        </w:rPr>
        <w:t xml:space="preserve"> путем его подписания усиленными квалифицированными электронными подписями (далее – УКЭП) уполномоченных представителей Сторон.</w:t>
      </w:r>
    </w:p>
    <w:p>
      <w:pPr>
        <w:pStyle w:val="Normal"/>
        <w:ind w:firstLine="709"/>
        <w:jc w:val="both"/>
        <w:rPr>
          <w:sz w:val="24"/>
          <w:szCs w:val="24"/>
        </w:rPr>
      </w:pPr>
      <w:r>
        <w:rPr>
          <w:sz w:val="24"/>
          <w:szCs w:val="24"/>
          <w:highlight w:val="lightGray"/>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rStyle w:val="FootnoteReference"/>
          <w:sz w:val="24"/>
          <w:szCs w:val="24"/>
          <w:highlight w:val="lightGray"/>
        </w:rPr>
        <w:footnoteReference w:id="13"/>
      </w:r>
      <w:r>
        <w:rPr>
          <w:sz w:val="24"/>
          <w:szCs w:val="24"/>
          <w:highlight w:val="lightGray"/>
        </w:rPr>
        <w:t>.</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w:t>
      </w:r>
      <w:r>
        <w:rPr>
          <w:sz w:val="24"/>
          <w:szCs w:val="24"/>
          <w:highlight w:val="lightGray"/>
        </w:rPr>
        <w:t>13.7</w:t>
      </w:r>
      <w:r>
        <w:rPr>
          <w:sz w:val="24"/>
          <w:szCs w:val="24"/>
        </w:rPr>
        <w:t xml:space="preserve"> Договора.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В случае наличия любых расхождений между содержанием Договора </w:t>
        <w:br/>
        <w:t>и приложений к нему, приоритет имеет текст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Обмен информацией между Сторонами по любым вопросам, связанным </w:t>
        <w:br/>
        <w:t xml:space="preserve">с исполнением Договора, включая уведомления и иные сообщения, осуществляется только </w:t>
        <w:br/>
        <w:t xml:space="preserve">в письменной форме в порядке, предусмотренном пунктом </w:t>
      </w:r>
      <w:r>
        <w:rPr>
          <w:sz w:val="24"/>
          <w:szCs w:val="24"/>
          <w:highlight w:val="lightGray"/>
        </w:rPr>
        <w:t>13.8</w:t>
      </w:r>
      <w:r>
        <w:rPr>
          <w:sz w:val="24"/>
          <w:szCs w:val="24"/>
        </w:rPr>
        <w:t xml:space="preserve">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bookmarkStart w:id="15" w:name="_Ref361338004"/>
      <w:r>
        <w:rPr>
          <w:sz w:val="24"/>
          <w:szCs w:val="24"/>
        </w:rPr>
        <w:t xml:space="preserve">Стороны обязуются уведомлять друг друга об изменении адреса и / или реквизитов, указанных в разделе 15 Договора, не позднее 3 (трех) рабочих дней после такого изменения в порядке, установленном пунктом </w:t>
      </w:r>
      <w:r>
        <w:rPr>
          <w:sz w:val="24"/>
          <w:szCs w:val="24"/>
          <w:highlight w:val="lightGray"/>
        </w:rPr>
        <w:t>13.8</w:t>
      </w:r>
      <w:r>
        <w:rPr>
          <w:sz w:val="24"/>
          <w:szCs w:val="24"/>
        </w:rPr>
        <w:t xml:space="preserve"> Договора.</w:t>
      </w:r>
      <w:bookmarkEnd w:id="15"/>
      <w:r>
        <w:rPr>
          <w:sz w:val="24"/>
          <w:szCs w:val="24"/>
        </w:rPr>
        <w:t xml:space="preserve"> </w:t>
      </w:r>
    </w:p>
    <w:p>
      <w:pPr>
        <w:pStyle w:val="ListParagraph"/>
        <w:widowControl/>
        <w:numPr>
          <w:ilvl w:val="1"/>
          <w:numId w:val="2"/>
        </w:numPr>
        <w:shd w:val="clear" w:color="auto" w:fill="FFFFFF"/>
        <w:tabs>
          <w:tab w:val="clear" w:pos="709"/>
          <w:tab w:val="left" w:pos="0" w:leader="none"/>
          <w:tab w:val="left" w:pos="1134" w:leader="none"/>
          <w:tab w:val="left" w:pos="1418" w:leader="none"/>
        </w:tabs>
        <w:ind w:firstLine="709" w:left="0"/>
        <w:jc w:val="both"/>
        <w:rPr>
          <w:bCs/>
          <w:sz w:val="24"/>
          <w:szCs w:val="24"/>
        </w:rPr>
      </w:pPr>
      <w:r>
        <w:rPr>
          <w:sz w:val="24"/>
          <w:szCs w:val="24"/>
        </w:rPr>
        <w:t>Письма, уведомления и / или сообщения направляются Стороне</w:t>
      </w:r>
      <w:r>
        <w:rPr>
          <w:bCs/>
          <w:sz w:val="24"/>
          <w:szCs w:val="24"/>
        </w:rPr>
        <w:t>-</w:t>
      </w:r>
      <w:r>
        <w:rPr>
          <w:sz w:val="24"/>
          <w:szCs w:val="24"/>
        </w:rPr>
        <w:t>получателю по адресу ее места нахождения, указанному в разделе 15 Договора, или в ранее полученном уведомлении Стороны об изменении адреса, одним из следующих способов, при этом документ</w:t>
      </w:r>
      <w:r>
        <w:rPr>
          <w:bCs/>
          <w:sz w:val="24"/>
          <w:szCs w:val="24"/>
        </w:rPr>
        <w:t xml:space="preserve"> будет считаться полученным</w:t>
      </w:r>
      <w:r>
        <w:rPr>
          <w:sz w:val="24"/>
          <w:szCs w:val="24"/>
        </w:rPr>
        <w:t xml:space="preserve">: </w:t>
      </w:r>
    </w:p>
    <w:p>
      <w:pPr>
        <w:pStyle w:val="ListParagraph"/>
        <w:numPr>
          <w:ilvl w:val="2"/>
          <w:numId w:val="2"/>
        </w:numPr>
        <w:tabs>
          <w:tab w:val="clear" w:pos="709"/>
        </w:tabs>
        <w:ind w:firstLine="709" w:left="0"/>
        <w:jc w:val="both"/>
        <w:rPr>
          <w:sz w:val="24"/>
          <w:szCs w:val="24"/>
        </w:rPr>
      </w:pPr>
      <w:r>
        <w:rPr>
          <w:bCs/>
          <w:sz w:val="24"/>
          <w:szCs w:val="24"/>
        </w:rPr>
        <w:t xml:space="preserve">Заказным почтовым отправлением с уведомлением о вручении – </w:t>
      </w:r>
      <w:r>
        <w:rPr>
          <w:sz w:val="24"/>
          <w:szCs w:val="24"/>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numPr>
          <w:ilvl w:val="2"/>
          <w:numId w:val="2"/>
        </w:numPr>
        <w:tabs>
          <w:tab w:val="clear" w:pos="709"/>
        </w:tabs>
        <w:ind w:firstLine="709" w:left="0"/>
        <w:jc w:val="both"/>
        <w:rPr>
          <w:sz w:val="24"/>
          <w:szCs w:val="24"/>
        </w:rPr>
      </w:pPr>
      <w:r>
        <w:rPr>
          <w:bCs/>
          <w:sz w:val="24"/>
          <w:szCs w:val="24"/>
        </w:rPr>
        <w:t>Доставкой лично или курьером Стороны-отправителя – в дату и время фактического приема уведомления Стороной-получателем с отметкой о получении</w:t>
      </w:r>
      <w:r>
        <w:rPr>
          <w:sz w:val="24"/>
          <w:szCs w:val="24"/>
        </w:rPr>
        <w:t xml:space="preserve">; </w:t>
      </w:r>
    </w:p>
    <w:p>
      <w:pPr>
        <w:pStyle w:val="ListParagraph"/>
        <w:numPr>
          <w:ilvl w:val="2"/>
          <w:numId w:val="2"/>
        </w:numPr>
        <w:tabs>
          <w:tab w:val="clear" w:pos="709"/>
        </w:tabs>
        <w:ind w:firstLine="709" w:left="0"/>
        <w:jc w:val="both"/>
        <w:rPr>
          <w:bCs/>
          <w:sz w:val="24"/>
          <w:szCs w:val="24"/>
        </w:rPr>
      </w:pPr>
      <w:r>
        <w:rPr>
          <w:bCs/>
          <w:sz w:val="24"/>
          <w:szCs w:val="24"/>
        </w:rPr>
        <w:t>Посредством электронной почты (</w:t>
      </w:r>
      <w:r>
        <w:rPr>
          <w:bCs/>
          <w:sz w:val="24"/>
          <w:szCs w:val="24"/>
          <w:lang w:val="en-US"/>
        </w:rPr>
        <w:t>e</w:t>
      </w:r>
      <w:r>
        <w:rPr>
          <w:bCs/>
          <w:sz w:val="24"/>
          <w:szCs w:val="24"/>
        </w:rPr>
        <w:t>-</w:t>
      </w:r>
      <w:r>
        <w:rPr>
          <w:bCs/>
          <w:sz w:val="24"/>
          <w:szCs w:val="24"/>
          <w:lang w:val="en-US"/>
        </w:rPr>
        <w:t>mail</w:t>
      </w:r>
      <w:r>
        <w:rPr>
          <w:bCs/>
          <w:sz w:val="24"/>
          <w:szCs w:val="24"/>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w:t>
      </w:r>
      <w:r>
        <w:rPr>
          <w:bCs/>
          <w:sz w:val="24"/>
          <w:szCs w:val="24"/>
          <w:highlight w:val="lightGray"/>
        </w:rPr>
        <w:t>13.8.1 – 13.8.2</w:t>
      </w:r>
      <w:r>
        <w:rPr>
          <w:bCs/>
          <w:sz w:val="24"/>
          <w:szCs w:val="24"/>
        </w:rPr>
        <w:t xml:space="preserve"> Договора. </w:t>
      </w:r>
    </w:p>
    <w:p>
      <w:pPr>
        <w:pStyle w:val="ListParagraph"/>
        <w:widowControl/>
        <w:numPr>
          <w:ilvl w:val="1"/>
          <w:numId w:val="2"/>
        </w:numPr>
        <w:tabs>
          <w:tab w:val="clear" w:pos="709"/>
          <w:tab w:val="left" w:pos="0" w:leader="none"/>
          <w:tab w:val="left" w:pos="1418" w:leader="none"/>
        </w:tabs>
        <w:ind w:firstLine="709" w:left="0"/>
        <w:jc w:val="both"/>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sz w:val="24"/>
          <w:szCs w:val="24"/>
        </w:rPr>
        <w:t xml:space="preserve">Уступка (передача), в том числе в залог, прав (требований) к Покупателю </w:t>
        <w:br/>
        <w:t>по денежным обязательствам, возникших из Договора и принадлежащих Поставщику, допускается только с предварительного письменного согласия Покупателя и оформляется трехсторонним договором</w:t>
      </w:r>
      <w:r>
        <w:rPr>
          <w:bCs/>
          <w:sz w:val="24"/>
          <w:szCs w:val="24"/>
        </w:rPr>
        <w:t>.</w:t>
      </w:r>
      <w:r>
        <w:rPr>
          <w:sz w:val="24"/>
          <w:szCs w:val="24"/>
        </w:rPr>
        <w:t xml:space="preserve">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highlight w:val="lightGray"/>
        </w:rPr>
      </w:pPr>
      <w:r>
        <w:rPr>
          <w:sz w:val="24"/>
          <w:szCs w:val="24"/>
        </w:rPr>
        <w:t>Договор составлен в 2 (двух) оригинальных экземплярах, имеющих равную юридическую силу, по 1 (одному) для каждой из Сторон</w:t>
      </w:r>
      <w:r>
        <w:rPr>
          <w:rStyle w:val="FootnoteReference"/>
          <w:sz w:val="24"/>
          <w:szCs w:val="24"/>
          <w:highlight w:val="lightGray"/>
        </w:rPr>
        <w:footnoteReference w:id="14"/>
      </w:r>
      <w:r>
        <w:rPr>
          <w:sz w:val="24"/>
          <w:szCs w:val="24"/>
          <w:highlight w:val="lightGray"/>
        </w:rPr>
        <w:t>.</w:t>
      </w:r>
    </w:p>
    <w:p>
      <w:pPr>
        <w:pStyle w:val="ListParagraph"/>
        <w:widowControl/>
        <w:shd w:val="clear" w:color="auto" w:fill="FFFFFF"/>
        <w:tabs>
          <w:tab w:val="clear" w:pos="709"/>
          <w:tab w:val="left" w:pos="0" w:leader="none"/>
          <w:tab w:val="left" w:pos="1418" w:leader="none"/>
        </w:tabs>
        <w:ind w:firstLine="709" w:left="0"/>
        <w:jc w:val="both"/>
        <w:rPr>
          <w:sz w:val="24"/>
          <w:szCs w:val="24"/>
        </w:rPr>
      </w:pPr>
      <w:r>
        <w:rPr>
          <w:sz w:val="24"/>
          <w:szCs w:val="24"/>
        </w:rPr>
      </w:r>
    </w:p>
    <w:p>
      <w:pPr>
        <w:pStyle w:val="Normal"/>
        <w:widowControl/>
        <w:numPr>
          <w:ilvl w:val="0"/>
          <w:numId w:val="2"/>
        </w:numPr>
        <w:shd w:val="clear" w:color="auto" w:fill="FFFFFF"/>
        <w:spacing w:before="0" w:after="0"/>
        <w:ind w:hanging="0" w:left="0"/>
        <w:contextualSpacing/>
        <w:jc w:val="center"/>
        <w:rPr>
          <w:b/>
          <w:bCs/>
          <w:sz w:val="24"/>
          <w:szCs w:val="24"/>
        </w:rPr>
      </w:pPr>
      <w:r>
        <w:rPr>
          <w:b/>
          <w:bCs/>
          <w:sz w:val="24"/>
          <w:szCs w:val="24"/>
        </w:rPr>
        <w:t xml:space="preserve">Список приложений </w:t>
      </w:r>
    </w:p>
    <w:p>
      <w:pPr>
        <w:pStyle w:val="Normal"/>
        <w:widowControl/>
        <w:shd w:val="clear" w:color="auto" w:fill="FFFFFF"/>
        <w:tabs>
          <w:tab w:val="clear" w:pos="709"/>
          <w:tab w:val="left" w:pos="0" w:leader="none"/>
        </w:tabs>
        <w:suppressAutoHyphens w:val="true"/>
        <w:ind w:firstLine="709"/>
        <w:jc w:val="both"/>
        <w:rPr>
          <w:rFonts w:eastAsia="Calibri"/>
          <w:sz w:val="24"/>
          <w:szCs w:val="24"/>
          <w:lang w:eastAsia="en-US"/>
        </w:rPr>
      </w:pPr>
      <w:bookmarkStart w:id="16" w:name="sub_1"/>
      <w:r>
        <w:rPr>
          <w:rFonts w:eastAsia="Calibri"/>
          <w:sz w:val="24"/>
          <w:szCs w:val="24"/>
          <w:lang w:eastAsia="en-US"/>
        </w:rPr>
        <w:t>Приложение № 1 – Спецификация;</w:t>
      </w:r>
    </w:p>
    <w:p>
      <w:pPr>
        <w:pStyle w:val="Normal"/>
        <w:widowControl/>
        <w:shd w:val="clear" w:color="auto" w:fill="FFFFFF"/>
        <w:tabs>
          <w:tab w:val="clear" w:pos="709"/>
          <w:tab w:val="left" w:pos="0" w:leader="none"/>
          <w:tab w:val="left" w:pos="2694" w:leader="none"/>
        </w:tabs>
        <w:suppressAutoHyphens w:val="true"/>
        <w:ind w:firstLine="709"/>
        <w:jc w:val="both"/>
        <w:rPr>
          <w:sz w:val="24"/>
          <w:szCs w:val="24"/>
          <w:lang w:eastAsia="x-none"/>
        </w:rPr>
      </w:pPr>
      <w:r>
        <w:rPr>
          <w:sz w:val="24"/>
          <w:szCs w:val="24"/>
          <w:lang w:eastAsia="x-none"/>
        </w:rPr>
        <w:t>Приложение № 2 –</w:t>
      </w:r>
      <w:r>
        <w:rPr>
          <w:rFonts w:eastAsia="Calibri"/>
          <w:sz w:val="24"/>
          <w:szCs w:val="24"/>
          <w:lang w:eastAsia="en-US"/>
        </w:rPr>
        <w:t xml:space="preserve"> Форма Заявки на поставку Товара;</w:t>
      </w:r>
      <w:bookmarkEnd w:id="16"/>
    </w:p>
    <w:p>
      <w:pPr>
        <w:pStyle w:val="Normal"/>
        <w:ind w:firstLine="709"/>
        <w:jc w:val="both"/>
        <w:rPr>
          <w:bCs/>
          <w:sz w:val="24"/>
          <w:szCs w:val="24"/>
        </w:rPr>
      </w:pPr>
      <w:r>
        <w:rPr>
          <w:bCs/>
          <w:sz w:val="24"/>
          <w:szCs w:val="24"/>
        </w:rPr>
        <w:t xml:space="preserve">Приложение № 3 </w:t>
      </w:r>
      <w:r>
        <w:rPr>
          <w:rFonts w:eastAsia="Calibri"/>
          <w:sz w:val="24"/>
          <w:szCs w:val="24"/>
          <w:lang w:eastAsia="en-US"/>
        </w:rPr>
        <w:t>–</w:t>
      </w:r>
      <w:r>
        <w:rPr>
          <w:bCs/>
          <w:sz w:val="24"/>
          <w:szCs w:val="24"/>
        </w:rPr>
        <w:t xml:space="preserve"> Размер ответственности Поставщика за нарушения пропускного и внутриобъектового режима, требований охраны труда, пожарной и промышленной безопасности.</w:t>
      </w:r>
    </w:p>
    <w:p>
      <w:pPr>
        <w:pStyle w:val="Normal"/>
        <w:ind w:firstLine="709"/>
        <w:jc w:val="both"/>
        <w:rPr>
          <w:bCs/>
          <w:sz w:val="24"/>
          <w:szCs w:val="24"/>
        </w:rPr>
      </w:pPr>
      <w:r>
        <w:rPr>
          <w:bCs/>
          <w:sz w:val="24"/>
          <w:szCs w:val="24"/>
        </w:rPr>
      </w:r>
    </w:p>
    <w:p>
      <w:pPr>
        <w:pStyle w:val="ListParagraph"/>
        <w:widowControl/>
        <w:numPr>
          <w:ilvl w:val="0"/>
          <w:numId w:val="2"/>
        </w:numPr>
        <w:shd w:val="clear" w:color="auto" w:fill="FFFFFF"/>
        <w:ind w:hanging="0" w:left="0"/>
        <w:jc w:val="center"/>
        <w:rPr>
          <w:b/>
          <w:bCs/>
          <w:sz w:val="24"/>
          <w:szCs w:val="24"/>
        </w:rPr>
      </w:pPr>
      <w:r>
        <w:rPr>
          <w:b/>
          <w:bCs/>
          <w:sz w:val="24"/>
          <w:szCs w:val="24"/>
        </w:rPr>
        <w:t>Адреса и платежные реквизиты Сторон</w:t>
      </w:r>
    </w:p>
    <w:p>
      <w:pPr>
        <w:pStyle w:val="ListParagraph"/>
        <w:widowControl/>
        <w:shd w:val="clear" w:color="auto" w:fill="FFFFFF"/>
        <w:tabs>
          <w:tab w:val="clear" w:pos="709"/>
          <w:tab w:val="left" w:pos="426" w:leader="none"/>
        </w:tabs>
        <w:ind w:firstLine="709" w:left="0"/>
        <w:rPr>
          <w:b/>
          <w:bCs/>
          <w:sz w:val="24"/>
          <w:szCs w:val="24"/>
        </w:rPr>
      </w:pPr>
      <w:r>
        <w:rPr>
          <w:b/>
          <w:bCs/>
          <w:sz w:val="24"/>
          <w:szCs w:val="24"/>
        </w:rPr>
      </w:r>
    </w:p>
    <w:tbl>
      <w:tblPr>
        <w:tblW w:w="9781"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780"/>
        <w:gridCol w:w="143"/>
        <w:gridCol w:w="4643"/>
        <w:gridCol w:w="215"/>
      </w:tblGrid>
      <w:tr>
        <w:trPr/>
        <w:tc>
          <w:tcPr>
            <w:tcW w:w="4923" w:type="dxa"/>
            <w:gridSpan w:val="2"/>
            <w:tcBorders/>
          </w:tcPr>
          <w:p>
            <w:pPr>
              <w:pStyle w:val="Normal"/>
              <w:widowControl w:val="false"/>
              <w:rPr>
                <w:b/>
                <w:sz w:val="24"/>
                <w:szCs w:val="24"/>
              </w:rPr>
            </w:pPr>
            <w:r>
              <w:rPr>
                <w:b/>
                <w:sz w:val="24"/>
                <w:szCs w:val="24"/>
              </w:rPr>
              <w:t>Покупатель:</w:t>
            </w:r>
          </w:p>
        </w:tc>
        <w:tc>
          <w:tcPr>
            <w:tcW w:w="4858" w:type="dxa"/>
            <w:gridSpan w:val="2"/>
            <w:tcBorders/>
          </w:tcPr>
          <w:p>
            <w:pPr>
              <w:pStyle w:val="Normal"/>
              <w:widowControl w:val="false"/>
              <w:rPr>
                <w:b/>
                <w:sz w:val="24"/>
                <w:szCs w:val="24"/>
              </w:rPr>
            </w:pPr>
            <w:r>
              <w:rPr>
                <w:b/>
                <w:sz w:val="24"/>
                <w:szCs w:val="24"/>
              </w:rPr>
              <w:t>Поставщик:</w:t>
            </w:r>
          </w:p>
        </w:tc>
      </w:tr>
      <w:tr>
        <w:trPr/>
        <w:tc>
          <w:tcPr>
            <w:tcW w:w="4923" w:type="dxa"/>
            <w:gridSpan w:val="2"/>
            <w:tcBorders/>
            <w:shd w:color="auto" w:fill="BFBFBF" w:val="clear"/>
          </w:tcPr>
          <w:p>
            <w:pPr>
              <w:pStyle w:val="Normal"/>
              <w:widowControl w:val="false"/>
              <w:rPr>
                <w:b/>
                <w:sz w:val="24"/>
                <w:szCs w:val="24"/>
              </w:rPr>
            </w:pPr>
            <w:r>
              <w:rPr>
                <w:b/>
                <w:sz w:val="24"/>
                <w:szCs w:val="24"/>
              </w:rPr>
              <w:t>Публичное акционерное общество</w:t>
            </w:r>
          </w:p>
          <w:p>
            <w:pPr>
              <w:pStyle w:val="Normal"/>
              <w:widowControl w:val="false"/>
              <w:rPr>
                <w:b/>
                <w:sz w:val="24"/>
                <w:szCs w:val="24"/>
              </w:rPr>
            </w:pPr>
            <w:r>
              <w:rPr>
                <w:b/>
                <w:sz w:val="24"/>
                <w:szCs w:val="24"/>
              </w:rPr>
              <w:t>«Федеральная гидрогенерирующая компания - РусГидро» (ПАО «РусГидро»)</w:t>
            </w:r>
          </w:p>
          <w:p>
            <w:pPr>
              <w:pStyle w:val="Normal"/>
              <w:widowControl w:val="false"/>
              <w:rPr>
                <w:sz w:val="24"/>
                <w:szCs w:val="24"/>
              </w:rPr>
            </w:pPr>
            <w:r>
              <w:rPr>
                <w:sz w:val="24"/>
                <w:szCs w:val="24"/>
              </w:rPr>
            </w:r>
          </w:p>
          <w:p>
            <w:pPr>
              <w:pStyle w:val="Normal"/>
              <w:widowControl w:val="false"/>
              <w:spacing w:lineRule="auto" w:line="240"/>
              <w:ind w:hanging="0"/>
              <w:jc w:val="left"/>
              <w:rPr>
                <w:sz w:val="24"/>
                <w:szCs w:val="24"/>
              </w:rPr>
            </w:pPr>
            <w:r>
              <w:rPr>
                <w:sz w:val="24"/>
                <w:szCs w:val="24"/>
              </w:rPr>
              <w:t>Юридический/Почтовый адрес: 660017, Красноярский край, г.о. город Красноярск,</w:t>
            </w:r>
          </w:p>
          <w:p>
            <w:pPr>
              <w:pStyle w:val="Normal"/>
              <w:widowControl w:val="false"/>
              <w:spacing w:lineRule="auto" w:line="240"/>
              <w:ind w:hanging="0"/>
              <w:jc w:val="left"/>
              <w:rPr>
                <w:sz w:val="24"/>
                <w:szCs w:val="24"/>
              </w:rPr>
            </w:pPr>
            <w:r>
              <w:rPr>
                <w:sz w:val="24"/>
                <w:szCs w:val="24"/>
              </w:rPr>
              <w:t xml:space="preserve">г. Красноярск, ул. Перенсона, д.2, пом.1, </w:t>
            </w:r>
          </w:p>
          <w:p>
            <w:pPr>
              <w:pStyle w:val="Normal"/>
              <w:widowControl w:val="false"/>
              <w:rPr>
                <w:sz w:val="24"/>
                <w:szCs w:val="24"/>
              </w:rPr>
            </w:pPr>
            <w:r>
              <w:rPr>
                <w:sz w:val="24"/>
                <w:szCs w:val="24"/>
              </w:rPr>
              <w:t>д. 43, стр. 1</w:t>
            </w:r>
          </w:p>
          <w:p>
            <w:pPr>
              <w:pStyle w:val="Normal"/>
              <w:widowControl w:val="false"/>
              <w:rPr>
                <w:sz w:val="24"/>
                <w:szCs w:val="24"/>
              </w:rPr>
            </w:pPr>
            <w:r>
              <w:rPr>
                <w:sz w:val="24"/>
                <w:szCs w:val="24"/>
              </w:rPr>
            </w:r>
          </w:p>
          <w:p>
            <w:pPr>
              <w:pStyle w:val="Normal"/>
              <w:widowControl w:val="false"/>
              <w:rPr>
                <w:sz w:val="24"/>
                <w:szCs w:val="24"/>
              </w:rPr>
            </w:pPr>
            <w:r>
              <w:rPr>
                <w:sz w:val="24"/>
                <w:szCs w:val="24"/>
              </w:rPr>
              <w:t xml:space="preserve">ОГРН 1042401810494, </w:t>
            </w:r>
          </w:p>
          <w:p>
            <w:pPr>
              <w:pStyle w:val="Normal"/>
              <w:widowControl w:val="false"/>
              <w:rPr>
                <w:sz w:val="24"/>
                <w:szCs w:val="24"/>
              </w:rPr>
            </w:pPr>
            <w:r>
              <w:rPr>
                <w:sz w:val="24"/>
                <w:szCs w:val="24"/>
              </w:rPr>
              <w:t>ИНН 2460066195 / КПП 997650001</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расчетного счета)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(наименование банка, в котором</w:t>
            </w:r>
          </w:p>
          <w:p>
            <w:pPr>
              <w:pStyle w:val="Normal"/>
              <w:widowControl w:val="false"/>
              <w:rPr>
                <w:sz w:val="24"/>
                <w:szCs w:val="24"/>
              </w:rPr>
            </w:pPr>
            <w:r>
              <w:rPr>
                <w:sz w:val="24"/>
                <w:szCs w:val="24"/>
              </w:rPr>
              <w:t>открыт расчетный счет)</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корреспондентского счета банка)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(БИК банка) _________________________________</w:t>
            </w:r>
          </w:p>
          <w:p>
            <w:pPr>
              <w:pStyle w:val="Normal"/>
              <w:widowControl w:val="false"/>
              <w:rPr>
                <w:sz w:val="24"/>
                <w:szCs w:val="24"/>
              </w:rPr>
            </w:pPr>
            <w:r>
              <w:rPr>
                <w:sz w:val="24"/>
                <w:szCs w:val="24"/>
              </w:rPr>
              <w:t>(номер телефона)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факса)</w:t>
            </w:r>
          </w:p>
        </w:tc>
        <w:tc>
          <w:tcPr>
            <w:tcW w:w="4858" w:type="dxa"/>
            <w:gridSpan w:val="2"/>
            <w:tcBorders/>
            <w:shd w:color="auto" w:fill="BFBFBF" w:val="clear"/>
          </w:tcPr>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(наименование юридического лица)</w:t>
            </w:r>
          </w:p>
          <w:p>
            <w:pPr>
              <w:pStyle w:val="Normal"/>
              <w:widowControl w:val="false"/>
              <w:rPr>
                <w:sz w:val="24"/>
                <w:szCs w:val="24"/>
              </w:rPr>
            </w:pPr>
            <w:r>
              <w:rPr>
                <w:sz w:val="24"/>
                <w:szCs w:val="24"/>
              </w:rPr>
            </w:r>
          </w:p>
          <w:p>
            <w:pPr>
              <w:pStyle w:val="Normal"/>
              <w:widowControl w:val="false"/>
              <w:rPr>
                <w:sz w:val="24"/>
                <w:szCs w:val="24"/>
              </w:rPr>
            </w:pPr>
            <w:r>
              <w:rPr>
                <w:sz w:val="24"/>
                <w:szCs w:val="24"/>
              </w:rPr>
              <w:t>Юридический адрес:</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Почтовый адрес:</w:t>
            </w:r>
          </w:p>
          <w:p>
            <w:pPr>
              <w:pStyle w:val="Normal"/>
              <w:widowControl w:val="false"/>
              <w:rPr>
                <w:sz w:val="24"/>
                <w:szCs w:val="24"/>
              </w:rPr>
            </w:pPr>
            <w:r>
              <w:rPr>
                <w:sz w:val="24"/>
                <w:szCs w:val="24"/>
              </w:rPr>
            </w:r>
          </w:p>
          <w:p>
            <w:pPr>
              <w:pStyle w:val="Normal"/>
              <w:widowControl w:val="false"/>
              <w:rPr>
                <w:sz w:val="24"/>
                <w:szCs w:val="24"/>
              </w:rPr>
            </w:pPr>
            <w:r>
              <w:rPr>
                <w:sz w:val="24"/>
                <w:szCs w:val="24"/>
              </w:rPr>
              <w:t>ОГРН ___________________________</w:t>
            </w:r>
          </w:p>
          <w:p>
            <w:pPr>
              <w:pStyle w:val="Normal"/>
              <w:widowControl w:val="false"/>
              <w:rPr>
                <w:sz w:val="24"/>
                <w:szCs w:val="24"/>
              </w:rPr>
            </w:pPr>
            <w:r>
              <w:rPr>
                <w:sz w:val="24"/>
                <w:szCs w:val="24"/>
              </w:rPr>
              <w:t>ИНН ____________ / КПП___________</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расчетного счета)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(наименование банка, в котором</w:t>
            </w:r>
          </w:p>
          <w:p>
            <w:pPr>
              <w:pStyle w:val="Normal"/>
              <w:widowControl w:val="false"/>
              <w:rPr>
                <w:sz w:val="24"/>
                <w:szCs w:val="24"/>
              </w:rPr>
            </w:pPr>
            <w:r>
              <w:rPr>
                <w:sz w:val="24"/>
                <w:szCs w:val="24"/>
              </w:rPr>
              <w:t>открыт расчетный счет)</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корреспондентского счета банка)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(БИК банка)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телефона)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факса)</w:t>
            </w:r>
          </w:p>
          <w:p>
            <w:pPr>
              <w:pStyle w:val="Normal"/>
              <w:widowControl w:val="false"/>
              <w:rPr>
                <w:sz w:val="24"/>
                <w:szCs w:val="24"/>
              </w:rPr>
            </w:pPr>
            <w:r>
              <w:rPr>
                <w:sz w:val="24"/>
                <w:szCs w:val="24"/>
              </w:rPr>
            </w:r>
          </w:p>
        </w:tc>
      </w:tr>
      <w:tr>
        <w:trPr/>
        <w:tc>
          <w:tcPr>
            <w:tcW w:w="4780" w:type="dxa"/>
            <w:tcBorders/>
          </w:tcPr>
          <w:p>
            <w:pPr>
              <w:pStyle w:val="Normal"/>
              <w:widowControl w:val="false"/>
              <w:rPr>
                <w:sz w:val="24"/>
                <w:szCs w:val="24"/>
                <w:highlight w:val="lightGray"/>
              </w:rPr>
            </w:pPr>
            <w:r>
              <w:rPr>
                <w:sz w:val="24"/>
                <w:szCs w:val="24"/>
                <w:highlight w:val="lightGray"/>
              </w:rPr>
              <w:t xml:space="preserve">_______________ / _______________ </w:t>
            </w:r>
          </w:p>
          <w:p>
            <w:pPr>
              <w:pStyle w:val="Normal"/>
              <w:widowControl w:val="false"/>
              <w:rPr>
                <w:sz w:val="24"/>
                <w:szCs w:val="24"/>
                <w:highlight w:val="lightGray"/>
              </w:rPr>
            </w:pPr>
            <w:r>
              <w:rPr>
                <w:sz w:val="24"/>
                <w:szCs w:val="24"/>
                <w:highlight w:val="lightGray"/>
              </w:rPr>
            </w:r>
          </w:p>
        </w:tc>
        <w:tc>
          <w:tcPr>
            <w:tcW w:w="4786" w:type="dxa"/>
            <w:gridSpan w:val="2"/>
            <w:tcBorders/>
          </w:tcPr>
          <w:p>
            <w:pPr>
              <w:pStyle w:val="Normal"/>
              <w:widowControl w:val="false"/>
              <w:rPr>
                <w:sz w:val="24"/>
                <w:szCs w:val="24"/>
              </w:rPr>
            </w:pPr>
            <w:r>
              <w:rPr>
                <w:sz w:val="24"/>
                <w:szCs w:val="24"/>
                <w:highlight w:val="lightGray"/>
              </w:rPr>
              <w:t>_______________ / _______________</w:t>
            </w:r>
            <w:r>
              <w:rPr>
                <w:sz w:val="24"/>
                <w:szCs w:val="24"/>
              </w:rPr>
              <w:t xml:space="preserve"> </w:t>
            </w:r>
          </w:p>
        </w:tc>
        <w:tc>
          <w:tcPr>
            <w:tcW w:w="215" w:type="dxa"/>
            <w:tcBorders/>
          </w:tcPr>
          <w:p>
            <w:pPr>
              <w:pStyle w:val="Normal"/>
              <w:widowControl w:val="false"/>
              <w:rPr/>
            </w:pPr>
            <w:r>
              <w:rPr/>
            </w:r>
          </w:p>
        </w:tc>
      </w:tr>
    </w:tbl>
    <w:p>
      <w:pPr>
        <w:sectPr>
          <w:headerReference w:type="default" r:id="rId5"/>
          <w:headerReference w:type="first" r:id="rId6"/>
          <w:footerReference w:type="default" r:id="rId7"/>
          <w:footnotePr>
            <w:numFmt w:val="decimal"/>
          </w:footnotePr>
          <w:type w:val="nextPage"/>
          <w:pgSz w:w="11906" w:h="16838"/>
          <w:pgMar w:left="1418" w:right="851" w:gutter="0" w:header="709" w:top="1134" w:footer="709" w:bottom="1134"/>
          <w:pgNumType w:fmt="decimal"/>
          <w:formProt w:val="false"/>
          <w:titlePg/>
          <w:textDirection w:val="lrTb"/>
          <w:docGrid w:type="default" w:linePitch="360" w:charSpace="8192"/>
        </w:sectPr>
      </w:pPr>
    </w:p>
    <w:p>
      <w:pPr>
        <w:pStyle w:val="Normal"/>
        <w:suppressAutoHyphens w:val="true"/>
        <w:ind w:firstLine="4820"/>
        <w:rPr>
          <w:sz w:val="22"/>
          <w:szCs w:val="22"/>
        </w:rPr>
      </w:pPr>
      <w:r>
        <w:rPr>
          <w:sz w:val="22"/>
          <w:szCs w:val="22"/>
        </w:rPr>
        <w:t>Приложение № 1</w:t>
      </w:r>
    </w:p>
    <w:p>
      <w:pPr>
        <w:pStyle w:val="Normal"/>
        <w:suppressAutoHyphens w:val="true"/>
        <w:ind w:firstLine="4820"/>
        <w:rPr>
          <w:sz w:val="22"/>
          <w:szCs w:val="22"/>
        </w:rPr>
      </w:pPr>
      <w:r>
        <w:rPr>
          <w:sz w:val="22"/>
          <w:szCs w:val="22"/>
        </w:rPr>
        <w:t>к Договору поставки</w:t>
      </w:r>
    </w:p>
    <w:p>
      <w:pPr>
        <w:pStyle w:val="Normal"/>
        <w:suppressAutoHyphens w:val="true"/>
        <w:ind w:firstLine="4820"/>
        <w:rPr>
          <w:sz w:val="22"/>
          <w:szCs w:val="22"/>
        </w:rPr>
      </w:pPr>
      <w:r>
        <w:rPr>
          <w:sz w:val="22"/>
          <w:szCs w:val="22"/>
        </w:rPr>
        <w:t>от «____» _____20 _ г. № _____</w:t>
      </w:r>
    </w:p>
    <w:p>
      <w:pPr>
        <w:pStyle w:val="Normal"/>
        <w:widowControl/>
        <w:suppressAutoHyphens w:val="true"/>
        <w:ind w:firstLine="709"/>
        <w:rPr>
          <w:rFonts w:eastAsia="Calibri"/>
          <w:b/>
          <w:sz w:val="24"/>
          <w:szCs w:val="24"/>
          <w:lang w:eastAsia="en-US"/>
        </w:rPr>
      </w:pPr>
      <w:r>
        <w:rPr>
          <w:rFonts w:eastAsia="Calibri"/>
          <w:b/>
          <w:sz w:val="24"/>
          <w:szCs w:val="24"/>
          <w:lang w:eastAsia="en-US"/>
        </w:rPr>
      </w:r>
    </w:p>
    <w:p>
      <w:pPr>
        <w:pStyle w:val="Normal"/>
        <w:ind w:firstLine="709"/>
        <w:jc w:val="center"/>
        <w:rPr>
          <w:b/>
          <w:sz w:val="24"/>
          <w:szCs w:val="24"/>
        </w:rPr>
      </w:pPr>
      <w:r>
        <w:rPr>
          <w:b/>
          <w:sz w:val="24"/>
          <w:szCs w:val="24"/>
        </w:rPr>
      </w:r>
    </w:p>
    <w:p>
      <w:pPr>
        <w:pStyle w:val="Normal"/>
        <w:ind w:firstLine="709"/>
        <w:jc w:val="center"/>
        <w:rPr>
          <w:b/>
          <w:sz w:val="24"/>
          <w:szCs w:val="24"/>
        </w:rPr>
      </w:pPr>
      <w:r>
        <w:rPr>
          <w:b/>
          <w:sz w:val="24"/>
          <w:szCs w:val="24"/>
        </w:rPr>
      </w:r>
    </w:p>
    <w:p>
      <w:pPr>
        <w:pStyle w:val="Normal"/>
        <w:jc w:val="center"/>
        <w:rPr>
          <w:b/>
          <w:sz w:val="24"/>
          <w:szCs w:val="24"/>
        </w:rPr>
      </w:pPr>
      <w:r>
        <w:rPr>
          <w:b/>
          <w:sz w:val="24"/>
          <w:szCs w:val="24"/>
        </w:rPr>
        <w:t xml:space="preserve">СПЕЦИФИКАЦИЯ </w:t>
      </w:r>
    </w:p>
    <w:p>
      <w:pPr>
        <w:pStyle w:val="Normal"/>
        <w:jc w:val="center"/>
        <w:rPr>
          <w:b/>
          <w:sz w:val="24"/>
          <w:szCs w:val="24"/>
        </w:rPr>
      </w:pPr>
      <w:r>
        <w:rPr>
          <w:b/>
          <w:sz w:val="24"/>
          <w:szCs w:val="24"/>
        </w:rPr>
      </w:r>
    </w:p>
    <w:tbl>
      <w:tblPr>
        <w:tblW w:w="5000" w:type="pct"/>
        <w:jc w:val="left"/>
        <w:tblInd w:w="-714" w:type="dxa"/>
        <w:tblLayout w:type="fixed"/>
        <w:tblCellMar>
          <w:top w:w="0" w:type="dxa"/>
          <w:left w:w="108" w:type="dxa"/>
          <w:bottom w:w="0" w:type="dxa"/>
          <w:right w:w="108" w:type="dxa"/>
        </w:tblCellMar>
        <w:tblLook w:val="04a0" w:noHBand="0" w:noVBand="1" w:firstColumn="1" w:lastRow="0" w:lastColumn="0" w:firstRow="1"/>
      </w:tblPr>
      <w:tblGrid>
        <w:gridCol w:w="454"/>
        <w:gridCol w:w="391"/>
        <w:gridCol w:w="602"/>
        <w:gridCol w:w="611"/>
        <w:gridCol w:w="612"/>
        <w:gridCol w:w="775"/>
        <w:gridCol w:w="726"/>
        <w:gridCol w:w="622"/>
        <w:gridCol w:w="731"/>
        <w:gridCol w:w="690"/>
        <w:gridCol w:w="514"/>
        <w:gridCol w:w="647"/>
        <w:gridCol w:w="551"/>
        <w:gridCol w:w="515"/>
        <w:gridCol w:w="716"/>
        <w:gridCol w:w="477"/>
      </w:tblGrid>
      <w:tr>
        <w:trPr>
          <w:trHeight w:val="526" w:hRule="atLeast"/>
        </w:trPr>
        <w:tc>
          <w:tcPr>
            <w:tcW w:w="45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 xml:space="preserve">№ </w:t>
            </w:r>
            <w:r>
              <w:rPr>
                <w:bCs/>
              </w:rPr>
              <w:t>партии</w:t>
            </w:r>
          </w:p>
        </w:tc>
        <w:tc>
          <w:tcPr>
            <w:tcW w:w="39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 xml:space="preserve">№ </w:t>
            </w:r>
            <w:r>
              <w:rPr>
                <w:bCs/>
              </w:rPr>
              <w:t>поз.</w:t>
            </w:r>
          </w:p>
        </w:tc>
        <w:tc>
          <w:tcPr>
            <w:tcW w:w="6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Наименование Товара</w:t>
            </w:r>
          </w:p>
        </w:tc>
        <w:tc>
          <w:tcPr>
            <w:tcW w:w="61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t>Артикул, тип, марка</w:t>
            </w:r>
          </w:p>
        </w:tc>
        <w:tc>
          <w:tcPr>
            <w:tcW w:w="61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Завод изготовитель</w:t>
            </w:r>
          </w:p>
        </w:tc>
        <w:tc>
          <w:tcPr>
            <w:tcW w:w="77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t>Страна происхождения Товара</w:t>
            </w:r>
            <w:r>
              <w:rPr>
                <w:rStyle w:val="FootnoteReference"/>
                <w:bCs/>
              </w:rPr>
              <w:footnoteReference w:id="15"/>
            </w:r>
          </w:p>
        </w:tc>
        <w:tc>
          <w:tcPr>
            <w:tcW w:w="72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t>Страна регистрации производителя Товара</w:t>
            </w:r>
          </w:p>
        </w:tc>
        <w:tc>
          <w:tcPr>
            <w:tcW w:w="6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Код ОКПД 2 (с наименованием)</w:t>
            </w:r>
          </w:p>
        </w:tc>
        <w:tc>
          <w:tcPr>
            <w:tcW w:w="7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Единица измерения</w:t>
            </w:r>
          </w:p>
        </w:tc>
        <w:tc>
          <w:tcPr>
            <w:tcW w:w="69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
                <w:bCs/>
              </w:rPr>
            </w:pPr>
            <w:r>
              <w:rPr>
                <w:b/>
                <w:bCs/>
              </w:rPr>
            </w:r>
          </w:p>
          <w:p>
            <w:pPr>
              <w:pStyle w:val="Normal"/>
              <w:widowControl w:val="false"/>
              <w:jc w:val="center"/>
              <w:rPr>
                <w:bCs/>
              </w:rPr>
            </w:pPr>
            <w:r>
              <w:rPr>
                <w:bCs/>
                <w:highlight w:val="lightGray"/>
              </w:rPr>
              <w:t>Порядковый номер(а) реестровой(ых) записи(ей)</w:t>
            </w:r>
            <w:r>
              <w:rPr>
                <w:rStyle w:val="FootnoteReference"/>
                <w:bCs/>
                <w:highlight w:val="lightGray"/>
              </w:rPr>
              <w:footnoteReference w:id="16"/>
            </w:r>
          </w:p>
          <w:p>
            <w:pPr>
              <w:pStyle w:val="Normal"/>
              <w:widowControl w:val="false"/>
              <w:jc w:val="center"/>
              <w:rPr>
                <w:bCs/>
              </w:rPr>
            </w:pPr>
            <w:r>
              <w:rPr>
                <w:bCs/>
              </w:rPr>
            </w:r>
          </w:p>
        </w:tc>
        <w:tc>
          <w:tcPr>
            <w:tcW w:w="51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Количество</w:t>
            </w:r>
          </w:p>
        </w:tc>
        <w:tc>
          <w:tcPr>
            <w:tcW w:w="64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Цена за единицу, руб. без НДС</w:t>
            </w:r>
          </w:p>
        </w:tc>
        <w:tc>
          <w:tcPr>
            <w:tcW w:w="55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Цена, руб. без НДС</w:t>
            </w:r>
          </w:p>
        </w:tc>
        <w:tc>
          <w:tcPr>
            <w:tcW w:w="51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НДС</w:t>
            </w:r>
          </w:p>
          <w:p>
            <w:pPr>
              <w:pStyle w:val="Normal"/>
              <w:widowControl w:val="false"/>
              <w:jc w:val="center"/>
              <w:rPr>
                <w:bCs/>
              </w:rPr>
            </w:pPr>
            <w:r>
              <w:rPr>
                <w:bCs/>
              </w:rPr>
              <w:t>(___%) руб.*</w:t>
            </w:r>
          </w:p>
        </w:tc>
        <w:tc>
          <w:tcPr>
            <w:tcW w:w="7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Стоимость, руб., с НДС*</w:t>
            </w:r>
          </w:p>
        </w:tc>
        <w:tc>
          <w:tcPr>
            <w:tcW w:w="4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Перечень сопроводительных документов (в том числе подтверждающих качество Товара)</w:t>
            </w:r>
          </w:p>
        </w:tc>
      </w:tr>
      <w:tr>
        <w:trPr>
          <w:trHeight w:val="538" w:hRule="atLeast"/>
        </w:trPr>
        <w:tc>
          <w:tcPr>
            <w:tcW w:w="45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highlight w:val="lightGray"/>
              </w:rPr>
            </w:pPr>
            <w:r>
              <w:rPr>
                <w:bCs/>
                <w:highlight w:val="lightGray"/>
              </w:rPr>
              <w:t>1</w:t>
            </w:r>
          </w:p>
        </w:tc>
        <w:tc>
          <w:tcPr>
            <w:tcW w:w="39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lightGray"/>
              </w:rPr>
            </w:pPr>
            <w:r>
              <w:rPr>
                <w:highlight w:val="lightGray"/>
              </w:rPr>
              <w:t>1</w:t>
            </w:r>
          </w:p>
        </w:tc>
        <w:tc>
          <w:tcPr>
            <w:tcW w:w="6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11"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1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75"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2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2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31"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90"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51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4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5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1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c>
          <w:tcPr>
            <w:tcW w:w="7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4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538" w:hRule="atLeast"/>
        </w:trPr>
        <w:tc>
          <w:tcPr>
            <w:tcW w:w="45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highlight w:val="lightGray"/>
              </w:rPr>
            </w:pPr>
            <w:r>
              <w:rPr>
                <w:bCs/>
                <w:highlight w:val="lightGray"/>
              </w:rPr>
            </w:r>
          </w:p>
        </w:tc>
        <w:tc>
          <w:tcPr>
            <w:tcW w:w="39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lightGray"/>
              </w:rPr>
            </w:pPr>
            <w:r>
              <w:rPr>
                <w:highlight w:val="lightGray"/>
              </w:rPr>
              <w:t>2</w:t>
            </w:r>
          </w:p>
        </w:tc>
        <w:tc>
          <w:tcPr>
            <w:tcW w:w="6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11"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1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75"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2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2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31"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90"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51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4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5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1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c>
          <w:tcPr>
            <w:tcW w:w="7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4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62" w:hRule="atLeast"/>
        </w:trPr>
        <w:tc>
          <w:tcPr>
            <w:tcW w:w="8441" w:type="dxa"/>
            <w:gridSpan w:val="14"/>
            <w:tcBorders>
              <w:top w:val="single" w:sz="4" w:space="0" w:color="000000"/>
              <w:left w:val="single" w:sz="4" w:space="0" w:color="000000"/>
              <w:bottom w:val="single" w:sz="4" w:space="0" w:color="000000"/>
              <w:right w:val="single" w:sz="4" w:space="0" w:color="000000"/>
            </w:tcBorders>
          </w:tcPr>
          <w:p>
            <w:pPr>
              <w:pStyle w:val="Normal"/>
              <w:widowControl w:val="false"/>
              <w:jc w:val="center"/>
              <w:rPr>
                <w:highlight w:val="yellow"/>
              </w:rPr>
            </w:pPr>
            <w:r>
              <w:rPr>
                <w:highlight w:val="lightGray"/>
              </w:rPr>
              <w:t>Итого стоимость партии Товара №1</w:t>
            </w:r>
            <w:r>
              <w:rPr/>
              <w:t>, руб. с НДС</w:t>
            </w:r>
            <w:r>
              <w:rPr>
                <w:shd w:fill="auto" w:val="clear"/>
              </w:rPr>
              <w:t>*</w:t>
            </w:r>
          </w:p>
        </w:tc>
        <w:tc>
          <w:tcPr>
            <w:tcW w:w="1193"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538" w:hRule="atLeast"/>
        </w:trPr>
        <w:tc>
          <w:tcPr>
            <w:tcW w:w="45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highlight w:val="lightGray"/>
              </w:rPr>
            </w:pPr>
            <w:r>
              <w:rPr>
                <w:bCs/>
                <w:highlight w:val="lightGray"/>
              </w:rPr>
              <w:t>2</w:t>
            </w:r>
          </w:p>
        </w:tc>
        <w:tc>
          <w:tcPr>
            <w:tcW w:w="39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lightGray"/>
              </w:rPr>
            </w:pPr>
            <w:r>
              <w:rPr>
                <w:highlight w:val="lightGray"/>
              </w:rPr>
              <w:t>3</w:t>
            </w:r>
          </w:p>
        </w:tc>
        <w:tc>
          <w:tcPr>
            <w:tcW w:w="6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11"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1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75"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2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2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31"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90"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51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4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5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1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c>
          <w:tcPr>
            <w:tcW w:w="7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4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538" w:hRule="atLeast"/>
        </w:trPr>
        <w:tc>
          <w:tcPr>
            <w:tcW w:w="45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highlight w:val="lightGray"/>
              </w:rPr>
            </w:pPr>
            <w:r>
              <w:rPr>
                <w:bCs/>
                <w:highlight w:val="lightGray"/>
              </w:rPr>
            </w:r>
          </w:p>
        </w:tc>
        <w:tc>
          <w:tcPr>
            <w:tcW w:w="39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lightGray"/>
              </w:rPr>
            </w:pPr>
            <w:r>
              <w:rPr>
                <w:highlight w:val="lightGray"/>
              </w:rPr>
              <w:t>4</w:t>
            </w:r>
          </w:p>
        </w:tc>
        <w:tc>
          <w:tcPr>
            <w:tcW w:w="60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11"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1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75"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2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2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31"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90"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51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4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5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1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c>
          <w:tcPr>
            <w:tcW w:w="71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4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62" w:hRule="atLeast"/>
        </w:trPr>
        <w:tc>
          <w:tcPr>
            <w:tcW w:w="8441" w:type="dxa"/>
            <w:gridSpan w:val="14"/>
            <w:tcBorders>
              <w:top w:val="single" w:sz="4" w:space="0" w:color="000000"/>
              <w:left w:val="single" w:sz="4" w:space="0" w:color="000000"/>
              <w:bottom w:val="single" w:sz="4" w:space="0" w:color="000000"/>
              <w:right w:val="single" w:sz="4" w:space="0" w:color="000000"/>
            </w:tcBorders>
          </w:tcPr>
          <w:p>
            <w:pPr>
              <w:pStyle w:val="Normal"/>
              <w:widowControl w:val="false"/>
              <w:jc w:val="center"/>
              <w:rPr>
                <w:highlight w:val="yellow"/>
              </w:rPr>
            </w:pPr>
            <w:r>
              <w:rPr>
                <w:highlight w:val="lightGray"/>
              </w:rPr>
              <w:t>Итого стоимость партии Товара №2</w:t>
            </w:r>
            <w:r>
              <w:rPr/>
              <w:t>, руб. с НДС</w:t>
            </w:r>
            <w:r>
              <w:rPr>
                <w:shd w:fill="auto" w:val="clear"/>
              </w:rPr>
              <w:t>*</w:t>
            </w:r>
          </w:p>
        </w:tc>
        <w:tc>
          <w:tcPr>
            <w:tcW w:w="1193"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262" w:hRule="atLeast"/>
        </w:trPr>
        <w:tc>
          <w:tcPr>
            <w:tcW w:w="8441" w:type="dxa"/>
            <w:gridSpan w:val="14"/>
            <w:tcBorders>
              <w:top w:val="single" w:sz="4" w:space="0" w:color="000000"/>
              <w:left w:val="single" w:sz="4" w:space="0" w:color="000000"/>
              <w:bottom w:val="single" w:sz="4" w:space="0" w:color="000000"/>
              <w:right w:val="single" w:sz="4" w:space="0" w:color="000000"/>
            </w:tcBorders>
          </w:tcPr>
          <w:p>
            <w:pPr>
              <w:pStyle w:val="Normal"/>
              <w:widowControl w:val="false"/>
              <w:jc w:val="center"/>
              <w:rPr>
                <w:highlight w:val="yellow"/>
              </w:rPr>
            </w:pPr>
            <w:r>
              <w:rPr>
                <w:highlight w:val="lightGray"/>
              </w:rPr>
              <w:t>Итого стоимость всего Товара (с учетом доставки), руб. с НДС*:</w:t>
            </w:r>
          </w:p>
        </w:tc>
        <w:tc>
          <w:tcPr>
            <w:tcW w:w="1193"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bl>
    <w:p>
      <w:pPr>
        <w:pStyle w:val="Normal"/>
        <w:widowControl w:val="false"/>
        <w:bidi w:val="0"/>
        <w:spacing w:before="0" w:after="0"/>
        <w:ind w:hanging="0" w:left="-680" w:right="680"/>
        <w:jc w:val="both"/>
        <w:rPr>
          <w:sz w:val="20"/>
          <w:szCs w:val="20"/>
        </w:rPr>
      </w:pPr>
      <w:r>
        <w:rPr>
          <w:i/>
          <w:iCs/>
          <w:sz w:val="20"/>
          <w:szCs w:val="20"/>
          <w:shd w:fill="auto" w:val="clear"/>
        </w:rPr>
        <w:t>* При этом сумма НДС является справочной и рассчитана исходя из ставки НДС в соответствии с действующим законодательством Российской Федерации.</w:t>
      </w:r>
    </w:p>
    <w:p>
      <w:pPr>
        <w:pStyle w:val="Normal"/>
        <w:widowControl w:val="false"/>
        <w:bidi w:val="0"/>
        <w:spacing w:before="0" w:after="0"/>
        <w:ind w:hanging="0" w:left="-680" w:right="680"/>
        <w:jc w:val="both"/>
        <w:rPr>
          <w:i/>
          <w:i/>
          <w:sz w:val="20"/>
          <w:szCs w:val="20"/>
          <w:highlight w:val="yellow"/>
        </w:rPr>
      </w:pPr>
      <w:r>
        <w:rPr>
          <w:i/>
          <w:sz w:val="20"/>
          <w:szCs w:val="20"/>
          <w:highlight w:val="yellow"/>
        </w:rPr>
      </w:r>
    </w:p>
    <w:p>
      <w:pPr>
        <w:pStyle w:val="Normal"/>
        <w:rPr>
          <w:i/>
          <w:i/>
          <w:sz w:val="22"/>
          <w:szCs w:val="22"/>
          <w:highlight w:val="lightGray"/>
        </w:rPr>
      </w:pPr>
      <w:r>
        <w:rPr>
          <w:i/>
          <w:sz w:val="22"/>
          <w:szCs w:val="22"/>
          <w:highlight w:val="lightGray"/>
        </w:rPr>
        <w:t>1. В спецификацию при необходимости включаются требования к Товару, таре/упаковке, перечень нормативных документов, которым должен соответствовать Товар  (ГОСТ, ТУ) и иные сведения, имеющие значение для Договора;</w:t>
      </w:r>
    </w:p>
    <w:p>
      <w:pPr>
        <w:pStyle w:val="Normal"/>
        <w:rPr>
          <w:i/>
          <w:i/>
          <w:sz w:val="22"/>
          <w:szCs w:val="22"/>
        </w:rPr>
      </w:pPr>
      <w:r>
        <w:rPr>
          <w:i/>
          <w:sz w:val="22"/>
          <w:szCs w:val="22"/>
          <w:highlight w:val="lightGray"/>
        </w:rPr>
        <w:t>2. По требованию Покупателя Поставщик обязан представить запрашиваемую информацию/документы, расчеты, обосновывающие стоимость доставки.</w:t>
      </w:r>
      <w:r>
        <w:rPr>
          <w:i/>
          <w:sz w:val="22"/>
          <w:szCs w:val="22"/>
        </w:rPr>
        <w:t xml:space="preserve"> </w:t>
      </w:r>
    </w:p>
    <w:p>
      <w:pPr>
        <w:pStyle w:val="Normal"/>
        <w:jc w:val="both"/>
        <w:rPr>
          <w:i/>
          <w:i/>
          <w:sz w:val="24"/>
          <w:szCs w:val="24"/>
        </w:rPr>
      </w:pPr>
      <w:r>
        <w:rPr>
          <w:i/>
          <w:sz w:val="24"/>
          <w:szCs w:val="24"/>
          <w:highlight w:val="lightGray"/>
        </w:rPr>
        <w:t>]</w:t>
      </w:r>
    </w:p>
    <w:p>
      <w:pPr>
        <w:pStyle w:val="Normal"/>
        <w:ind w:firstLine="709"/>
        <w:jc w:val="both"/>
        <w:rPr>
          <w:i/>
          <w:i/>
          <w:sz w:val="24"/>
          <w:szCs w:val="24"/>
        </w:rPr>
      </w:pPr>
      <w:r>
        <w:rPr>
          <w:i/>
          <w:sz w:val="24"/>
          <w:szCs w:val="24"/>
        </w:rPr>
        <w:t xml:space="preserve"> </w:t>
      </w:r>
    </w:p>
    <w:p>
      <w:pPr>
        <w:pStyle w:val="Normal"/>
        <w:widowControl/>
        <w:suppressAutoHyphens w:val="true"/>
        <w:ind w:firstLine="709"/>
        <w:rPr>
          <w:rFonts w:eastAsia="Calibri"/>
          <w:b/>
          <w:sz w:val="24"/>
          <w:szCs w:val="24"/>
          <w:lang w:eastAsia="en-US"/>
        </w:rPr>
      </w:pPr>
      <w:r>
        <w:rPr>
          <w:rFonts w:eastAsia="Calibri"/>
          <w:b/>
          <w:sz w:val="24"/>
          <w:szCs w:val="24"/>
          <w:lang w:eastAsia="en-US"/>
        </w:rPr>
      </w:r>
    </w:p>
    <w:p>
      <w:pPr>
        <w:pStyle w:val="Normal"/>
        <w:widowControl/>
        <w:suppressAutoHyphens w:val="true"/>
        <w:ind w:firstLine="709"/>
        <w:rPr>
          <w:rFonts w:eastAsia="Calibri"/>
          <w:b/>
          <w:sz w:val="24"/>
          <w:szCs w:val="24"/>
          <w:lang w:eastAsia="en-US"/>
        </w:rPr>
      </w:pPr>
      <w:r>
        <w:rPr>
          <w:rFonts w:eastAsia="Calibri"/>
          <w:b/>
          <w:sz w:val="24"/>
          <w:szCs w:val="24"/>
          <w:lang w:eastAsia="en-US"/>
        </w:rPr>
      </w:r>
    </w:p>
    <w:p>
      <w:pPr>
        <w:pStyle w:val="Normal"/>
        <w:numPr>
          <w:ilvl w:val="0"/>
          <w:numId w:val="0"/>
        </w:numPr>
        <w:ind w:hanging="0" w:left="0"/>
        <w:jc w:val="center"/>
        <w:outlineLvl w:val="0"/>
        <w:rPr>
          <w:b/>
          <w:bCs/>
          <w:sz w:val="24"/>
          <w:szCs w:val="24"/>
        </w:rPr>
      </w:pPr>
      <w:r>
        <w:rPr>
          <w:b/>
          <w:bCs/>
          <w:sz w:val="24"/>
          <w:szCs w:val="24"/>
        </w:rPr>
        <w:t>ПОДПИСИ СТОРОН:</w:t>
      </w:r>
    </w:p>
    <w:p>
      <w:pPr>
        <w:pStyle w:val="Normal"/>
        <w:numPr>
          <w:ilvl w:val="0"/>
          <w:numId w:val="0"/>
        </w:numPr>
        <w:ind w:firstLine="709" w:left="0"/>
        <w:jc w:val="center"/>
        <w:outlineLvl w:val="0"/>
        <w:rPr>
          <w:bCs/>
          <w:sz w:val="24"/>
          <w:szCs w:val="24"/>
        </w:rPr>
      </w:pPr>
      <w:r>
        <w:rPr>
          <w:bCs/>
          <w:sz w:val="24"/>
          <w:szCs w:val="24"/>
        </w:rPr>
      </w:r>
    </w:p>
    <w:tbl>
      <w:tblPr>
        <w:tblW w:w="9815" w:type="dxa"/>
        <w:jc w:val="left"/>
        <w:tblInd w:w="-176" w:type="dxa"/>
        <w:tblLayout w:type="fixed"/>
        <w:tblCellMar>
          <w:top w:w="0" w:type="dxa"/>
          <w:left w:w="108" w:type="dxa"/>
          <w:bottom w:w="0" w:type="dxa"/>
          <w:right w:w="108" w:type="dxa"/>
        </w:tblCellMar>
        <w:tblLook w:val="04a0" w:noHBand="0" w:noVBand="1" w:firstColumn="1" w:lastRow="0" w:lastColumn="0" w:firstRow="1"/>
      </w:tblPr>
      <w:tblGrid>
        <w:gridCol w:w="4995"/>
        <w:gridCol w:w="4819"/>
      </w:tblGrid>
      <w:tr>
        <w:trPr/>
        <w:tc>
          <w:tcPr>
            <w:tcW w:w="4995" w:type="dxa"/>
            <w:tcBorders/>
            <w:shd w:color="auto" w:fill="auto" w:val="clear"/>
          </w:tcPr>
          <w:p>
            <w:pPr>
              <w:pStyle w:val="Normal"/>
              <w:widowControl w:val="false"/>
              <w:rPr>
                <w:b/>
                <w:sz w:val="24"/>
                <w:szCs w:val="24"/>
              </w:rPr>
            </w:pPr>
            <w:r>
              <w:rPr>
                <w:b/>
                <w:sz w:val="24"/>
                <w:szCs w:val="24"/>
              </w:rPr>
              <w:t>Покупатель:</w:t>
            </w:r>
          </w:p>
          <w:p>
            <w:pPr>
              <w:pStyle w:val="Normal"/>
              <w:widowControl w:val="false"/>
              <w:rPr>
                <w:b/>
                <w:sz w:val="24"/>
                <w:szCs w:val="24"/>
              </w:rPr>
            </w:pPr>
            <w:r>
              <w:rPr>
                <w:b/>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_____________________/_____________</w:t>
            </w:r>
          </w:p>
          <w:p>
            <w:pPr>
              <w:pStyle w:val="Normal"/>
              <w:widowControl w:val="false"/>
              <w:ind w:firstLine="709"/>
              <w:rPr>
                <w:sz w:val="24"/>
                <w:szCs w:val="24"/>
              </w:rPr>
            </w:pPr>
            <w:r>
              <w:rPr>
                <w:sz w:val="24"/>
                <w:szCs w:val="24"/>
              </w:rPr>
            </w:r>
          </w:p>
        </w:tc>
        <w:tc>
          <w:tcPr>
            <w:tcW w:w="4819" w:type="dxa"/>
            <w:tcBorders/>
            <w:shd w:color="auto" w:fill="auto" w:val="clear"/>
          </w:tcPr>
          <w:p>
            <w:pPr>
              <w:pStyle w:val="Normal"/>
              <w:widowControl w:val="false"/>
              <w:rPr>
                <w:b/>
                <w:sz w:val="24"/>
                <w:szCs w:val="24"/>
              </w:rPr>
            </w:pPr>
            <w:r>
              <w:rPr>
                <w:b/>
                <w:sz w:val="24"/>
                <w:szCs w:val="24"/>
              </w:rPr>
              <w:t>Поставщик:</w:t>
            </w:r>
          </w:p>
          <w:p>
            <w:pPr>
              <w:pStyle w:val="Normal"/>
              <w:widowControl w:val="false"/>
              <w:rPr>
                <w:b/>
                <w:sz w:val="24"/>
                <w:szCs w:val="24"/>
              </w:rPr>
            </w:pPr>
            <w:r>
              <w:rPr>
                <w:b/>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_____________________/____________</w:t>
            </w:r>
          </w:p>
          <w:p>
            <w:pPr>
              <w:pStyle w:val="Normal"/>
              <w:widowControl w:val="false"/>
              <w:ind w:firstLine="709"/>
              <w:rPr>
                <w:b/>
                <w:sz w:val="24"/>
                <w:szCs w:val="24"/>
              </w:rPr>
            </w:pPr>
            <w:r>
              <w:rPr>
                <w:b/>
                <w:sz w:val="24"/>
                <w:szCs w:val="24"/>
              </w:rPr>
            </w:r>
          </w:p>
        </w:tc>
      </w:tr>
    </w:tbl>
    <w:p>
      <w:pPr>
        <w:pStyle w:val="Normal"/>
        <w:widowControl/>
        <w:suppressAutoHyphens w:val="true"/>
        <w:ind w:firstLine="709"/>
        <w:rPr>
          <w:rFonts w:eastAsia="Calibri"/>
          <w:b/>
          <w:sz w:val="24"/>
          <w:szCs w:val="24"/>
          <w:lang w:eastAsia="en-US"/>
        </w:rPr>
      </w:pPr>
      <w:r>
        <w:rPr>
          <w:rFonts w:eastAsia="Calibri"/>
          <w:b/>
          <w:sz w:val="24"/>
          <w:szCs w:val="24"/>
          <w:lang w:eastAsia="en-US"/>
        </w:rPr>
      </w:r>
    </w:p>
    <w:p>
      <w:pPr>
        <w:sectPr>
          <w:headerReference w:type="default" r:id="rId8"/>
          <w:headerReference w:type="first" r:id="rId9"/>
          <w:footerReference w:type="default" r:id="rId10"/>
          <w:footerReference w:type="first" r:id="rId11"/>
          <w:footnotePr>
            <w:numFmt w:val="decimal"/>
          </w:footnotePr>
          <w:type w:val="nextPage"/>
          <w:pgSz w:w="11906" w:h="16838"/>
          <w:pgMar w:left="1418" w:right="851" w:gutter="0" w:header="709" w:top="1134" w:footer="709" w:bottom="1134"/>
          <w:pgNumType w:fmt="decimal"/>
          <w:formProt w:val="false"/>
          <w:textDirection w:val="lrTb"/>
          <w:docGrid w:type="default" w:linePitch="299" w:charSpace="8192"/>
        </w:sectPr>
        <w:pStyle w:val="Normal"/>
        <w:widowControl/>
        <w:suppressAutoHyphens w:val="true"/>
        <w:ind w:firstLine="709"/>
        <w:rPr>
          <w:rFonts w:eastAsia="Calibri"/>
          <w:b/>
          <w:sz w:val="24"/>
          <w:szCs w:val="24"/>
          <w:lang w:eastAsia="en-US"/>
        </w:rPr>
      </w:pPr>
      <w:r>
        <w:rPr>
          <w:rFonts w:eastAsia="Calibri"/>
          <w:b/>
          <w:sz w:val="24"/>
          <w:szCs w:val="24"/>
          <w:lang w:eastAsia="en-US"/>
        </w:rPr>
      </w:r>
    </w:p>
    <w:p>
      <w:pPr>
        <w:pStyle w:val="Normal"/>
        <w:suppressAutoHyphens w:val="true"/>
        <w:ind w:firstLine="4820"/>
        <w:rPr>
          <w:sz w:val="22"/>
          <w:szCs w:val="22"/>
        </w:rPr>
      </w:pPr>
      <w:r>
        <w:rPr>
          <w:sz w:val="22"/>
          <w:szCs w:val="22"/>
        </w:rPr>
        <w:t>Приложение № 2</w:t>
      </w:r>
    </w:p>
    <w:p>
      <w:pPr>
        <w:pStyle w:val="Normal"/>
        <w:suppressAutoHyphens w:val="true"/>
        <w:ind w:firstLine="4820"/>
        <w:rPr>
          <w:sz w:val="22"/>
          <w:szCs w:val="22"/>
        </w:rPr>
      </w:pPr>
      <w:r>
        <w:rPr>
          <w:sz w:val="22"/>
          <w:szCs w:val="22"/>
        </w:rPr>
        <w:t>к Договору поставки</w:t>
      </w:r>
    </w:p>
    <w:p>
      <w:pPr>
        <w:pStyle w:val="Normal"/>
        <w:suppressAutoHyphens w:val="true"/>
        <w:ind w:firstLine="4820"/>
        <w:rPr>
          <w:sz w:val="22"/>
          <w:szCs w:val="22"/>
        </w:rPr>
      </w:pPr>
      <w:r>
        <w:rPr>
          <w:sz w:val="22"/>
          <w:szCs w:val="22"/>
        </w:rPr>
        <w:t>от «____» __________ 20 _ г. № ____</w:t>
      </w:r>
    </w:p>
    <w:p>
      <w:pPr>
        <w:pStyle w:val="Normal"/>
        <w:suppressAutoHyphens w:val="true"/>
        <w:ind w:firstLine="5812"/>
        <w:jc w:val="center"/>
        <w:rPr>
          <w:b/>
          <w:sz w:val="24"/>
          <w:szCs w:val="24"/>
        </w:rPr>
      </w:pPr>
      <w:r>
        <w:rPr>
          <w:b/>
          <w:sz w:val="24"/>
          <w:szCs w:val="24"/>
        </w:rPr>
      </w:r>
    </w:p>
    <w:p>
      <w:pPr>
        <w:pStyle w:val="Normal"/>
        <w:suppressAutoHyphens w:val="true"/>
        <w:ind w:firstLine="5812"/>
        <w:jc w:val="center"/>
        <w:rPr>
          <w:b/>
          <w:sz w:val="24"/>
          <w:szCs w:val="24"/>
        </w:rPr>
      </w:pPr>
      <w:r>
        <w:rPr>
          <w:b/>
          <w:sz w:val="24"/>
          <w:szCs w:val="24"/>
        </w:rPr>
      </w:r>
    </w:p>
    <w:p>
      <w:pPr>
        <w:pStyle w:val="Normal"/>
        <w:tabs>
          <w:tab w:val="clear" w:pos="709"/>
          <w:tab w:val="left" w:pos="2700" w:leader="none"/>
        </w:tabs>
        <w:jc w:val="center"/>
        <w:rPr>
          <w:b/>
          <w:sz w:val="24"/>
          <w:szCs w:val="24"/>
        </w:rPr>
      </w:pPr>
      <w:r>
        <w:rPr>
          <w:b/>
          <w:sz w:val="24"/>
          <w:szCs w:val="24"/>
        </w:rPr>
        <w:t xml:space="preserve">Заявка </w:t>
      </w:r>
    </w:p>
    <w:p>
      <w:pPr>
        <w:pStyle w:val="Normal"/>
        <w:tabs>
          <w:tab w:val="clear" w:pos="709"/>
          <w:tab w:val="left" w:pos="1843" w:leader="none"/>
        </w:tabs>
        <w:ind w:firstLine="709"/>
        <w:jc w:val="center"/>
        <w:rPr>
          <w:b/>
          <w:sz w:val="24"/>
          <w:szCs w:val="24"/>
        </w:rPr>
      </w:pPr>
      <w:r>
        <w:rPr>
          <w:b/>
          <w:sz w:val="24"/>
          <w:szCs w:val="24"/>
        </w:rPr>
        <w:t>на поставку Товара</w:t>
      </w:r>
    </w:p>
    <w:p>
      <w:pPr>
        <w:pStyle w:val="Normal"/>
        <w:tabs>
          <w:tab w:val="clear" w:pos="709"/>
          <w:tab w:val="left" w:pos="1843" w:leader="none"/>
          <w:tab w:val="left" w:pos="4395" w:leader="none"/>
        </w:tabs>
        <w:ind w:firstLine="709"/>
        <w:jc w:val="center"/>
        <w:rPr>
          <w:i/>
          <w:i/>
          <w:sz w:val="24"/>
          <w:szCs w:val="24"/>
        </w:rPr>
      </w:pPr>
      <w:r>
        <w:rPr>
          <w:i/>
          <w:sz w:val="24"/>
          <w:szCs w:val="24"/>
        </w:rPr>
        <w:t>(форма)</w:t>
      </w:r>
    </w:p>
    <w:p>
      <w:pPr>
        <w:pStyle w:val="Normal"/>
        <w:tabs>
          <w:tab w:val="clear" w:pos="709"/>
          <w:tab w:val="left" w:pos="2700" w:leader="none"/>
        </w:tabs>
        <w:ind w:firstLine="709"/>
        <w:jc w:val="center"/>
        <w:rPr>
          <w:b/>
          <w:sz w:val="24"/>
          <w:szCs w:val="24"/>
        </w:rPr>
      </w:pPr>
      <w:r>
        <w:rPr>
          <w:b/>
          <w:sz w:val="24"/>
          <w:szCs w:val="24"/>
        </w:rPr>
      </w:r>
    </w:p>
    <w:p>
      <w:pPr>
        <w:pStyle w:val="Normal"/>
        <w:tabs>
          <w:tab w:val="clear" w:pos="709"/>
          <w:tab w:val="left" w:pos="2700" w:leader="none"/>
        </w:tabs>
        <w:jc w:val="center"/>
        <w:rPr>
          <w:b/>
          <w:sz w:val="24"/>
          <w:szCs w:val="24"/>
        </w:rPr>
      </w:pPr>
      <w:r>
        <w:rPr>
          <w:b/>
          <w:sz w:val="24"/>
          <w:szCs w:val="24"/>
        </w:rPr>
        <w:t>Заявка №___</w:t>
      </w:r>
    </w:p>
    <w:p>
      <w:pPr>
        <w:pStyle w:val="Normal"/>
        <w:tabs>
          <w:tab w:val="clear" w:pos="709"/>
          <w:tab w:val="left" w:pos="2700" w:leader="none"/>
        </w:tabs>
        <w:jc w:val="center"/>
        <w:rPr>
          <w:b/>
          <w:sz w:val="24"/>
          <w:szCs w:val="24"/>
        </w:rPr>
      </w:pPr>
      <w:r>
        <w:rPr>
          <w:b/>
          <w:sz w:val="24"/>
          <w:szCs w:val="24"/>
        </w:rPr>
        <w:t xml:space="preserve">на поставку Товара </w:t>
      </w:r>
    </w:p>
    <w:p>
      <w:pPr>
        <w:pStyle w:val="Normal"/>
        <w:tabs>
          <w:tab w:val="clear" w:pos="709"/>
          <w:tab w:val="left" w:pos="2700" w:leader="none"/>
        </w:tabs>
        <w:jc w:val="center"/>
        <w:rPr>
          <w:b/>
          <w:sz w:val="24"/>
          <w:szCs w:val="24"/>
        </w:rPr>
      </w:pPr>
      <w:r>
        <w:rPr>
          <w:b/>
          <w:sz w:val="24"/>
          <w:szCs w:val="24"/>
        </w:rPr>
        <w:t xml:space="preserve">по договору поставки №______________ от «____» _____201_ г. </w:t>
      </w:r>
    </w:p>
    <w:p>
      <w:pPr>
        <w:pStyle w:val="Normal"/>
        <w:suppressAutoHyphens w:val="true"/>
        <w:ind w:firstLine="709"/>
        <w:jc w:val="center"/>
        <w:rPr>
          <w:b/>
          <w:sz w:val="24"/>
          <w:szCs w:val="24"/>
        </w:rPr>
      </w:pPr>
      <w:r>
        <w:rPr>
          <w:b/>
          <w:sz w:val="24"/>
          <w:szCs w:val="24"/>
        </w:rPr>
      </w:r>
    </w:p>
    <w:p>
      <w:pPr>
        <w:pStyle w:val="Normal"/>
        <w:ind w:firstLine="709"/>
        <w:jc w:val="right"/>
        <w:rPr>
          <w:b/>
          <w:sz w:val="24"/>
          <w:szCs w:val="24"/>
        </w:rPr>
      </w:pPr>
      <w:r>
        <w:rPr>
          <w:b/>
          <w:sz w:val="24"/>
          <w:szCs w:val="24"/>
        </w:rPr>
      </w:r>
    </w:p>
    <w:tbl>
      <w:tblPr>
        <w:tblW w:w="5000" w:type="pct"/>
        <w:jc w:val="left"/>
        <w:tblInd w:w="25" w:type="dxa"/>
        <w:tblLayout w:type="fixed"/>
        <w:tblCellMar>
          <w:top w:w="0" w:type="dxa"/>
          <w:left w:w="108" w:type="dxa"/>
          <w:bottom w:w="0" w:type="dxa"/>
          <w:right w:w="108" w:type="dxa"/>
        </w:tblCellMar>
        <w:tblLook w:val="04a0" w:noHBand="0" w:noVBand="1" w:firstColumn="1" w:lastRow="0" w:lastColumn="0" w:firstRow="1"/>
      </w:tblPr>
      <w:tblGrid>
        <w:gridCol w:w="528"/>
        <w:gridCol w:w="982"/>
        <w:gridCol w:w="1116"/>
        <w:gridCol w:w="706"/>
        <w:gridCol w:w="1066"/>
        <w:gridCol w:w="1174"/>
        <w:gridCol w:w="982"/>
        <w:gridCol w:w="1406"/>
        <w:gridCol w:w="836"/>
        <w:gridCol w:w="840"/>
      </w:tblGrid>
      <w:tr>
        <w:trPr>
          <w:trHeight w:val="543" w:hRule="atLeast"/>
        </w:trPr>
        <w:tc>
          <w:tcPr>
            <w:tcW w:w="5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2"/>
                <w:szCs w:val="22"/>
              </w:rPr>
            </w:pPr>
            <w:r>
              <w:rPr>
                <w:bCs/>
                <w:color w:val="000000"/>
                <w:sz w:val="22"/>
                <w:szCs w:val="22"/>
              </w:rPr>
              <w:t xml:space="preserve">№ </w:t>
            </w:r>
            <w:r>
              <w:rPr>
                <w:bCs/>
                <w:color w:val="000000"/>
                <w:sz w:val="22"/>
                <w:szCs w:val="22"/>
              </w:rPr>
              <w:t xml:space="preserve">п/п </w:t>
            </w:r>
          </w:p>
        </w:tc>
        <w:tc>
          <w:tcPr>
            <w:tcW w:w="98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2"/>
                <w:szCs w:val="22"/>
              </w:rPr>
            </w:pPr>
            <w:r>
              <w:rPr>
                <w:bCs/>
                <w:color w:val="000000"/>
                <w:sz w:val="22"/>
                <w:szCs w:val="22"/>
              </w:rPr>
              <w:t>Наименование Товара</w:t>
            </w:r>
          </w:p>
        </w:tc>
        <w:tc>
          <w:tcPr>
            <w:tcW w:w="111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rPr>
            </w:pPr>
            <w:r>
              <w:rPr>
                <w:bCs/>
                <w:color w:val="000000"/>
                <w:sz w:val="22"/>
                <w:szCs w:val="22"/>
              </w:rPr>
              <w:t>Артикул, тип, марка</w:t>
            </w:r>
          </w:p>
        </w:tc>
        <w:tc>
          <w:tcPr>
            <w:tcW w:w="70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2"/>
                <w:szCs w:val="22"/>
              </w:rPr>
            </w:pPr>
            <w:r>
              <w:rPr>
                <w:bCs/>
                <w:color w:val="000000"/>
                <w:sz w:val="22"/>
                <w:szCs w:val="22"/>
              </w:rPr>
              <w:t xml:space="preserve">Количество </w:t>
            </w:r>
          </w:p>
        </w:tc>
        <w:tc>
          <w:tcPr>
            <w:tcW w:w="106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2"/>
                <w:szCs w:val="22"/>
              </w:rPr>
            </w:pPr>
            <w:r>
              <w:rPr>
                <w:bCs/>
                <w:color w:val="000000"/>
                <w:sz w:val="22"/>
                <w:szCs w:val="22"/>
              </w:rPr>
              <w:t>Единица измерения</w:t>
            </w:r>
          </w:p>
        </w:tc>
        <w:tc>
          <w:tcPr>
            <w:tcW w:w="117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rPr>
            </w:pPr>
            <w:r>
              <w:rPr>
                <w:bCs/>
                <w:color w:val="000000"/>
                <w:sz w:val="22"/>
                <w:szCs w:val="22"/>
              </w:rPr>
              <w:t>Цена за единицу, руб. без НДС</w:t>
            </w:r>
          </w:p>
        </w:tc>
        <w:tc>
          <w:tcPr>
            <w:tcW w:w="98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rPr>
            </w:pPr>
            <w:r>
              <w:rPr>
                <w:bCs/>
                <w:color w:val="000000"/>
                <w:sz w:val="22"/>
                <w:szCs w:val="22"/>
              </w:rPr>
              <w:t>НДС (___%), руб.*</w:t>
            </w:r>
          </w:p>
        </w:tc>
        <w:tc>
          <w:tcPr>
            <w:tcW w:w="140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color w:val="000000"/>
                <w:sz w:val="22"/>
                <w:szCs w:val="22"/>
              </w:rPr>
            </w:pPr>
            <w:r>
              <w:rPr>
                <w:bCs/>
                <w:color w:val="000000"/>
                <w:sz w:val="22"/>
                <w:szCs w:val="22"/>
              </w:rPr>
              <w:t>Стоимость, в том числе НДС, руб.*</w:t>
            </w:r>
          </w:p>
        </w:tc>
        <w:tc>
          <w:tcPr>
            <w:tcW w:w="8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2"/>
                <w:szCs w:val="22"/>
              </w:rPr>
            </w:pPr>
            <w:r>
              <w:rPr>
                <w:bCs/>
                <w:color w:val="000000"/>
                <w:sz w:val="22"/>
                <w:szCs w:val="22"/>
              </w:rPr>
              <w:t>Место поставки</w:t>
            </w:r>
          </w:p>
        </w:tc>
        <w:tc>
          <w:tcPr>
            <w:tcW w:w="84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color w:val="000000"/>
                <w:sz w:val="22"/>
                <w:szCs w:val="22"/>
              </w:rPr>
            </w:pPr>
            <w:r>
              <w:rPr>
                <w:bCs/>
                <w:color w:val="000000"/>
                <w:sz w:val="22"/>
                <w:szCs w:val="22"/>
              </w:rPr>
              <w:t>Дата поставки</w:t>
            </w:r>
          </w:p>
        </w:tc>
      </w:tr>
      <w:tr>
        <w:trPr>
          <w:trHeight w:val="556" w:hRule="atLeast"/>
        </w:trPr>
        <w:tc>
          <w:tcPr>
            <w:tcW w:w="5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2"/>
              <w:jc w:val="center"/>
              <w:rPr>
                <w:bCs/>
                <w:color w:val="000000"/>
                <w:sz w:val="22"/>
                <w:szCs w:val="22"/>
              </w:rPr>
            </w:pPr>
            <w:r>
              <w:rPr>
                <w:bCs/>
                <w:color w:val="000000"/>
                <w:sz w:val="22"/>
                <w:szCs w:val="22"/>
              </w:rPr>
              <w:t>1.</w:t>
            </w:r>
          </w:p>
        </w:tc>
        <w:tc>
          <w:tcPr>
            <w:tcW w:w="98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c>
          <w:tcPr>
            <w:tcW w:w="1116"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706"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106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c>
          <w:tcPr>
            <w:tcW w:w="1174"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982"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1406"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8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c>
          <w:tcPr>
            <w:tcW w:w="84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r>
      <w:tr>
        <w:trPr>
          <w:trHeight w:val="556" w:hRule="atLeast"/>
        </w:trPr>
        <w:tc>
          <w:tcPr>
            <w:tcW w:w="5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2"/>
              <w:jc w:val="center"/>
              <w:rPr>
                <w:bCs/>
                <w:color w:val="000000"/>
                <w:sz w:val="22"/>
                <w:szCs w:val="22"/>
              </w:rPr>
            </w:pPr>
            <w:r>
              <w:rPr>
                <w:bCs/>
                <w:color w:val="000000"/>
                <w:sz w:val="22"/>
                <w:szCs w:val="22"/>
              </w:rPr>
              <w:t>2.</w:t>
            </w:r>
          </w:p>
        </w:tc>
        <w:tc>
          <w:tcPr>
            <w:tcW w:w="98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c>
          <w:tcPr>
            <w:tcW w:w="1116"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706"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106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c>
          <w:tcPr>
            <w:tcW w:w="1174"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982"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1406" w:type="dxa"/>
            <w:tcBorders>
              <w:top w:val="single" w:sz="4" w:space="0" w:color="000000"/>
              <w:left w:val="single" w:sz="4" w:space="0" w:color="000000"/>
              <w:bottom w:val="single" w:sz="4" w:space="0" w:color="000000"/>
              <w:right w:val="single" w:sz="4" w:space="0" w:color="000000"/>
            </w:tcBorders>
          </w:tcPr>
          <w:p>
            <w:pPr>
              <w:pStyle w:val="Normal"/>
              <w:widowControl w:val="false"/>
              <w:ind w:firstLine="709"/>
              <w:rPr>
                <w:color w:val="000000"/>
                <w:sz w:val="22"/>
                <w:szCs w:val="22"/>
                <w:highlight w:val="yellow"/>
              </w:rPr>
            </w:pPr>
            <w:r>
              <w:rPr>
                <w:color w:val="000000"/>
                <w:sz w:val="22"/>
                <w:szCs w:val="22"/>
                <w:highlight w:val="yellow"/>
              </w:rPr>
            </w:r>
          </w:p>
        </w:tc>
        <w:tc>
          <w:tcPr>
            <w:tcW w:w="8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c>
          <w:tcPr>
            <w:tcW w:w="84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2"/>
                <w:szCs w:val="22"/>
                <w:highlight w:val="yellow"/>
              </w:rPr>
            </w:pPr>
            <w:r>
              <w:rPr>
                <w:color w:val="000000"/>
                <w:sz w:val="22"/>
                <w:szCs w:val="22"/>
                <w:highlight w:val="yellow"/>
              </w:rPr>
            </w:r>
          </w:p>
        </w:tc>
      </w:tr>
      <w:tr>
        <w:trPr>
          <w:trHeight w:val="556" w:hRule="atLeast"/>
        </w:trPr>
        <w:tc>
          <w:tcPr>
            <w:tcW w:w="9636" w:type="dxa"/>
            <w:gridSpan w:val="10"/>
            <w:tcBorders>
              <w:top w:val="single" w:sz="4" w:space="0" w:color="000000"/>
              <w:left w:val="single" w:sz="4" w:space="0" w:color="000000"/>
              <w:bottom w:val="single" w:sz="4" w:space="0" w:color="000000"/>
              <w:right w:val="single" w:sz="4" w:space="0" w:color="000000"/>
            </w:tcBorders>
            <w:vAlign w:val="center"/>
          </w:tcPr>
          <w:p>
            <w:pPr>
              <w:pStyle w:val="Normal"/>
              <w:widowControl w:val="false"/>
              <w:ind w:firstLine="709"/>
              <w:rPr>
                <w:color w:val="000000"/>
                <w:sz w:val="24"/>
                <w:szCs w:val="24"/>
                <w:highlight w:val="yellow"/>
              </w:rPr>
            </w:pPr>
            <w:r>
              <w:rPr>
                <w:color w:val="000000"/>
                <w:sz w:val="24"/>
                <w:szCs w:val="24"/>
              </w:rPr>
              <w:t>Итого:</w:t>
            </w:r>
          </w:p>
        </w:tc>
      </w:tr>
    </w:tbl>
    <w:p>
      <w:pPr>
        <w:pStyle w:val="Normal"/>
        <w:widowControl w:val="false"/>
        <w:bidi w:val="0"/>
        <w:spacing w:lineRule="auto" w:line="240" w:before="0" w:after="0"/>
        <w:ind w:hanging="0" w:left="0" w:right="0"/>
        <w:jc w:val="both"/>
        <w:rPr>
          <w:sz w:val="20"/>
          <w:szCs w:val="20"/>
        </w:rPr>
      </w:pPr>
      <w:r>
        <w:rPr>
          <w:i/>
          <w:iCs/>
          <w:sz w:val="20"/>
          <w:szCs w:val="20"/>
          <w:shd w:fill="auto" w:val="clear"/>
        </w:rPr>
        <w:t>* При этом сумма НДС является справочной и рассчитана исходя из ставки НДС в соответствии с действующим законодательством Российской Федерации.</w:t>
      </w:r>
    </w:p>
    <w:p>
      <w:pPr>
        <w:pStyle w:val="Normal"/>
        <w:numPr>
          <w:ilvl w:val="0"/>
          <w:numId w:val="0"/>
        </w:numPr>
        <w:ind w:firstLine="709" w:left="0"/>
        <w:jc w:val="center"/>
        <w:outlineLvl w:val="0"/>
        <w:rPr>
          <w:b/>
          <w:bCs/>
          <w:sz w:val="24"/>
          <w:szCs w:val="24"/>
        </w:rPr>
      </w:pPr>
      <w:r>
        <w:rPr>
          <w:b/>
          <w:bCs/>
          <w:sz w:val="24"/>
          <w:szCs w:val="24"/>
        </w:rPr>
      </w:r>
    </w:p>
    <w:p>
      <w:pPr>
        <w:pStyle w:val="Normal"/>
        <w:numPr>
          <w:ilvl w:val="0"/>
          <w:numId w:val="0"/>
        </w:numPr>
        <w:ind w:hanging="0" w:left="0"/>
        <w:jc w:val="center"/>
        <w:outlineLvl w:val="0"/>
        <w:rPr>
          <w:b/>
          <w:bCs/>
          <w:sz w:val="24"/>
          <w:szCs w:val="24"/>
        </w:rPr>
      </w:pPr>
      <w:r>
        <w:rPr>
          <w:b/>
          <w:bCs/>
          <w:sz w:val="24"/>
          <w:szCs w:val="24"/>
        </w:rPr>
        <w:t>ПОДПИСИ СТОРОН:</w:t>
      </w:r>
    </w:p>
    <w:p>
      <w:pPr>
        <w:pStyle w:val="Normal"/>
        <w:numPr>
          <w:ilvl w:val="0"/>
          <w:numId w:val="0"/>
        </w:numPr>
        <w:ind w:firstLine="709" w:left="0"/>
        <w:jc w:val="center"/>
        <w:outlineLvl w:val="0"/>
        <w:rPr>
          <w:bCs/>
          <w:sz w:val="24"/>
          <w:szCs w:val="24"/>
        </w:rPr>
      </w:pPr>
      <w:r>
        <w:rPr>
          <w:bCs/>
          <w:sz w:val="24"/>
          <w:szCs w:val="24"/>
        </w:rPr>
      </w:r>
    </w:p>
    <w:tbl>
      <w:tblPr>
        <w:tblW w:w="9923"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819"/>
        <w:gridCol w:w="5103"/>
      </w:tblGrid>
      <w:tr>
        <w:trPr/>
        <w:tc>
          <w:tcPr>
            <w:tcW w:w="4819" w:type="dxa"/>
            <w:tcBorders/>
            <w:shd w:color="auto" w:fill="auto" w:val="clear"/>
          </w:tcPr>
          <w:p>
            <w:pPr>
              <w:pStyle w:val="Normal"/>
              <w:widowControl w:val="false"/>
              <w:rPr>
                <w:b/>
                <w:sz w:val="24"/>
                <w:szCs w:val="24"/>
              </w:rPr>
            </w:pPr>
            <w:r>
              <w:rPr>
                <w:b/>
                <w:sz w:val="24"/>
                <w:szCs w:val="24"/>
              </w:rPr>
              <w:t>Покупатель:</w:t>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_____________________/_____________</w:t>
            </w:r>
          </w:p>
          <w:p>
            <w:pPr>
              <w:pStyle w:val="Normal"/>
              <w:widowControl w:val="false"/>
              <w:ind w:firstLine="709"/>
              <w:rPr>
                <w:sz w:val="24"/>
                <w:szCs w:val="24"/>
              </w:rPr>
            </w:pPr>
            <w:r>
              <w:rPr>
                <w:sz w:val="24"/>
                <w:szCs w:val="24"/>
              </w:rPr>
            </w:r>
          </w:p>
        </w:tc>
        <w:tc>
          <w:tcPr>
            <w:tcW w:w="5103" w:type="dxa"/>
            <w:tcBorders/>
            <w:shd w:color="auto" w:fill="auto" w:val="clear"/>
          </w:tcPr>
          <w:p>
            <w:pPr>
              <w:pStyle w:val="Normal"/>
              <w:widowControl w:val="false"/>
              <w:ind w:hanging="1"/>
              <w:rPr>
                <w:b/>
                <w:sz w:val="24"/>
                <w:szCs w:val="24"/>
              </w:rPr>
            </w:pPr>
            <w:r>
              <w:rPr>
                <w:b/>
                <w:sz w:val="24"/>
                <w:szCs w:val="24"/>
              </w:rPr>
              <w:t>Поставщик:</w:t>
            </w:r>
          </w:p>
          <w:p>
            <w:pPr>
              <w:pStyle w:val="Normal"/>
              <w:widowControl w:val="false"/>
              <w:ind w:hanging="1"/>
              <w:rPr>
                <w:sz w:val="24"/>
                <w:szCs w:val="24"/>
              </w:rPr>
            </w:pPr>
            <w:r>
              <w:rPr>
                <w:sz w:val="24"/>
                <w:szCs w:val="24"/>
              </w:rPr>
            </w:r>
          </w:p>
          <w:p>
            <w:pPr>
              <w:pStyle w:val="Normal"/>
              <w:widowControl w:val="false"/>
              <w:ind w:hanging="1"/>
              <w:rPr>
                <w:sz w:val="24"/>
                <w:szCs w:val="24"/>
              </w:rPr>
            </w:pPr>
            <w:r>
              <w:rPr>
                <w:sz w:val="24"/>
                <w:szCs w:val="24"/>
              </w:rPr>
              <w:t>_____________________/____________</w:t>
            </w:r>
          </w:p>
          <w:p>
            <w:pPr>
              <w:pStyle w:val="Normal"/>
              <w:widowControl w:val="false"/>
              <w:ind w:firstLine="709"/>
              <w:rPr>
                <w:b/>
                <w:sz w:val="24"/>
                <w:szCs w:val="24"/>
              </w:rPr>
            </w:pPr>
            <w:r>
              <w:rPr>
                <w:b/>
                <w:sz w:val="24"/>
                <w:szCs w:val="24"/>
              </w:rPr>
            </w:r>
          </w:p>
        </w:tc>
      </w:tr>
    </w:tbl>
    <w:p>
      <w:pPr>
        <w:pStyle w:val="Normal"/>
        <w:ind w:firstLine="709"/>
        <w:rPr>
          <w:sz w:val="24"/>
          <w:szCs w:val="24"/>
        </w:rPr>
      </w:pPr>
      <w:r>
        <w:rPr>
          <w:sz w:val="24"/>
          <w:szCs w:val="24"/>
        </w:rPr>
      </w:r>
    </w:p>
    <w:p>
      <w:pPr>
        <w:pStyle w:val="Normal"/>
        <w:jc w:val="center"/>
        <w:rPr>
          <w:i/>
          <w:i/>
          <w:sz w:val="24"/>
          <w:szCs w:val="24"/>
        </w:rPr>
      </w:pPr>
      <w:r>
        <w:rPr>
          <w:i/>
          <w:sz w:val="24"/>
          <w:szCs w:val="24"/>
        </w:rPr>
        <w:t>(конец формы)</w:t>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numPr>
          <w:ilvl w:val="0"/>
          <w:numId w:val="0"/>
        </w:numPr>
        <w:ind w:hanging="0" w:left="0"/>
        <w:jc w:val="center"/>
        <w:outlineLvl w:val="0"/>
        <w:rPr>
          <w:b/>
          <w:bCs/>
          <w:sz w:val="24"/>
          <w:szCs w:val="24"/>
        </w:rPr>
      </w:pPr>
      <w:r>
        <w:rPr>
          <w:b/>
          <w:bCs/>
          <w:sz w:val="24"/>
          <w:szCs w:val="24"/>
        </w:rPr>
        <w:t>ПОДПИСИ СТОРОН:</w:t>
      </w:r>
    </w:p>
    <w:p>
      <w:pPr>
        <w:pStyle w:val="Normal"/>
        <w:numPr>
          <w:ilvl w:val="0"/>
          <w:numId w:val="0"/>
        </w:numPr>
        <w:ind w:firstLine="709" w:left="0"/>
        <w:jc w:val="center"/>
        <w:outlineLvl w:val="0"/>
        <w:rPr>
          <w:bCs/>
          <w:sz w:val="24"/>
          <w:szCs w:val="24"/>
        </w:rPr>
      </w:pPr>
      <w:r>
        <w:rPr>
          <w:bCs/>
          <w:sz w:val="24"/>
          <w:szCs w:val="24"/>
        </w:rPr>
      </w:r>
    </w:p>
    <w:tbl>
      <w:tblPr>
        <w:tblW w:w="9923"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819"/>
        <w:gridCol w:w="5103"/>
      </w:tblGrid>
      <w:tr>
        <w:trPr/>
        <w:tc>
          <w:tcPr>
            <w:tcW w:w="4819" w:type="dxa"/>
            <w:tcBorders/>
            <w:shd w:color="auto" w:fill="auto" w:val="clear"/>
          </w:tcPr>
          <w:p>
            <w:pPr>
              <w:pStyle w:val="Normal"/>
              <w:widowControl w:val="false"/>
              <w:rPr>
                <w:b/>
                <w:sz w:val="24"/>
                <w:szCs w:val="24"/>
              </w:rPr>
            </w:pPr>
            <w:r>
              <w:rPr>
                <w:b/>
                <w:sz w:val="24"/>
                <w:szCs w:val="24"/>
              </w:rPr>
              <w:t>Покупатель:</w:t>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_____________________/_____________</w:t>
            </w:r>
          </w:p>
          <w:p>
            <w:pPr>
              <w:pStyle w:val="Normal"/>
              <w:widowControl w:val="false"/>
              <w:ind w:firstLine="709"/>
              <w:rPr>
                <w:sz w:val="24"/>
                <w:szCs w:val="24"/>
              </w:rPr>
            </w:pPr>
            <w:r>
              <w:rPr>
                <w:sz w:val="24"/>
                <w:szCs w:val="24"/>
              </w:rPr>
            </w:r>
          </w:p>
        </w:tc>
        <w:tc>
          <w:tcPr>
            <w:tcW w:w="5103" w:type="dxa"/>
            <w:tcBorders/>
            <w:shd w:color="auto" w:fill="auto" w:val="clear"/>
          </w:tcPr>
          <w:p>
            <w:pPr>
              <w:pStyle w:val="Normal"/>
              <w:widowControl w:val="false"/>
              <w:ind w:hanging="1"/>
              <w:rPr>
                <w:b/>
                <w:sz w:val="24"/>
                <w:szCs w:val="24"/>
              </w:rPr>
            </w:pPr>
            <w:r>
              <w:rPr>
                <w:b/>
                <w:sz w:val="24"/>
                <w:szCs w:val="24"/>
              </w:rPr>
              <w:t>Поставщик:</w:t>
            </w:r>
          </w:p>
          <w:p>
            <w:pPr>
              <w:pStyle w:val="Normal"/>
              <w:widowControl w:val="false"/>
              <w:ind w:hanging="1"/>
              <w:rPr>
                <w:sz w:val="24"/>
                <w:szCs w:val="24"/>
              </w:rPr>
            </w:pPr>
            <w:r>
              <w:rPr>
                <w:sz w:val="24"/>
                <w:szCs w:val="24"/>
              </w:rPr>
            </w:r>
          </w:p>
          <w:p>
            <w:pPr>
              <w:pStyle w:val="Normal"/>
              <w:widowControl w:val="false"/>
              <w:ind w:hanging="1"/>
              <w:rPr>
                <w:sz w:val="24"/>
                <w:szCs w:val="24"/>
              </w:rPr>
            </w:pPr>
            <w:r>
              <w:rPr>
                <w:sz w:val="24"/>
                <w:szCs w:val="24"/>
              </w:rPr>
              <w:t>_____________________/____________</w:t>
            </w:r>
          </w:p>
          <w:p>
            <w:pPr>
              <w:pStyle w:val="Normal"/>
              <w:widowControl w:val="false"/>
              <w:ind w:firstLine="709"/>
              <w:rPr>
                <w:b/>
                <w:sz w:val="24"/>
                <w:szCs w:val="24"/>
              </w:rPr>
            </w:pPr>
            <w:r>
              <w:rPr>
                <w:b/>
                <w:sz w:val="24"/>
                <w:szCs w:val="24"/>
              </w:rPr>
            </w:r>
          </w:p>
        </w:tc>
      </w:tr>
    </w:tbl>
    <w:p>
      <w:pPr>
        <w:pStyle w:val="Normal"/>
        <w:suppressAutoHyphens w:val="true"/>
        <w:ind w:firstLine="709"/>
        <w:rPr>
          <w:sz w:val="24"/>
          <w:szCs w:val="24"/>
        </w:rPr>
      </w:pPr>
      <w:r>
        <w:rPr>
          <w:sz w:val="24"/>
          <w:szCs w:val="24"/>
        </w:rPr>
      </w:r>
    </w:p>
    <w:p>
      <w:pPr>
        <w:pStyle w:val="Normal"/>
        <w:widowControl/>
        <w:ind w:firstLine="709"/>
        <w:rPr>
          <w:sz w:val="24"/>
          <w:szCs w:val="24"/>
        </w:rPr>
      </w:pPr>
      <w:r>
        <w:rPr>
          <w:sz w:val="24"/>
          <w:szCs w:val="24"/>
        </w:rPr>
      </w:r>
      <w:r>
        <w:br w:type="page"/>
      </w:r>
    </w:p>
    <w:p>
      <w:pPr>
        <w:pStyle w:val="Normal"/>
        <w:suppressAutoHyphens w:val="true"/>
        <w:ind w:firstLine="4820"/>
        <w:rPr>
          <w:sz w:val="22"/>
          <w:szCs w:val="22"/>
        </w:rPr>
      </w:pPr>
      <w:r>
        <w:rPr>
          <w:sz w:val="22"/>
          <w:szCs w:val="22"/>
        </w:rPr>
        <w:t>Приложение № 3</w:t>
      </w:r>
    </w:p>
    <w:p>
      <w:pPr>
        <w:pStyle w:val="Normal"/>
        <w:suppressAutoHyphens w:val="true"/>
        <w:ind w:firstLine="4820"/>
        <w:rPr>
          <w:sz w:val="22"/>
          <w:szCs w:val="22"/>
        </w:rPr>
      </w:pPr>
      <w:r>
        <w:rPr>
          <w:sz w:val="22"/>
          <w:szCs w:val="22"/>
        </w:rPr>
        <w:t>к Договору поставки</w:t>
      </w:r>
    </w:p>
    <w:p>
      <w:pPr>
        <w:pStyle w:val="Normal"/>
        <w:ind w:firstLine="4820"/>
        <w:rPr>
          <w:bCs/>
          <w:sz w:val="22"/>
          <w:szCs w:val="22"/>
        </w:rPr>
      </w:pPr>
      <w:r>
        <w:rPr>
          <w:sz w:val="22"/>
          <w:szCs w:val="22"/>
        </w:rPr>
        <w:t>от «____» __________ 20 _ г. № _____</w:t>
      </w:r>
    </w:p>
    <w:p>
      <w:pPr>
        <w:pStyle w:val="Normal"/>
        <w:widowControl/>
        <w:shd w:val="clear" w:color="auto" w:fill="FFFFFF"/>
        <w:tabs>
          <w:tab w:val="clear" w:pos="709"/>
          <w:tab w:val="left" w:pos="1418" w:leader="none"/>
        </w:tabs>
        <w:spacing w:before="0" w:after="0"/>
        <w:ind w:firstLine="709"/>
        <w:contextualSpacing/>
        <w:jc w:val="center"/>
        <w:rPr>
          <w:bCs/>
          <w:sz w:val="24"/>
          <w:szCs w:val="24"/>
        </w:rPr>
      </w:pPr>
      <w:r>
        <w:rPr>
          <w:bCs/>
          <w:sz w:val="24"/>
          <w:szCs w:val="24"/>
        </w:rPr>
      </w:r>
    </w:p>
    <w:p>
      <w:pPr>
        <w:pStyle w:val="Normal"/>
        <w:widowControl/>
        <w:suppressAutoHyphens w:val="true"/>
        <w:ind w:firstLine="709"/>
        <w:rPr>
          <w:rFonts w:eastAsia="Calibri"/>
          <w:sz w:val="24"/>
          <w:szCs w:val="24"/>
          <w:lang w:eastAsia="en-US"/>
        </w:rPr>
      </w:pPr>
      <w:r>
        <w:rPr>
          <w:rFonts w:eastAsia="Calibri"/>
          <w:sz w:val="24"/>
          <w:szCs w:val="24"/>
          <w:lang w:eastAsia="en-US"/>
        </w:rPr>
      </w:r>
    </w:p>
    <w:p>
      <w:pPr>
        <w:pStyle w:val="Normal"/>
        <w:jc w:val="center"/>
        <w:rPr>
          <w:b/>
          <w:bCs/>
          <w:sz w:val="24"/>
          <w:szCs w:val="24"/>
        </w:rPr>
      </w:pPr>
      <w:r>
        <w:rPr>
          <w:b/>
          <w:bCs/>
          <w:sz w:val="24"/>
          <w:szCs w:val="24"/>
        </w:rPr>
        <w:t>Размер ответственности Поставщика за нарушения</w:t>
      </w:r>
    </w:p>
    <w:p>
      <w:pPr>
        <w:pStyle w:val="Normal"/>
        <w:jc w:val="center"/>
        <w:rPr>
          <w:b/>
          <w:bCs/>
          <w:sz w:val="24"/>
          <w:szCs w:val="24"/>
        </w:rPr>
      </w:pPr>
      <w:r>
        <w:rPr>
          <w:b/>
          <w:bCs/>
          <w:sz w:val="24"/>
          <w:szCs w:val="24"/>
        </w:rPr>
        <w:t>пропускного и внутриобъектового режима, требований охраны труда,</w:t>
      </w:r>
    </w:p>
    <w:p>
      <w:pPr>
        <w:pStyle w:val="Normal"/>
        <w:jc w:val="center"/>
        <w:rPr>
          <w:b/>
          <w:sz w:val="24"/>
          <w:szCs w:val="24"/>
        </w:rPr>
      </w:pPr>
      <w:r>
        <w:rPr>
          <w:b/>
          <w:bCs/>
          <w:sz w:val="24"/>
          <w:szCs w:val="24"/>
        </w:rPr>
        <w:t>пожарной и промышленной безопасности</w:t>
      </w:r>
    </w:p>
    <w:p>
      <w:pPr>
        <w:pStyle w:val="Normal"/>
        <w:rPr>
          <w:b/>
          <w:sz w:val="24"/>
          <w:szCs w:val="24"/>
        </w:rPr>
      </w:pPr>
      <w:r>
        <w:rPr>
          <w:b/>
          <w:sz w:val="24"/>
          <w:szCs w:val="24"/>
        </w:rPr>
      </w:r>
    </w:p>
    <w:tbl>
      <w:tblPr>
        <w:tblW w:w="5000" w:type="pct"/>
        <w:jc w:val="left"/>
        <w:tblInd w:w="0" w:type="dxa"/>
        <w:tblLayout w:type="fixed"/>
        <w:tblCellMar>
          <w:top w:w="0" w:type="dxa"/>
          <w:left w:w="108" w:type="dxa"/>
          <w:bottom w:w="0" w:type="dxa"/>
          <w:right w:w="108" w:type="dxa"/>
        </w:tblCellMar>
        <w:tblLook w:val="01e0" w:noHBand="0" w:noVBand="0" w:firstColumn="1" w:lastRow="1" w:lastColumn="1" w:firstRow="1"/>
      </w:tblPr>
      <w:tblGrid>
        <w:gridCol w:w="3828"/>
        <w:gridCol w:w="5808"/>
      </w:tblGrid>
      <w:tr>
        <w:trPr/>
        <w:tc>
          <w:tcPr>
            <w:tcW w:w="3828"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rPr>
            </w:pPr>
            <w:r>
              <w:rPr>
                <w:b/>
                <w:sz w:val="24"/>
                <w:szCs w:val="24"/>
              </w:rPr>
              <w:t>Виды нарушений</w:t>
            </w:r>
          </w:p>
        </w:tc>
        <w:tc>
          <w:tcPr>
            <w:tcW w:w="5808"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rPr>
            </w:pPr>
            <w:r>
              <w:rPr>
                <w:b/>
                <w:sz w:val="24"/>
                <w:szCs w:val="24"/>
              </w:rPr>
              <w:t>Штрафные санкции</w:t>
            </w:r>
          </w:p>
        </w:tc>
      </w:tr>
      <w:tr>
        <w:trPr/>
        <w:tc>
          <w:tcPr>
            <w:tcW w:w="3828"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1. Нарушение правил пожарной безопасности (ППБ):</w:t>
            </w:r>
          </w:p>
        </w:tc>
        <w:tc>
          <w:tcPr>
            <w:tcW w:w="5808"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3828"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1.1. Нарушение ППБ без возникновения пожара</w:t>
            </w:r>
          </w:p>
          <w:p>
            <w:pPr>
              <w:pStyle w:val="Normal"/>
              <w:widowControl w:val="false"/>
              <w:rPr>
                <w:b/>
                <w:sz w:val="24"/>
                <w:szCs w:val="24"/>
              </w:rPr>
            </w:pPr>
            <w:r>
              <w:rPr>
                <w:b/>
                <w:sz w:val="24"/>
                <w:szCs w:val="24"/>
              </w:rPr>
            </w:r>
          </w:p>
        </w:tc>
        <w:tc>
          <w:tcPr>
            <w:tcW w:w="5808"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25 000 (двадцать пять тысяч) рублей за каждый случай нарушения.</w:t>
            </w:r>
          </w:p>
          <w:p>
            <w:pPr>
              <w:pStyle w:val="Normal"/>
              <w:widowControl w:val="false"/>
              <w:jc w:val="both"/>
              <w:rPr>
                <w:sz w:val="24"/>
                <w:szCs w:val="24"/>
              </w:rPr>
            </w:pPr>
            <w:r>
              <w:rPr>
                <w:sz w:val="24"/>
                <w:szCs w:val="24"/>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trPr/>
        <w:tc>
          <w:tcPr>
            <w:tcW w:w="3828"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1.2. Нарушение ППБ, ставшее причиной возникновения пожара, не причинившего ущерб имуществу Покупателя</w:t>
            </w:r>
          </w:p>
        </w:tc>
        <w:tc>
          <w:tcPr>
            <w:tcW w:w="5808"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50 000 (пятьдесят тысяч) рублей за каждый случай нарушения.</w:t>
            </w:r>
          </w:p>
          <w:p>
            <w:pPr>
              <w:pStyle w:val="Normal"/>
              <w:widowControl w:val="false"/>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trPr/>
        <w:tc>
          <w:tcPr>
            <w:tcW w:w="3828"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1.3. Нарушение ППБ, ставшее причиной возникновения пожара, причинившего ущерб имуществу Покупателя.</w:t>
            </w:r>
          </w:p>
        </w:tc>
        <w:tc>
          <w:tcPr>
            <w:tcW w:w="5808"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 xml:space="preserve"> </w:t>
            </w:r>
            <w:r>
              <w:rPr>
                <w:sz w:val="24"/>
                <w:szCs w:val="24"/>
              </w:rPr>
              <w:t>250 000 (двести пятьдесят тысяч) рублей за каждый случай нарушения.</w:t>
            </w:r>
          </w:p>
        </w:tc>
      </w:tr>
      <w:tr>
        <w:trPr/>
        <w:tc>
          <w:tcPr>
            <w:tcW w:w="3828"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2.</w:t>
            </w:r>
            <w:r>
              <w:rPr>
                <w:b/>
                <w:sz w:val="24"/>
                <w:szCs w:val="24"/>
              </w:rPr>
              <w:t xml:space="preserve"> </w:t>
            </w:r>
            <w:r>
              <w:rPr>
                <w:sz w:val="24"/>
                <w:szCs w:val="24"/>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r>
              <w:rPr>
                <w:b/>
                <w:sz w:val="24"/>
                <w:szCs w:val="24"/>
              </w:rPr>
              <w:t xml:space="preserve"> </w:t>
            </w:r>
          </w:p>
        </w:tc>
        <w:tc>
          <w:tcPr>
            <w:tcW w:w="5808"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- 50 000 (пятьдесят тысяч) рублей за каждый случай нарушения;</w:t>
            </w:r>
          </w:p>
          <w:p>
            <w:pPr>
              <w:pStyle w:val="Normal"/>
              <w:widowControl w:val="false"/>
              <w:jc w:val="both"/>
              <w:rPr>
                <w:sz w:val="24"/>
                <w:szCs w:val="24"/>
              </w:rPr>
            </w:pPr>
            <w:r>
              <w:rPr>
                <w:sz w:val="24"/>
                <w:szCs w:val="24"/>
              </w:rPr>
              <w:t xml:space="preserve">- 500 (пятьсот) рублей в случае утраты или приведения в негодность электронного пропуска, выданного Покупателем. </w:t>
            </w:r>
          </w:p>
          <w:p>
            <w:pPr>
              <w:pStyle w:val="Normal"/>
              <w:widowControl w:val="false"/>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pPr>
        <w:pStyle w:val="Normal"/>
        <w:ind w:firstLine="709"/>
        <w:rPr>
          <w:sz w:val="24"/>
          <w:szCs w:val="24"/>
        </w:rPr>
      </w:pPr>
      <w:r>
        <w:rPr>
          <w:sz w:val="24"/>
          <w:szCs w:val="24"/>
        </w:rPr>
      </w:r>
    </w:p>
    <w:p>
      <w:pPr>
        <w:pStyle w:val="Normal"/>
        <w:ind w:firstLine="709"/>
        <w:rPr>
          <w:sz w:val="24"/>
          <w:szCs w:val="24"/>
        </w:rPr>
      </w:pPr>
      <w:r>
        <w:rPr>
          <w:sz w:val="24"/>
          <w:szCs w:val="24"/>
        </w:rPr>
      </w:r>
    </w:p>
    <w:p>
      <w:pPr>
        <w:pStyle w:val="Normal"/>
        <w:numPr>
          <w:ilvl w:val="0"/>
          <w:numId w:val="0"/>
        </w:numPr>
        <w:ind w:hanging="0" w:left="0"/>
        <w:jc w:val="center"/>
        <w:outlineLvl w:val="0"/>
        <w:rPr>
          <w:b/>
          <w:bCs/>
          <w:sz w:val="24"/>
          <w:szCs w:val="24"/>
        </w:rPr>
      </w:pPr>
      <w:r>
        <w:rPr>
          <w:b/>
          <w:bCs/>
          <w:sz w:val="24"/>
          <w:szCs w:val="24"/>
        </w:rPr>
        <w:t>ПОДПИСИ СТОРОН:</w:t>
      </w:r>
    </w:p>
    <w:p>
      <w:pPr>
        <w:pStyle w:val="Normal"/>
        <w:numPr>
          <w:ilvl w:val="0"/>
          <w:numId w:val="0"/>
        </w:numPr>
        <w:ind w:firstLine="709" w:left="0"/>
        <w:jc w:val="center"/>
        <w:outlineLvl w:val="0"/>
        <w:rPr>
          <w:bCs/>
          <w:sz w:val="24"/>
          <w:szCs w:val="24"/>
        </w:rPr>
      </w:pPr>
      <w:r>
        <w:rPr>
          <w:bCs/>
          <w:sz w:val="24"/>
          <w:szCs w:val="24"/>
        </w:rPr>
      </w:r>
    </w:p>
    <w:tbl>
      <w:tblPr>
        <w:tblW w:w="9652"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820"/>
        <w:gridCol w:w="4831"/>
      </w:tblGrid>
      <w:tr>
        <w:trPr/>
        <w:tc>
          <w:tcPr>
            <w:tcW w:w="4820" w:type="dxa"/>
            <w:tcBorders/>
            <w:shd w:color="auto" w:fill="auto" w:val="clear"/>
          </w:tcPr>
          <w:p>
            <w:pPr>
              <w:pStyle w:val="Normal"/>
              <w:widowControl w:val="false"/>
              <w:rPr>
                <w:b/>
                <w:sz w:val="24"/>
                <w:szCs w:val="24"/>
              </w:rPr>
            </w:pPr>
            <w:r>
              <w:rPr>
                <w:b/>
                <w:sz w:val="24"/>
                <w:szCs w:val="24"/>
              </w:rPr>
              <w:t>Покупатель:</w:t>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_____________________/_____________</w:t>
            </w:r>
          </w:p>
          <w:p>
            <w:pPr>
              <w:pStyle w:val="Normal"/>
              <w:widowControl w:val="false"/>
              <w:ind w:firstLine="709"/>
              <w:rPr>
                <w:sz w:val="24"/>
                <w:szCs w:val="24"/>
              </w:rPr>
            </w:pPr>
            <w:r>
              <w:rPr>
                <w:sz w:val="24"/>
                <w:szCs w:val="24"/>
              </w:rPr>
            </w:r>
          </w:p>
        </w:tc>
        <w:tc>
          <w:tcPr>
            <w:tcW w:w="4831" w:type="dxa"/>
            <w:tcBorders/>
            <w:shd w:color="auto" w:fill="auto" w:val="clear"/>
          </w:tcPr>
          <w:p>
            <w:pPr>
              <w:pStyle w:val="Normal"/>
              <w:widowControl w:val="false"/>
              <w:rPr>
                <w:b/>
                <w:sz w:val="24"/>
                <w:szCs w:val="24"/>
              </w:rPr>
            </w:pPr>
            <w:r>
              <w:rPr>
                <w:b/>
                <w:sz w:val="24"/>
                <w:szCs w:val="24"/>
              </w:rPr>
              <w:t>Поставщик:</w:t>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_____________________/___________</w:t>
            </w:r>
          </w:p>
          <w:p>
            <w:pPr>
              <w:pStyle w:val="Normal"/>
              <w:widowControl w:val="false"/>
              <w:ind w:firstLine="709"/>
              <w:rPr>
                <w:b/>
                <w:sz w:val="24"/>
                <w:szCs w:val="24"/>
              </w:rPr>
            </w:pPr>
            <w:r>
              <w:rPr>
                <w:b/>
                <w:sz w:val="24"/>
                <w:szCs w:val="24"/>
              </w:rPr>
            </w:r>
          </w:p>
        </w:tc>
      </w:tr>
    </w:tbl>
    <w:p>
      <w:pPr>
        <w:pStyle w:val="Normal"/>
        <w:ind w:firstLine="709"/>
        <w:rPr>
          <w:b/>
          <w:bCs/>
          <w:sz w:val="24"/>
          <w:szCs w:val="24"/>
        </w:rPr>
      </w:pPr>
      <w:r>
        <w:rPr>
          <w:b/>
          <w:bCs/>
          <w:sz w:val="24"/>
          <w:szCs w:val="24"/>
        </w:rPr>
      </w:r>
    </w:p>
    <w:sectPr>
      <w:headerReference w:type="default" r:id="rId12"/>
      <w:headerReference w:type="first" r:id="rId13"/>
      <w:footerReference w:type="default" r:id="rId14"/>
      <w:footerReference w:type="first" r:id="rId15"/>
      <w:footnotePr>
        <w:numFmt w:val="decimal"/>
      </w:footnotePr>
      <w:type w:val="nextPage"/>
      <w:pgSz w:w="11906" w:h="16838"/>
      <w:pgMar w:left="1418" w:right="851" w:gutter="0" w:header="567" w:top="1134" w:footer="709" w:bottom="1134"/>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Liberation Sans">
    <w:altName w:val="Arial"/>
    <w:charset w:val="01"/>
    <w:family w:val="roman"/>
    <w:pitch w:val="variable"/>
  </w:font>
  <w:font w:name="Courier New">
    <w:charset w:val="01"/>
    <w:family w:val="roman"/>
    <w:pitch w:val="variable"/>
  </w:font>
  <w:font w:name="Tahoma">
    <w:charset w:val="01"/>
    <w:family w:val="roman"/>
    <w:pitch w:val="variable"/>
  </w:font>
  <w:font w:name="Verdana">
    <w:charset w:val="01"/>
    <w:family w:val="roman"/>
    <w:pitch w:val="variable"/>
  </w:font>
  <w:font w:name="Calibri">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17</w:t>
    </w:r>
    <w:r>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19</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sz w:val="22"/>
        <w:szCs w:val="22"/>
      </w:rPr>
      <w:fldChar w:fldCharType="begin"/>
    </w:r>
    <w:r>
      <w:rPr>
        <w:sz w:val="22"/>
        <w:szCs w:val="22"/>
      </w:rPr>
      <w:instrText xml:space="preserve"> PAGE </w:instrText>
    </w:r>
    <w:r>
      <w:rPr>
        <w:sz w:val="22"/>
        <w:szCs w:val="22"/>
      </w:rPr>
      <w:fldChar w:fldCharType="separate"/>
    </w:r>
    <w:r>
      <w:rPr>
        <w:sz w:val="22"/>
        <w:szCs w:val="22"/>
      </w:rPr>
      <w:t>21</w:t>
    </w:r>
    <w:r>
      <w:rPr>
        <w:sz w:val="22"/>
        <w:szCs w:val="22"/>
      </w:rPr>
      <w:fldChar w:fldCharType="end"/>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rStyle w:val="Style14"/>
        </w:rPr>
      </w:pPr>
      <w:r>
        <w:rPr>
          <w:rStyle w:val="Style14"/>
        </w:rPr>
        <w:footnoteRef/>
      </w:r>
      <w:r>
        <w:rPr>
          <w:highlight w:val="lightGray"/>
        </w:rPr>
        <w:t xml:space="preserve"> </w:t>
      </w:r>
      <w:r>
        <w:rPr>
          <w:highlight w:val="lightGray"/>
        </w:rPr>
        <w:t xml:space="preserve">Не применяется к поставке товаров, оборудования и материалов, указанных в Приложении № 4 к Методике применения типовых финансовых условий договоров, покупателем (заказчиком) по которым является </w:t>
        <w:br/>
        <w:t>ПАО «РусГидро» (утв. приказом от 29.12.2017 № 938).</w:t>
      </w:r>
      <w:r>
        <w:rPr>
          <w:rStyle w:val="Style14"/>
        </w:rPr>
        <w:t xml:space="preserve">  </w:t>
      </w:r>
    </w:p>
  </w:footnote>
  <w:footnote w:id="3">
    <w:p>
      <w:pPr>
        <w:pStyle w:val="FootnoteText"/>
        <w:jc w:val="both"/>
        <w:rPr/>
      </w:pPr>
      <w:r>
        <w:rPr>
          <w:rStyle w:val="Style14"/>
        </w:rPr>
        <w:footnoteRef/>
      </w:r>
      <w:r>
        <w:rPr/>
        <w:t xml:space="preserve"> </w:t>
      </w:r>
      <w:r>
        <w:rPr/>
        <w:t>Включается в Договор в случае, если перемещение Товара осуществляется Поставщиком до подписания Сторонами Накладной ТОРГ-12.</w:t>
      </w:r>
    </w:p>
  </w:footnote>
  <w:footnote w:id="4">
    <w:p>
      <w:pPr>
        <w:pStyle w:val="FootnoteText"/>
        <w:jc w:val="both"/>
        <w:rPr/>
      </w:pPr>
      <w:r>
        <w:rPr>
          <w:rStyle w:val="Style14"/>
        </w:rPr>
        <w:footnoteRef/>
      </w:r>
      <w:r>
        <w:rPr/>
        <w:t xml:space="preserve"> </w:t>
      </w:r>
      <w:r>
        <w:rPr/>
        <w:t>Для договоров, заключенных в рамках операционной (текущей) деятельности Общества.</w:t>
      </w:r>
    </w:p>
  </w:footnote>
  <w:footnote w:id="5">
    <w:p>
      <w:pPr>
        <w:pStyle w:val="FootnoteText"/>
        <w:jc w:val="both"/>
        <w:rPr/>
      </w:pPr>
      <w:r>
        <w:rPr>
          <w:rStyle w:val="Style14"/>
        </w:rPr>
        <w:footnoteRef/>
      </w:r>
      <w:r>
        <w:rPr/>
        <w:t xml:space="preserve"> </w:t>
      </w:r>
      <w:r>
        <w:rPr/>
        <w:t>Для договоров, заключенных в рамках реализации инвестиционной программы Общества.</w:t>
      </w:r>
    </w:p>
  </w:footnote>
  <w:footnote w:id="6">
    <w:p>
      <w:pPr>
        <w:pStyle w:val="FootnoteText"/>
        <w:jc w:val="both"/>
        <w:rPr/>
      </w:pPr>
      <w:r>
        <w:rPr>
          <w:rStyle w:val="Style14"/>
        </w:rPr>
        <w:footnoteRef/>
      </w:r>
      <w:r>
        <w:rPr/>
        <w:t xml:space="preserve"> </w:t>
      </w:r>
      <w:r>
        <w:rPr/>
        <w:t>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7">
    <w:p>
      <w:pPr>
        <w:pStyle w:val="FootnoteText"/>
        <w:jc w:val="both"/>
        <w:rPr/>
      </w:pPr>
      <w:r>
        <w:rPr>
          <w:rStyle w:val="Style14"/>
        </w:rPr>
        <w:footnoteRef/>
      </w:r>
      <w:r>
        <w:rPr/>
        <w:t xml:space="preserve"> </w:t>
      </w:r>
      <w:r>
        <w:rPr/>
        <w:t>Исключается из Договора в случае, если Поставщиком применяется упрощенная система налогообложения</w:t>
      </w:r>
    </w:p>
  </w:footnote>
  <w:footnote w:id="8">
    <w:p>
      <w:pPr>
        <w:pStyle w:val="FootnoteText"/>
        <w:jc w:val="both"/>
        <w:rPr/>
      </w:pPr>
      <w:r>
        <w:rPr>
          <w:rStyle w:val="Style14"/>
        </w:rPr>
        <w:footnoteRef/>
      </w:r>
      <w:r>
        <w:rPr>
          <w:highlight w:val="lightGray"/>
        </w:rPr>
        <w:t xml:space="preserve"> </w:t>
      </w:r>
      <w:r>
        <w:rPr>
          <w:highlight w:val="lightGray"/>
        </w:rPr>
        <w:t>Включается в Договор в случае, если перемещение Товара осуществляется Поставщиком до подписания Сторонами Накладной ТОРГ-12.</w:t>
      </w:r>
    </w:p>
  </w:footnote>
  <w:footnote w:id="9">
    <w:p>
      <w:pPr>
        <w:pStyle w:val="Annotationtext"/>
        <w:jc w:val="both"/>
        <w:rPr/>
      </w:pPr>
      <w:r>
        <w:rPr>
          <w:rStyle w:val="Style14"/>
        </w:rPr>
        <w:footnoteRef/>
      </w:r>
      <w:r>
        <w:rPr>
          <w:highlight w:val="lightGray"/>
        </w:rPr>
        <w:t xml:space="preserve"> </w:t>
      </w:r>
      <w:r>
        <w:rPr>
          <w:highlight w:val="lightGray"/>
        </w:rPr>
        <w:t>Данный раздел исключается, если исходя из специфики (характеристик) Товара гарантийный срок на него не устанавливается (например, при поставке визиток, сувенирной и канцелярской продукции и т.п.).</w:t>
      </w:r>
    </w:p>
  </w:footnote>
  <w:footnote w:id="10">
    <w:p>
      <w:pPr>
        <w:pStyle w:val="FootnoteText"/>
        <w:rPr/>
      </w:pPr>
      <w:r>
        <w:rPr>
          <w:rStyle w:val="Style14"/>
        </w:rPr>
        <w:footnoteRef/>
      </w:r>
      <w:r>
        <w:rPr/>
        <w:t xml:space="preserve"> </w:t>
      </w:r>
      <w:r>
        <w:rPr/>
        <w:t>Исключается из Договора в случае, если контрагентом применяется упрощенная система налогообложения</w:t>
      </w:r>
    </w:p>
  </w:footnote>
  <w:footnote w:id="11">
    <w:p>
      <w:pPr>
        <w:pStyle w:val="FootnoteText"/>
        <w:rPr/>
      </w:pPr>
      <w:r>
        <w:rPr>
          <w:rStyle w:val="Style14"/>
        </w:rPr>
        <w:footnoteRef/>
      </w:r>
      <w:r>
        <w:rPr/>
        <w:t xml:space="preserve"> </w:t>
      </w:r>
      <w:r>
        <w:rPr/>
        <w:t xml:space="preserve">Подсудность определяется в соответствии с внутренними распорядительными документами Общества. </w:t>
      </w:r>
    </w:p>
  </w:footnote>
  <w:footnote w:id="12">
    <w:p>
      <w:pPr>
        <w:pStyle w:val="FootnoteText"/>
        <w:rPr/>
      </w:pPr>
      <w:r>
        <w:rPr>
          <w:rStyle w:val="Style14"/>
        </w:rPr>
        <w:footnoteRef/>
      </w:r>
      <w:r>
        <w:rPr/>
        <w:t xml:space="preserve"> </w:t>
      </w:r>
      <w:r>
        <w:rPr>
          <w:highlight w:val="lightGray"/>
        </w:rPr>
        <w:t>Применяется в случае проведения закупочных процедур только среди МСП.</w:t>
      </w:r>
    </w:p>
  </w:footnote>
  <w:footnote w:id="13">
    <w:p>
      <w:pPr>
        <w:pStyle w:val="FootnoteText"/>
        <w:jc w:val="both"/>
        <w:rPr/>
      </w:pPr>
      <w:r>
        <w:rPr>
          <w:rStyle w:val="Style14"/>
        </w:rPr>
        <w:footnoteRef/>
      </w:r>
      <w:r>
        <w:rPr/>
        <w:t xml:space="preserve"> </w:t>
      </w:r>
      <w:r>
        <w:rPr>
          <w:highlight w:val="lightGray"/>
        </w:rPr>
        <w:t>Применяется в случае подписания контрагентом соглашения о переходе на электронный юридически значимый документооборот (Соглашения об ЭДО)</w:t>
      </w:r>
      <w:r>
        <w:rPr/>
        <w:t>.</w:t>
      </w:r>
    </w:p>
  </w:footnote>
  <w:footnote w:id="14">
    <w:p>
      <w:pPr>
        <w:pStyle w:val="FootnoteText"/>
        <w:jc w:val="both"/>
        <w:rPr/>
      </w:pPr>
      <w:r>
        <w:rPr>
          <w:rStyle w:val="Style14"/>
        </w:rPr>
        <w:footnoteRef/>
      </w:r>
      <w:r>
        <w:rPr/>
        <w:t xml:space="preserve"> </w:t>
      </w:r>
      <w:r>
        <w:rPr>
          <w:highlight w:val="lightGray"/>
        </w:rPr>
        <w:t>Применяется в случае подписания собственноручно без использования усиленных квалифицированных электронных подписей (УКЭП).</w:t>
      </w:r>
    </w:p>
  </w:footnote>
  <w:footnote w:id="15">
    <w:p>
      <w:pPr>
        <w:pStyle w:val="FootnoteText"/>
        <w:jc w:val="both"/>
        <w:rPr/>
      </w:pPr>
      <w:r>
        <w:rPr>
          <w:rStyle w:val="Style14"/>
        </w:rPr>
        <w:footnoteRef/>
      </w:r>
      <w:r>
        <w:rPr/>
        <w:t xml:space="preserve"> </w:t>
      </w:r>
      <w:r>
        <w:rPr/>
        <w:t>В соответствии с Общероссийским классификатором стран мира (утв. Постановлением Госстандарта России от 14.12.2001 N 529-ст.).</w:t>
      </w:r>
    </w:p>
  </w:footnote>
  <w:footnote w:id="16">
    <w:p>
      <w:pPr>
        <w:pStyle w:val="FootnoteText"/>
        <w:jc w:val="both"/>
        <w:rPr/>
      </w:pPr>
      <w:r>
        <w:rPr>
          <w:rStyle w:val="Style14"/>
        </w:rPr>
        <w:footnoteRef/>
      </w:r>
      <w:r>
        <w:rPr>
          <w:highlight w:val="lightGray"/>
        </w:rPr>
        <w:t xml:space="preserve"> </w:t>
      </w:r>
      <w:r>
        <w:rPr>
          <w:highlight w:val="lightGray"/>
        </w:rPr>
        <w:t>Порядковый номер (номера) реестровой записи (реестровых записей), под которой (которыми) Товар включен в реестры, предусмотренные пунктом 2 Постановления Правительства РФ от 03.12.2020 № 2013</w:t>
      </w:r>
      <w:r>
        <w:rPr>
          <w:rFonts w:eastAsia="Calibri" w:eastAsiaTheme="minorHAnsi"/>
          <w:highlight w:val="lightGray"/>
          <w:lang w:eastAsia="en-US"/>
        </w:rPr>
        <w:t xml:space="preserve"> «О минимальной доле закупок товаров российского происхождения»</w:t>
      </w:r>
      <w:r>
        <w:rPr>
          <w:rFonts w:eastAsia="Calibri" w:eastAsiaTheme="minorHAnsi"/>
          <w:lang w:eastAsia="en-US"/>
        </w:rPr>
        <w:t>.</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9"/>
        <w:tab w:val="left" w:pos="1875" w:leader="none"/>
        <w:tab w:val="center" w:pos="4153" w:leader="none"/>
        <w:tab w:val="right" w:pos="8306" w:leader="none"/>
      </w:tabs>
      <w:jc w:val="right"/>
      <w:rPr/>
    </w:pPr>
    <w:r>
      <w:rPr/>
      <w:t>ТФД № 2.4.1.</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t>ТФД № 2.4.1.</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9"/>
        <w:tab w:val="left" w:pos="1875" w:leader="none"/>
        <w:tab w:val="center" w:pos="4153" w:leader="none"/>
        <w:tab w:val="right" w:pos="8306" w:leader="none"/>
      </w:tabs>
      <w:jc w:val="right"/>
      <w:rPr/>
    </w:pPr>
    <w:r>
      <w:rPr/>
      <w:t>ТФД № 2.4.1.</w:t>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360"/>
        </w:tabs>
        <w:ind w:left="360" w:hanging="360"/>
      </w:pPr>
      <w:rPr/>
    </w:lvl>
    <w:lvl w:ilvl="1">
      <w:start w:val="1"/>
      <w:numFmt w:val="decimal"/>
      <w:lvlText w:val="%1.%2."/>
      <w:lvlJc w:val="left"/>
      <w:pPr>
        <w:tabs>
          <w:tab w:val="num" w:pos="1708"/>
        </w:tabs>
        <w:ind w:left="1708"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3">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lvl w:ilvl="0">
      <w:start w:val="1"/>
      <w:numFmt w:val="bullet"/>
      <w:lvlText w:val=""/>
      <w:lvlJc w:val="left"/>
      <w:pPr>
        <w:tabs>
          <w:tab w:val="num" w:pos="1778"/>
        </w:tabs>
        <w:ind w:left="1778" w:hanging="360"/>
      </w:pPr>
      <w:rPr>
        <w:rFonts w:ascii="Symbol" w:hAnsi="Symbol" w:cs="Symbol" w:hint="default"/>
      </w:rPr>
    </w:lvl>
    <w:lvl w:ilvl="1">
      <w:start w:val="1"/>
      <w:numFmt w:val="bullet"/>
      <w:lvlText w:val="o"/>
      <w:lvlJc w:val="left"/>
      <w:pPr>
        <w:tabs>
          <w:tab w:val="num" w:pos="2498"/>
        </w:tabs>
        <w:ind w:left="2498" w:hanging="360"/>
      </w:pPr>
      <w:rPr>
        <w:rFonts w:ascii="Courier New" w:hAnsi="Courier New" w:cs="Courier New" w:hint="default"/>
      </w:rPr>
    </w:lvl>
    <w:lvl w:ilvl="2">
      <w:start w:val="1"/>
      <w:numFmt w:val="bullet"/>
      <w:lvlText w:val=""/>
      <w:lvlJc w:val="left"/>
      <w:pPr>
        <w:tabs>
          <w:tab w:val="num" w:pos="3218"/>
        </w:tabs>
        <w:ind w:left="3218" w:hanging="360"/>
      </w:pPr>
      <w:rPr>
        <w:rFonts w:ascii="Wingdings" w:hAnsi="Wingdings" w:cs="Wingdings" w:hint="default"/>
      </w:rPr>
    </w:lvl>
    <w:lvl w:ilvl="3">
      <w:start w:val="1"/>
      <w:numFmt w:val="bullet"/>
      <w:lvlText w:val=""/>
      <w:lvlJc w:val="left"/>
      <w:pPr>
        <w:tabs>
          <w:tab w:val="num" w:pos="3938"/>
        </w:tabs>
        <w:ind w:left="3938" w:hanging="360"/>
      </w:pPr>
      <w:rPr>
        <w:rFonts w:ascii="Symbol" w:hAnsi="Symbol" w:cs="Symbol" w:hint="default"/>
      </w:rPr>
    </w:lvl>
    <w:lvl w:ilvl="4">
      <w:start w:val="1"/>
      <w:numFmt w:val="bullet"/>
      <w:lvlText w:val="o"/>
      <w:lvlJc w:val="left"/>
      <w:pPr>
        <w:tabs>
          <w:tab w:val="num" w:pos="4658"/>
        </w:tabs>
        <w:ind w:left="4658" w:hanging="360"/>
      </w:pPr>
      <w:rPr>
        <w:rFonts w:ascii="Courier New" w:hAnsi="Courier New" w:cs="Courier New" w:hint="default"/>
      </w:rPr>
    </w:lvl>
    <w:lvl w:ilvl="5">
      <w:start w:val="1"/>
      <w:numFmt w:val="bullet"/>
      <w:lvlText w:val=""/>
      <w:lvlJc w:val="left"/>
      <w:pPr>
        <w:tabs>
          <w:tab w:val="num" w:pos="5378"/>
        </w:tabs>
        <w:ind w:left="5378" w:hanging="360"/>
      </w:pPr>
      <w:rPr>
        <w:rFonts w:ascii="Wingdings" w:hAnsi="Wingdings" w:cs="Wingdings" w:hint="default"/>
      </w:rPr>
    </w:lvl>
    <w:lvl w:ilvl="6">
      <w:start w:val="1"/>
      <w:numFmt w:val="bullet"/>
      <w:lvlText w:val=""/>
      <w:lvlJc w:val="left"/>
      <w:pPr>
        <w:tabs>
          <w:tab w:val="num" w:pos="6098"/>
        </w:tabs>
        <w:ind w:left="6098" w:hanging="360"/>
      </w:pPr>
      <w:rPr>
        <w:rFonts w:ascii="Symbol" w:hAnsi="Symbol" w:cs="Symbol" w:hint="default"/>
      </w:rPr>
    </w:lvl>
    <w:lvl w:ilvl="7">
      <w:start w:val="1"/>
      <w:numFmt w:val="bullet"/>
      <w:lvlText w:val="o"/>
      <w:lvlJc w:val="left"/>
      <w:pPr>
        <w:tabs>
          <w:tab w:val="num" w:pos="6818"/>
        </w:tabs>
        <w:ind w:left="6818" w:hanging="360"/>
      </w:pPr>
      <w:rPr>
        <w:rFonts w:ascii="Courier New" w:hAnsi="Courier New" w:cs="Courier New" w:hint="default"/>
      </w:rPr>
    </w:lvl>
    <w:lvl w:ilvl="8">
      <w:start w:val="1"/>
      <w:numFmt w:val="bullet"/>
      <w:lvlText w:val=""/>
      <w:lvlJc w:val="left"/>
      <w:pPr>
        <w:tabs>
          <w:tab w:val="num" w:pos="7538"/>
        </w:tabs>
        <w:ind w:left="7538" w:hanging="360"/>
      </w:pPr>
      <w:rPr>
        <w:rFonts w:ascii="Wingdings" w:hAnsi="Wingdings" w:cs="Wingdings" w:hint="default"/>
      </w:rPr>
    </w:lvl>
  </w:abstractNum>
  <w:abstractNum w:abstractNumId="5">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9">
    <w:lvl w:ilvl="0">
      <w:start w:val="2"/>
      <w:numFmt w:val="decimal"/>
      <w:lvlText w:val="%1."/>
      <w:lvlJc w:val="left"/>
      <w:pPr>
        <w:tabs>
          <w:tab w:val="num" w:pos="0"/>
        </w:tabs>
        <w:ind w:left="540" w:hanging="540"/>
      </w:pPr>
      <w:rPr/>
    </w:lvl>
    <w:lvl w:ilvl="1">
      <w:start w:val="3"/>
      <w:numFmt w:val="decimal"/>
      <w:lvlText w:val="%1.%2."/>
      <w:lvlJc w:val="left"/>
      <w:pPr>
        <w:tabs>
          <w:tab w:val="num" w:pos="0"/>
        </w:tabs>
        <w:ind w:left="1107" w:hanging="540"/>
      </w:pPr>
      <w:rPr/>
    </w:lvl>
    <w:lvl w:ilvl="2">
      <w:start w:val="2"/>
      <w:numFmt w:val="decimal"/>
      <w:lvlText w:val="%1.%2.%3."/>
      <w:lvlJc w:val="left"/>
      <w:pPr>
        <w:tabs>
          <w:tab w:val="num" w:pos="0"/>
        </w:tabs>
        <w:ind w:left="1854" w:hanging="720"/>
      </w:pPr>
      <w:rPr/>
    </w:lvl>
    <w:lvl w:ilvl="3">
      <w:start w:val="1"/>
      <w:numFmt w:val="decimal"/>
      <w:lvlText w:val="%1.%2.%3.%4."/>
      <w:lvlJc w:val="left"/>
      <w:pPr>
        <w:tabs>
          <w:tab w:val="num" w:pos="0"/>
        </w:tabs>
        <w:ind w:left="2421" w:hanging="720"/>
      </w:pPr>
      <w:rPr/>
    </w:lvl>
    <w:lvl w:ilvl="4">
      <w:start w:val="1"/>
      <w:numFmt w:val="decimal"/>
      <w:lvlText w:val="%1.%2.%3.%4.%5."/>
      <w:lvlJc w:val="left"/>
      <w:pPr>
        <w:tabs>
          <w:tab w:val="num" w:pos="0"/>
        </w:tabs>
        <w:ind w:left="3348" w:hanging="1080"/>
      </w:pPr>
      <w:rPr/>
    </w:lvl>
    <w:lvl w:ilvl="5">
      <w:start w:val="1"/>
      <w:numFmt w:val="decimal"/>
      <w:lvlText w:val="%1.%2.%3.%4.%5.%6."/>
      <w:lvlJc w:val="left"/>
      <w:pPr>
        <w:tabs>
          <w:tab w:val="num" w:pos="0"/>
        </w:tabs>
        <w:ind w:left="3915" w:hanging="1080"/>
      </w:pPr>
      <w:rPr/>
    </w:lvl>
    <w:lvl w:ilvl="6">
      <w:start w:val="1"/>
      <w:numFmt w:val="decimal"/>
      <w:lvlText w:val="%1.%2.%3.%4.%5.%6.%7."/>
      <w:lvlJc w:val="left"/>
      <w:pPr>
        <w:tabs>
          <w:tab w:val="num" w:pos="0"/>
        </w:tabs>
        <w:ind w:left="4842" w:hanging="1440"/>
      </w:pPr>
      <w:rPr/>
    </w:lvl>
    <w:lvl w:ilvl="7">
      <w:start w:val="1"/>
      <w:numFmt w:val="decimal"/>
      <w:lvlText w:val="%1.%2.%3.%4.%5.%6.%7.%8."/>
      <w:lvlJc w:val="left"/>
      <w:pPr>
        <w:tabs>
          <w:tab w:val="num" w:pos="0"/>
        </w:tabs>
        <w:ind w:left="5409" w:hanging="1440"/>
      </w:pPr>
      <w:rPr/>
    </w:lvl>
    <w:lvl w:ilvl="8">
      <w:start w:val="1"/>
      <w:numFmt w:val="decimal"/>
      <w:lvlText w:val="%1.%2.%3.%4.%5.%6.%7.%8.%9."/>
      <w:lvlJc w:val="left"/>
      <w:pPr>
        <w:tabs>
          <w:tab w:val="num" w:pos="0"/>
        </w:tabs>
        <w:ind w:left="6336" w:hanging="1800"/>
      </w:pPr>
      <w:rPr/>
    </w:lvl>
  </w:abstractNum>
  <w:abstractNum w:abstractNumId="10">
    <w:lvl w:ilvl="0">
      <w:start w:val="12"/>
      <w:numFmt w:val="decimal"/>
      <w:lvlText w:val="%1."/>
      <w:lvlJc w:val="left"/>
      <w:pPr>
        <w:tabs>
          <w:tab w:val="num" w:pos="0"/>
        </w:tabs>
        <w:ind w:left="405" w:hanging="405"/>
      </w:pPr>
      <w:rPr/>
    </w:lvl>
    <w:lvl w:ilvl="1">
      <w:start w:val="4"/>
      <w:numFmt w:val="decimal"/>
      <w:lvlText w:val="%1.%2."/>
      <w:lvlJc w:val="left"/>
      <w:pPr>
        <w:tabs>
          <w:tab w:val="num" w:pos="0"/>
        </w:tabs>
        <w:ind w:left="1114" w:hanging="405"/>
      </w:pPr>
      <w:rPr/>
    </w:lvl>
    <w:lvl w:ilvl="2">
      <w:start w:val="1"/>
      <w:numFmt w:val="decimal"/>
      <w:lvlText w:val="%1.%2.%3."/>
      <w:lvlJc w:val="left"/>
      <w:pPr>
        <w:tabs>
          <w:tab w:val="num" w:pos="0"/>
        </w:tabs>
        <w:ind w:left="3272" w:hanging="720"/>
      </w:pPr>
      <w:rPr/>
    </w:lvl>
    <w:lvl w:ilvl="3">
      <w:start w:val="1"/>
      <w:numFmt w:val="decimal"/>
      <w:lvlText w:val="%1.%2.%3.%4."/>
      <w:lvlJc w:val="left"/>
      <w:pPr>
        <w:tabs>
          <w:tab w:val="num" w:pos="0"/>
        </w:tabs>
        <w:ind w:left="4548" w:hanging="720"/>
      </w:pPr>
      <w:rPr/>
    </w:lvl>
    <w:lvl w:ilvl="4">
      <w:start w:val="1"/>
      <w:numFmt w:val="decimal"/>
      <w:lvlText w:val="%1.%2.%3.%4.%5."/>
      <w:lvlJc w:val="left"/>
      <w:pPr>
        <w:tabs>
          <w:tab w:val="num" w:pos="0"/>
        </w:tabs>
        <w:ind w:left="6184" w:hanging="1080"/>
      </w:pPr>
      <w:rPr/>
    </w:lvl>
    <w:lvl w:ilvl="5">
      <w:start w:val="1"/>
      <w:numFmt w:val="decimal"/>
      <w:lvlText w:val="%1.%2.%3.%4.%5.%6."/>
      <w:lvlJc w:val="left"/>
      <w:pPr>
        <w:tabs>
          <w:tab w:val="num" w:pos="0"/>
        </w:tabs>
        <w:ind w:left="7460" w:hanging="1080"/>
      </w:pPr>
      <w:rPr/>
    </w:lvl>
    <w:lvl w:ilvl="6">
      <w:start w:val="1"/>
      <w:numFmt w:val="decimal"/>
      <w:lvlText w:val="%1.%2.%3.%4.%5.%6.%7."/>
      <w:lvlJc w:val="left"/>
      <w:pPr>
        <w:tabs>
          <w:tab w:val="num" w:pos="0"/>
        </w:tabs>
        <w:ind w:left="8736" w:hanging="1080"/>
      </w:pPr>
      <w:rPr/>
    </w:lvl>
    <w:lvl w:ilvl="7">
      <w:start w:val="1"/>
      <w:numFmt w:val="decimal"/>
      <w:lvlText w:val="%1.%2.%3.%4.%5.%6.%7.%8."/>
      <w:lvlJc w:val="left"/>
      <w:pPr>
        <w:tabs>
          <w:tab w:val="num" w:pos="0"/>
        </w:tabs>
        <w:ind w:left="10372" w:hanging="1440"/>
      </w:pPr>
      <w:rPr/>
    </w:lvl>
    <w:lvl w:ilvl="8">
      <w:start w:val="1"/>
      <w:numFmt w:val="decimal"/>
      <w:lvlText w:val="%1.%2.%3.%4.%5.%6.%7.%8.%9."/>
      <w:lvlJc w:val="left"/>
      <w:pPr>
        <w:tabs>
          <w:tab w:val="num" w:pos="0"/>
        </w:tabs>
        <w:ind w:left="11648" w:hanging="1440"/>
      </w:pPr>
      <w:rPr/>
    </w:lvl>
  </w:abstractNum>
  <w:abstractNum w:abstractNumId="11">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3">
    <w:lvl w:ilvl="0">
      <w:start w:val="10"/>
      <w:numFmt w:val="decimal"/>
      <w:lvlText w:val="%1"/>
      <w:lvlJc w:val="left"/>
      <w:pPr>
        <w:tabs>
          <w:tab w:val="num" w:pos="0"/>
        </w:tabs>
        <w:ind w:left="360" w:hanging="360"/>
      </w:pPr>
      <w:rPr/>
    </w:lvl>
    <w:lvl w:ilvl="1">
      <w:start w:val="1"/>
      <w:numFmt w:val="decimal"/>
      <w:lvlText w:val="%1.%2"/>
      <w:lvlJc w:val="left"/>
      <w:pPr>
        <w:tabs>
          <w:tab w:val="num" w:pos="0"/>
        </w:tabs>
        <w:ind w:left="502" w:hanging="360"/>
      </w:pPr>
      <w:rPr/>
    </w:lvl>
    <w:lvl w:ilvl="2">
      <w:start w:val="1"/>
      <w:numFmt w:val="decimal"/>
      <w:lvlText w:val="%1.%2.%3"/>
      <w:lvlJc w:val="left"/>
      <w:pPr>
        <w:tabs>
          <w:tab w:val="num" w:pos="0"/>
        </w:tabs>
        <w:ind w:left="1004" w:hanging="720"/>
      </w:pPr>
      <w:rPr/>
    </w:lvl>
    <w:lvl w:ilvl="3">
      <w:start w:val="1"/>
      <w:numFmt w:val="decimal"/>
      <w:lvlText w:val="%1.%2.%3.%4"/>
      <w:lvlJc w:val="left"/>
      <w:pPr>
        <w:tabs>
          <w:tab w:val="num" w:pos="0"/>
        </w:tabs>
        <w:ind w:left="1146" w:hanging="720"/>
      </w:pPr>
      <w:rPr/>
    </w:lvl>
    <w:lvl w:ilvl="4">
      <w:start w:val="1"/>
      <w:numFmt w:val="decimal"/>
      <w:lvlText w:val="%1.%2.%3.%4.%5"/>
      <w:lvlJc w:val="left"/>
      <w:pPr>
        <w:tabs>
          <w:tab w:val="num" w:pos="0"/>
        </w:tabs>
        <w:ind w:left="1288" w:hanging="720"/>
      </w:pPr>
      <w:rPr/>
    </w:lvl>
    <w:lvl w:ilvl="5">
      <w:start w:val="1"/>
      <w:numFmt w:val="decimal"/>
      <w:lvlText w:val="%1.%2.%3.%4.%5.%6"/>
      <w:lvlJc w:val="left"/>
      <w:pPr>
        <w:tabs>
          <w:tab w:val="num" w:pos="0"/>
        </w:tabs>
        <w:ind w:left="1790" w:hanging="1080"/>
      </w:pPr>
      <w:rPr/>
    </w:lvl>
    <w:lvl w:ilvl="6">
      <w:start w:val="1"/>
      <w:numFmt w:val="decimal"/>
      <w:lvlText w:val="%1.%2.%3.%4.%5.%6.%7"/>
      <w:lvlJc w:val="left"/>
      <w:pPr>
        <w:tabs>
          <w:tab w:val="num" w:pos="0"/>
        </w:tabs>
        <w:ind w:left="1932" w:hanging="1080"/>
      </w:pPr>
      <w:rPr/>
    </w:lvl>
    <w:lvl w:ilvl="7">
      <w:start w:val="1"/>
      <w:numFmt w:val="decimal"/>
      <w:lvlText w:val="%1.%2.%3.%4.%5.%6.%7.%8"/>
      <w:lvlJc w:val="left"/>
      <w:pPr>
        <w:tabs>
          <w:tab w:val="num" w:pos="0"/>
        </w:tabs>
        <w:ind w:left="2434" w:hanging="1440"/>
      </w:pPr>
      <w:rPr/>
    </w:lvl>
    <w:lvl w:ilvl="8">
      <w:start w:val="1"/>
      <w:numFmt w:val="decimal"/>
      <w:lvlText w:val="%1.%2.%3.%4.%5.%6.%7.%8.%9"/>
      <w:lvlJc w:val="left"/>
      <w:pPr>
        <w:tabs>
          <w:tab w:val="num" w:pos="0"/>
        </w:tabs>
        <w:ind w:left="2576" w:hanging="144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w="http://schemas.openxmlformats.org/wordprocessingml/2006/main">
  <w:zoom w:percent="100"/>
  <w:trackRevisions/>
  <w:defaultTabStop w:val="709"/>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umentProtection w:edit="trackedChanges" w:cryptProviderType="rsaAES" w:cryptAlgorithmClass="hash" w:cryptAlgorithmType="typeAny" w:cryptAlgorithmSid="" w:cryptSpinCount="0" w:hash="" w:sal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3b206e"/>
    <w:pPr>
      <w:widowControl w:val="false"/>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qFormat/>
    <w:rsid w:val="00a264b0"/>
    <w:pPr>
      <w:keepNext w:val="true"/>
      <w:spacing w:before="240" w:after="60"/>
      <w:outlineLvl w:val="0"/>
    </w:pPr>
    <w:rPr>
      <w:rFonts w:ascii="Arial" w:hAnsi="Arial" w:cs="Arial"/>
      <w:b/>
      <w:bCs/>
      <w:kern w:val="2"/>
      <w:sz w:val="32"/>
      <w:szCs w:val="32"/>
    </w:rPr>
  </w:style>
  <w:style w:type="paragraph" w:styleId="Heading3">
    <w:name w:val="Heading 3"/>
    <w:basedOn w:val="Normal"/>
    <w:next w:val="Normal"/>
    <w:link w:val="31"/>
    <w:qFormat/>
    <w:rsid w:val="001b1bd9"/>
    <w:pPr>
      <w:keepNext w:val="true"/>
      <w:keepLines/>
      <w:spacing w:before="200" w:after="0"/>
      <w:outlineLvl w:val="2"/>
    </w:pPr>
    <w:rPr>
      <w:rFonts w:ascii="Cambria" w:hAnsi="Cambria"/>
      <w:b/>
      <w:bCs/>
      <w:color w:val="4F81BD"/>
      <w:lang w:val="x-none" w:eastAsia="x-none"/>
    </w:rPr>
  </w:style>
  <w:style w:type="character" w:styleId="DefaultParagraphFont" w:default="1">
    <w:name w:val="Default Paragraph Font"/>
    <w:uiPriority w:val="1"/>
    <w:semiHidden/>
    <w:unhideWhenUsed/>
    <w:qFormat/>
    <w:rPr/>
  </w:style>
  <w:style w:type="character" w:styleId="Style7" w:customStyle="1">
    <w:name w:val="Заголовок Знак"/>
    <w:qFormat/>
    <w:locked/>
    <w:rsid w:val="00565582"/>
    <w:rPr>
      <w:b/>
      <w:bCs/>
      <w:sz w:val="24"/>
      <w:szCs w:val="24"/>
      <w:lang w:val="ru-RU" w:eastAsia="ru-RU" w:bidi="ar-SA"/>
    </w:rPr>
  </w:style>
  <w:style w:type="character" w:styleId="Style8" w:customStyle="1">
    <w:name w:val="Основной текст Знак"/>
    <w:qFormat/>
    <w:rsid w:val="00565582"/>
    <w:rPr>
      <w:lang w:val="ru-RU" w:eastAsia="ru-RU" w:bidi="ar-SA"/>
    </w:rPr>
  </w:style>
  <w:style w:type="character" w:styleId="Pagenumber">
    <w:name w:val="page number"/>
    <w:basedOn w:val="DefaultParagraphFont"/>
    <w:qFormat/>
    <w:rsid w:val="008b02a1"/>
    <w:rPr/>
  </w:style>
  <w:style w:type="character" w:styleId="3" w:customStyle="1">
    <w:name w:val="Основной текст 3 Знак"/>
    <w:link w:val="BodyText3"/>
    <w:qFormat/>
    <w:rsid w:val="005a0965"/>
    <w:rPr>
      <w:sz w:val="16"/>
      <w:szCs w:val="16"/>
    </w:rPr>
  </w:style>
  <w:style w:type="character" w:styleId="Annotationreference">
    <w:name w:val="annotation reference"/>
    <w:qFormat/>
    <w:rsid w:val="00d36934"/>
    <w:rPr>
      <w:sz w:val="16"/>
      <w:szCs w:val="16"/>
    </w:rPr>
  </w:style>
  <w:style w:type="character" w:styleId="Style9" w:customStyle="1">
    <w:name w:val="Текст примечания Знак"/>
    <w:basedOn w:val="DefaultParagraphFont"/>
    <w:link w:val="Annotationtext"/>
    <w:qFormat/>
    <w:rsid w:val="00d36934"/>
    <w:rPr/>
  </w:style>
  <w:style w:type="character" w:styleId="Style10" w:customStyle="1">
    <w:name w:val="Тема примечания Знак"/>
    <w:link w:val="Annotationsubject"/>
    <w:qFormat/>
    <w:rsid w:val="00d36934"/>
    <w:rPr>
      <w:b/>
      <w:bCs/>
    </w:rPr>
  </w:style>
  <w:style w:type="character" w:styleId="31" w:customStyle="1">
    <w:name w:val="Заголовок 3 Знак"/>
    <w:semiHidden/>
    <w:qFormat/>
    <w:rsid w:val="001b1bd9"/>
    <w:rPr>
      <w:rFonts w:ascii="Cambria" w:hAnsi="Cambria" w:eastAsia="Times New Roman" w:cs="Times New Roman"/>
      <w:b/>
      <w:bCs/>
      <w:color w:val="4F81BD"/>
    </w:rPr>
  </w:style>
  <w:style w:type="character" w:styleId="Style11" w:customStyle="1">
    <w:name w:val="Основной текст с отступом Знак"/>
    <w:basedOn w:val="DefaultParagraphFont"/>
    <w:qFormat/>
    <w:rsid w:val="00e00bca"/>
    <w:rPr/>
  </w:style>
  <w:style w:type="character" w:styleId="Style12" w:customStyle="1">
    <w:name w:val="комментарий"/>
    <w:uiPriority w:val="99"/>
    <w:qFormat/>
    <w:rsid w:val="00d562c0"/>
    <w:rPr>
      <w:rFonts w:cs="Times New Roman"/>
      <w:b/>
      <w:bCs/>
      <w:i/>
      <w:iCs/>
      <w:shd w:fill="FFFF99" w:val="clear"/>
    </w:rPr>
  </w:style>
  <w:style w:type="character" w:styleId="Style13" w:customStyle="1">
    <w:name w:val="Текст сноски Знак"/>
    <w:basedOn w:val="DefaultParagraphFont"/>
    <w:uiPriority w:val="99"/>
    <w:qFormat/>
    <w:rsid w:val="00f47c6a"/>
    <w:rPr/>
  </w:style>
  <w:style w:type="character" w:styleId="Style14">
    <w:name w:val="Символ сноски"/>
    <w:qFormat/>
    <w:rsid w:val="00f47c6a"/>
    <w:rPr>
      <w:vertAlign w:val="superscript"/>
    </w:rPr>
  </w:style>
  <w:style w:type="character" w:styleId="FootnoteReference">
    <w:name w:val="Footnote Reference"/>
    <w:rPr>
      <w:vertAlign w:val="superscript"/>
    </w:rPr>
  </w:style>
  <w:style w:type="character" w:styleId="Style15" w:customStyle="1">
    <w:name w:val="Верхний колонтитул Знак"/>
    <w:basedOn w:val="DefaultParagraphFont"/>
    <w:uiPriority w:val="99"/>
    <w:qFormat/>
    <w:rsid w:val="000449a5"/>
    <w:rPr/>
  </w:style>
  <w:style w:type="character" w:styleId="Hyperlink">
    <w:name w:val="Hyperlink"/>
    <w:rsid w:val="005e6f32"/>
    <w:rPr>
      <w:color w:val="0000FF"/>
      <w:u w:val="single"/>
    </w:rPr>
  </w:style>
  <w:style w:type="character" w:styleId="Style16" w:customStyle="1">
    <w:name w:val="Нижний колонтитул Знак"/>
    <w:uiPriority w:val="99"/>
    <w:qFormat/>
    <w:rsid w:val="00d925fb"/>
    <w:rPr/>
  </w:style>
  <w:style w:type="character" w:styleId="Style17" w:customStyle="1">
    <w:name w:val="Название Знак"/>
    <w:qFormat/>
    <w:rsid w:val="0095682b"/>
    <w:rPr>
      <w:b/>
      <w:bCs/>
      <w:sz w:val="24"/>
      <w:szCs w:val="24"/>
    </w:rPr>
  </w:style>
  <w:style w:type="character" w:styleId="Style18" w:customStyle="1">
    <w:name w:val="Абзац списка Знак"/>
    <w:link w:val="ListParagraph"/>
    <w:uiPriority w:val="34"/>
    <w:qFormat/>
    <w:locked/>
    <w:rsid w:val="00725d08"/>
    <w:rPr/>
  </w:style>
  <w:style w:type="character" w:styleId="LineNumber">
    <w:name w:val="Line Number"/>
    <w:rPr/>
  </w:style>
  <w:style w:type="character" w:styleId="Style19">
    <w:name w:val="Символ концевой сноски"/>
    <w:qFormat/>
    <w:rPr>
      <w:vertAlign w:val="superscript"/>
    </w:rPr>
  </w:style>
  <w:style w:type="character" w:styleId="EndnoteReference">
    <w:name w:val="Endnote Reference"/>
    <w:rPr>
      <w:vertAlign w:val="superscript"/>
    </w:rPr>
  </w:style>
  <w:style w:type="paragraph" w:styleId="Style20">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8"/>
    <w:rsid w:val="00084bde"/>
    <w:pPr>
      <w:spacing w:before="0" w:after="12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21">
    <w:name w:val="Указатель"/>
    <w:basedOn w:val="Normal"/>
    <w:qFormat/>
    <w:pPr>
      <w:suppressLineNumbers/>
    </w:pPr>
    <w:rPr/>
  </w:style>
  <w:style w:type="paragraph" w:styleId="Title">
    <w:name w:val="Title"/>
    <w:basedOn w:val="Normal"/>
    <w:link w:val="Style7"/>
    <w:qFormat/>
    <w:rsid w:val="00a264b0"/>
    <w:pPr>
      <w:jc w:val="center"/>
    </w:pPr>
    <w:rPr>
      <w:b/>
      <w:bCs/>
      <w:sz w:val="24"/>
      <w:szCs w:val="24"/>
    </w:rPr>
  </w:style>
  <w:style w:type="paragraph" w:styleId="Style22" w:customStyle="1">
    <w:name w:val="Таблицы (моноширинный)"/>
    <w:basedOn w:val="Normal"/>
    <w:next w:val="Normal"/>
    <w:qFormat/>
    <w:rsid w:val="00a264b0"/>
    <w:pPr>
      <w:jc w:val="both"/>
    </w:pPr>
    <w:rPr>
      <w:rFonts w:ascii="Courier New" w:hAnsi="Courier New" w:cs="Courier New"/>
    </w:rPr>
  </w:style>
  <w:style w:type="paragraph" w:styleId="BodyTextIndent2">
    <w:name w:val="Body Text Indent 2"/>
    <w:basedOn w:val="Normal"/>
    <w:qFormat/>
    <w:rsid w:val="00a264b0"/>
    <w:pPr>
      <w:ind w:hanging="0" w:left="1843"/>
      <w:jc w:val="both"/>
    </w:pPr>
    <w:rPr>
      <w:sz w:val="24"/>
    </w:rPr>
  </w:style>
  <w:style w:type="paragraph" w:styleId="BalloonText">
    <w:name w:val="Balloon Text"/>
    <w:basedOn w:val="Normal"/>
    <w:semiHidden/>
    <w:qFormat/>
    <w:rsid w:val="00080acb"/>
    <w:pPr/>
    <w:rPr>
      <w:rFonts w:ascii="Tahoma" w:hAnsi="Tahoma" w:cs="Tahoma"/>
      <w:sz w:val="16"/>
      <w:szCs w:val="16"/>
    </w:rPr>
  </w:style>
  <w:style w:type="paragraph" w:styleId="BodyText2">
    <w:name w:val="Body Text 2"/>
    <w:basedOn w:val="Normal"/>
    <w:qFormat/>
    <w:rsid w:val="006257f9"/>
    <w:pPr>
      <w:widowControl/>
      <w:spacing w:lineRule="auto" w:line="480" w:before="0" w:after="120"/>
    </w:pPr>
    <w:rPr>
      <w:sz w:val="24"/>
      <w:szCs w:val="24"/>
    </w:rPr>
  </w:style>
  <w:style w:type="paragraph" w:styleId="Style23">
    <w:name w:val="Колонтитул"/>
    <w:basedOn w:val="Normal"/>
    <w:qFormat/>
    <w:pPr/>
    <w:rPr/>
  </w:style>
  <w:style w:type="paragraph" w:styleId="Footer">
    <w:name w:val="Footer"/>
    <w:basedOn w:val="Normal"/>
    <w:link w:val="Style16"/>
    <w:uiPriority w:val="99"/>
    <w:rsid w:val="008b02a1"/>
    <w:pPr>
      <w:tabs>
        <w:tab w:val="clear" w:pos="709"/>
        <w:tab w:val="center" w:pos="4677" w:leader="none"/>
        <w:tab w:val="right" w:pos="9355" w:leader="none"/>
      </w:tabs>
    </w:pPr>
    <w:rPr/>
  </w:style>
  <w:style w:type="paragraph" w:styleId="BodyText3">
    <w:name w:val="Body Text 3"/>
    <w:basedOn w:val="Normal"/>
    <w:link w:val="3"/>
    <w:qFormat/>
    <w:rsid w:val="005a0965"/>
    <w:pPr>
      <w:spacing w:before="0" w:after="120"/>
    </w:pPr>
    <w:rPr>
      <w:sz w:val="16"/>
      <w:szCs w:val="16"/>
      <w:lang w:val="x-none" w:eastAsia="x-none"/>
    </w:rPr>
  </w:style>
  <w:style w:type="paragraph" w:styleId="Annotationtext">
    <w:name w:val="annotation text"/>
    <w:basedOn w:val="Normal"/>
    <w:link w:val="Style9"/>
    <w:qFormat/>
    <w:rsid w:val="00d36934"/>
    <w:pPr/>
    <w:rPr/>
  </w:style>
  <w:style w:type="paragraph" w:styleId="Annotationsubject">
    <w:name w:val="annotation subject"/>
    <w:basedOn w:val="Annotationtext"/>
    <w:next w:val="Annotationtext"/>
    <w:link w:val="Style10"/>
    <w:qFormat/>
    <w:rsid w:val="00d36934"/>
    <w:pPr/>
    <w:rPr>
      <w:b/>
      <w:bCs/>
      <w:lang w:val="x-none" w:eastAsia="x-none"/>
    </w:rPr>
  </w:style>
  <w:style w:type="paragraph" w:styleId="ListParagraph">
    <w:name w:val="List Paragraph"/>
    <w:basedOn w:val="Normal"/>
    <w:link w:val="Style18"/>
    <w:uiPriority w:val="34"/>
    <w:qFormat/>
    <w:rsid w:val="00ec6e7d"/>
    <w:pPr>
      <w:spacing w:before="0" w:after="0"/>
      <w:ind w:hanging="0" w:left="720"/>
      <w:contextualSpacing/>
    </w:pPr>
    <w:rPr/>
  </w:style>
  <w:style w:type="paragraph" w:styleId="Style24" w:customStyle="1">
    <w:name w:val="Знак Знак Знак Знак Знак Знак Знак Знак Знак"/>
    <w:basedOn w:val="Normal"/>
    <w:uiPriority w:val="99"/>
    <w:qFormat/>
    <w:rsid w:val="00d31bfd"/>
    <w:pPr>
      <w:widowControl/>
      <w:spacing w:lineRule="exact" w:line="240" w:before="0" w:after="160"/>
      <w:jc w:val="both"/>
    </w:pPr>
    <w:rPr>
      <w:rFonts w:ascii="Verdana" w:hAnsi="Verdana"/>
      <w:sz w:val="22"/>
      <w:lang w:val="en-US" w:eastAsia="en-US"/>
    </w:rPr>
  </w:style>
  <w:style w:type="paragraph" w:styleId="Style25" w:customStyle="1">
    <w:name w:val="Подпункт договора"/>
    <w:basedOn w:val="Normal"/>
    <w:qFormat/>
    <w:rsid w:val="00d31bfd"/>
    <w:pPr>
      <w:widowControl/>
      <w:tabs>
        <w:tab w:val="clear" w:pos="709"/>
        <w:tab w:val="left" w:pos="360" w:leader="none"/>
      </w:tabs>
      <w:jc w:val="both"/>
    </w:pPr>
    <w:rPr>
      <w:rFonts w:ascii="Arial" w:hAnsi="Arial"/>
    </w:rPr>
  </w:style>
  <w:style w:type="paragraph" w:styleId="ConsNormal" w:customStyle="1">
    <w:name w:val="ConsNormal"/>
    <w:qFormat/>
    <w:rsid w:val="00b53021"/>
    <w:pPr>
      <w:widowControl/>
      <w:suppressAutoHyphens w:val="true"/>
      <w:bidi w:val="0"/>
      <w:spacing w:before="0" w:after="0"/>
      <w:ind w:firstLine="720" w:right="19772"/>
      <w:jc w:val="left"/>
    </w:pPr>
    <w:rPr>
      <w:rFonts w:ascii="Arial" w:hAnsi="Arial" w:eastAsia="Times New Roman" w:cs="Times New Roman"/>
      <w:color w:val="auto"/>
      <w:kern w:val="0"/>
      <w:sz w:val="32"/>
      <w:szCs w:val="20"/>
      <w:lang w:val="ru-RU" w:eastAsia="en-US" w:bidi="ar-SA"/>
    </w:rPr>
  </w:style>
  <w:style w:type="paragraph" w:styleId="BodyTextIndent">
    <w:name w:val="Body Text Indent"/>
    <w:basedOn w:val="Normal"/>
    <w:link w:val="Style11"/>
    <w:rsid w:val="00e00bca"/>
    <w:pPr>
      <w:spacing w:before="0" w:after="120"/>
      <w:ind w:hanging="0" w:left="283"/>
    </w:pPr>
    <w:rPr/>
  </w:style>
  <w:style w:type="paragraph" w:styleId="Style26" w:customStyle="1">
    <w:name w:val="Знак"/>
    <w:basedOn w:val="Normal"/>
    <w:qFormat/>
    <w:rsid w:val="00d562c0"/>
    <w:pPr>
      <w:widowControl/>
      <w:spacing w:lineRule="exact" w:line="240" w:before="0" w:after="160"/>
    </w:pPr>
    <w:rPr>
      <w:rFonts w:ascii="Verdana" w:hAnsi="Verdana" w:cs="Verdana"/>
      <w:lang w:val="en-US" w:eastAsia="en-US"/>
    </w:rPr>
  </w:style>
  <w:style w:type="paragraph" w:styleId="FootnoteText">
    <w:name w:val="Footnote Text"/>
    <w:basedOn w:val="Normal"/>
    <w:link w:val="Style13"/>
    <w:uiPriority w:val="99"/>
    <w:rsid w:val="00f47c6a"/>
    <w:pPr/>
    <w:rPr/>
  </w:style>
  <w:style w:type="paragraph" w:styleId="ListBullet3">
    <w:name w:val="List Bullet 3"/>
    <w:basedOn w:val="Normal"/>
    <w:uiPriority w:val="99"/>
    <w:unhideWhenUsed/>
    <w:qFormat/>
    <w:rsid w:val="00fa3bf9"/>
    <w:pPr>
      <w:widowControl/>
      <w:tabs>
        <w:tab w:val="clear" w:pos="709"/>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fa3bf9"/>
    <w:pPr>
      <w:widowControl/>
      <w:tabs>
        <w:tab w:val="clear" w:pos="709"/>
        <w:tab w:val="left" w:pos="851" w:leader="none"/>
      </w:tabs>
      <w:spacing w:lineRule="auto" w:line="360"/>
      <w:ind w:hanging="851" w:left="851"/>
      <w:jc w:val="both"/>
    </w:pPr>
    <w:rPr>
      <w:rFonts w:eastAsia="Calibri"/>
      <w:sz w:val="28"/>
      <w:szCs w:val="28"/>
    </w:rPr>
  </w:style>
  <w:style w:type="paragraph" w:styleId="DocumentMap">
    <w:name w:val="Document Map"/>
    <w:basedOn w:val="Normal"/>
    <w:semiHidden/>
    <w:qFormat/>
    <w:rsid w:val="00936d2a"/>
    <w:pPr>
      <w:shd w:val="clear" w:color="auto" w:fill="000080"/>
    </w:pPr>
    <w:rPr>
      <w:rFonts w:ascii="Tahoma" w:hAnsi="Tahoma" w:cs="Tahoma"/>
    </w:rPr>
  </w:style>
  <w:style w:type="paragraph" w:styleId="Revision">
    <w:name w:val="Revision"/>
    <w:uiPriority w:val="99"/>
    <w:semiHidden/>
    <w:qFormat/>
    <w:rsid w:val="00f2582e"/>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5"/>
    <w:uiPriority w:val="99"/>
    <w:rsid w:val="000449a5"/>
    <w:pPr>
      <w:tabs>
        <w:tab w:val="clear" w:pos="709"/>
        <w:tab w:val="center" w:pos="4677" w:leader="none"/>
        <w:tab w:val="right" w:pos="9355" w:leader="none"/>
      </w:tabs>
    </w:pPr>
    <w:rPr/>
  </w:style>
  <w:style w:type="paragraph" w:styleId="Style27" w:customStyle="1">
    <w:name w:val="Пункт договора"/>
    <w:basedOn w:val="Normal"/>
    <w:qFormat/>
    <w:rsid w:val="00e65842"/>
    <w:pPr>
      <w:jc w:val="both"/>
    </w:pPr>
    <w:rPr>
      <w:rFonts w:ascii="Arial" w:hAnsi="Arial"/>
    </w:rPr>
  </w:style>
  <w:style w:type="paragraph" w:styleId="1" w:customStyle="1">
    <w:name w:val="Знак Знак Знак Знак Знак Знак Знак Знак Знак1"/>
    <w:basedOn w:val="Normal"/>
    <w:qFormat/>
    <w:rsid w:val="007d41d8"/>
    <w:pPr>
      <w:widowControl/>
      <w:spacing w:lineRule="exact" w:line="240" w:before="0" w:after="160"/>
      <w:jc w:val="both"/>
    </w:pPr>
    <w:rPr>
      <w:rFonts w:ascii="Verdana" w:hAnsi="Verdana"/>
      <w:sz w:val="22"/>
      <w:lang w:val="en-US" w:eastAsia="en-US"/>
    </w:rPr>
  </w:style>
  <w:style w:type="paragraph" w:styleId="11" w:customStyle="1">
    <w:name w:val="Обычный1"/>
    <w:qFormat/>
    <w:rsid w:val="0073039c"/>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ConsPlusNormal" w:customStyle="1">
    <w:name w:val="ConsPlusNormal"/>
    <w:qFormat/>
    <w:rsid w:val="00a510bb"/>
    <w:pPr>
      <w:widowControl w:val="false"/>
      <w:suppressAutoHyphens w:val="true"/>
      <w:bidi w:val="0"/>
      <w:spacing w:before="0" w:after="0"/>
      <w:jc w:val="left"/>
    </w:pPr>
    <w:rPr>
      <w:rFonts w:ascii="Calibri" w:hAnsi="Calibri" w:eastAsia="Times New Roman" w:cs="Calibri"/>
      <w:color w:val="auto"/>
      <w:kern w:val="0"/>
      <w:sz w:val="22"/>
      <w:szCs w:val="20"/>
      <w:lang w:val="ru-RU" w:eastAsia="ru-RU" w:bidi="ar-SA"/>
    </w:rPr>
  </w:style>
  <w:style w:type="paragraph" w:styleId="NormalWeb">
    <w:name w:val="Normal (Web)"/>
    <w:basedOn w:val="Normal"/>
    <w:uiPriority w:val="99"/>
    <w:unhideWhenUsed/>
    <w:qFormat/>
    <w:rsid w:val="003e7f9e"/>
    <w:pPr>
      <w:widowControl/>
      <w:spacing w:beforeAutospacing="1" w:afterAutospacing="1"/>
    </w:pPr>
    <w:rPr>
      <w:sz w:val="24"/>
      <w:szCs w:val="24"/>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9">
    <w:name w:val="Table Grid"/>
    <w:basedOn w:val="a1"/>
    <w:rsid w:val="00084bd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header" Target="header3.xml"/><Relationship Id="rId9" Type="http://schemas.openxmlformats.org/officeDocument/2006/relationships/header" Target="header4.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header" Target="header5.xml"/><Relationship Id="rId13" Type="http://schemas.openxmlformats.org/officeDocument/2006/relationships/header" Target="header6.xml"/><Relationship Id="rId14" Type="http://schemas.openxmlformats.org/officeDocument/2006/relationships/footer" Target="footer4.xml"/><Relationship Id="rId15" Type="http://schemas.openxmlformats.org/officeDocument/2006/relationships/footer" Target="footer5.xml"/><Relationship Id="rId16" Type="http://schemas.openxmlformats.org/officeDocument/2006/relationships/footnotes" Target="footnotes.xml"/><Relationship Id="rId17" Type="http://schemas.openxmlformats.org/officeDocument/2006/relationships/numbering" Target="numbering.xml"/><Relationship Id="rId18" Type="http://schemas.openxmlformats.org/officeDocument/2006/relationships/fontTable" Target="fontTable.xml"/><Relationship Id="rId19" Type="http://schemas.openxmlformats.org/officeDocument/2006/relationships/settings" Target="settings.xml"/><Relationship Id="rId20" Type="http://schemas.openxmlformats.org/officeDocument/2006/relationships/theme" Target="theme/theme1.xml"/><Relationship Id="rId21" Type="http://schemas.openxmlformats.org/officeDocument/2006/relationships/customXml" Target="../customXml/item1.xml"/><Relationship Id="rId22" Type="http://schemas.openxmlformats.org/officeDocument/2006/relationships/customXml" Target="../customXml/item2.xml"/><Relationship Id="rId23" Type="http://schemas.openxmlformats.org/officeDocument/2006/relationships/customXml" Target="../customXml/item3.xml"/><Relationship Id="rId24" Type="http://schemas.openxmlformats.org/officeDocument/2006/relationships/customXml" Target="../customXml/item4.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45F010-B91C-4CB9-B37A-3E8BDFBAAF03}">
  <ds:schemaRefs>
    <ds:schemaRef ds:uri="http://schemas.microsoft.com/sharepoint/v3/contenttype/forms"/>
  </ds:schemaRefs>
</ds:datastoreItem>
</file>

<file path=customXml/itemProps2.xml><?xml version="1.0" encoding="utf-8"?>
<ds:datastoreItem xmlns:ds="http://schemas.openxmlformats.org/officeDocument/2006/customXml" ds:itemID="{B160C69B-2C2A-40E1-B81F-0B6FB3845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F4B0BAB9-8B8F-4B85-B8DF-266ED50E1B2E}">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4.xml><?xml version="1.0" encoding="utf-8"?>
<ds:datastoreItem xmlns:ds="http://schemas.openxmlformats.org/officeDocument/2006/customXml" ds:itemID="{20841FB4-7165-49D3-9C55-3D5AE95BA1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Application>AlterOffice/2026.2.0.0$Linux_X86_64 LibreOffice_project/bc4ef1adf80b36c7a6365f8ed6cbf29021361edd</Application>
  <AppVersion>15.0000</AppVersion>
  <Pages>21</Pages>
  <Words>7304</Words>
  <Characters>51952</Characters>
  <CharactersWithSpaces>58968</CharactersWithSpaces>
  <Paragraphs>389</Paragraphs>
  <Company>Inter RAO UES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2023-03-22T14:33:00Z</dcterms:created>
  <dc:creator>tsypilev_ag</dc:creator>
  <dc:description/>
  <dc:language>ru-RU</dc:language>
  <cp:lastModifiedBy/>
  <cp:lastPrinted>2018-05-22T09:46:00Z</cp:lastPrinted>
  <dcterms:modified xsi:type="dcterms:W3CDTF">2026-06-09T13:23:56Z</dcterms:modified>
  <cp:revision>17</cp:revision>
  <dc:subject/>
  <dc:title>Договор № _________</dc:title>
</cp:coreProperties>
</file>

<file path=docProps/custom.xml><?xml version="1.0" encoding="utf-8"?>
<Properties xmlns="http://schemas.openxmlformats.org/officeDocument/2006/custom-properties" xmlns:vt="http://schemas.openxmlformats.org/officeDocument/2006/docPropsVTypes"/>
</file>