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suppressAutoHyphens w:val="true"/>
        <w:jc w:val="center"/>
        <w:rPr>
          <w:sz w:val="24"/>
          <w:szCs w:val="24"/>
        </w:rPr>
      </w:pPr>
      <w:r>
        <w:rPr>
          <w:rFonts w:eastAsia="Calibri"/>
          <w:b/>
          <w:caps/>
          <w:sz w:val="24"/>
          <w:szCs w:val="24"/>
        </w:rPr>
        <w:t>Запрос технико-коммерческих предложений</w:t>
      </w:r>
    </w:p>
    <w:p>
      <w:pPr>
        <w:pStyle w:val="Normal"/>
        <w:keepNext w:val="true"/>
        <w:keepLines/>
        <w:suppressAutoHyphens w:val="true"/>
        <w:jc w:val="center"/>
        <w:rPr>
          <w:sz w:val="24"/>
          <w:szCs w:val="24"/>
        </w:rPr>
      </w:pPr>
      <w:r>
        <w:rPr>
          <w:rFonts w:eastAsia="Calibri"/>
          <w:b/>
          <w:caps/>
          <w:sz w:val="24"/>
          <w:szCs w:val="24"/>
        </w:rPr>
        <w:t xml:space="preserve">для проведения мониторинга цен </w:t>
      </w:r>
    </w:p>
    <w:p>
      <w:pPr>
        <w:pStyle w:val="Normal"/>
        <w:keepNext w:val="true"/>
        <w:keepLines/>
        <w:widowControl/>
        <w:suppressAutoHyphens w:val="true"/>
        <w:bidi w:val="0"/>
        <w:spacing w:lineRule="auto" w:line="276" w:before="0" w:after="0"/>
        <w:ind w:left="0" w:right="0" w:hanging="0"/>
        <w:jc w:val="center"/>
        <w:rPr>
          <w:sz w:val="24"/>
          <w:szCs w:val="24"/>
        </w:rPr>
      </w:pPr>
      <w:r>
        <w:rPr>
          <w:rFonts w:eastAsia="Calibri"/>
          <w:b w:val="false"/>
          <w:bCs w:val="false"/>
          <w:i w:val="false"/>
          <w:iCs w:val="false"/>
          <w:sz w:val="24"/>
          <w:szCs w:val="24"/>
        </w:rPr>
        <w:t xml:space="preserve">по лоту: </w:t>
      </w:r>
      <w:r>
        <w:rPr>
          <w:rFonts w:eastAsia="Times New Roman" w:cs="Times New Roman"/>
          <w:b w:val="false"/>
          <w:bCs w:val="false"/>
          <w:i w:val="false"/>
          <w:iCs w:val="false"/>
          <w:sz w:val="24"/>
          <w:szCs w:val="24"/>
          <w:lang w:eastAsia="ru-RU"/>
        </w:rPr>
        <w:t xml:space="preserve">«ОКПД2 71.12.39 </w:t>
      </w:r>
      <w:r>
        <w:rPr>
          <w:rFonts w:eastAsia="Times New Roman" w:cs="Times New Roman"/>
          <w:b w:val="false"/>
          <w:bCs w:val="false"/>
          <w:i w:val="false"/>
          <w:iCs w:val="false"/>
          <w:sz w:val="24"/>
          <w:szCs w:val="24"/>
          <w:shd w:fill="auto" w:val="clear"/>
          <w:lang w:eastAsia="ru-RU"/>
        </w:rPr>
        <w:t>Подготовка документации для внесения сведений о водных объектах в Государственный водный реестр» по объекту «Строительство Арктической ТЭС в г. Певек»</w:t>
      </w:r>
    </w:p>
    <w:p>
      <w:pPr>
        <w:pStyle w:val="Normal"/>
        <w:suppressAutoHyphens w:val="true"/>
        <w:spacing w:before="0" w:after="0"/>
        <w:jc w:val="center"/>
        <w:rPr>
          <w:rFonts w:ascii="Times New Roman" w:hAnsi="Times New Roman" w:eastAsia="Calibri" w:cs="Times New Roman"/>
          <w:color w:val="auto"/>
          <w:kern w:val="0"/>
          <w:sz w:val="24"/>
          <w:szCs w:val="24"/>
          <w:lang w:val="ru-RU" w:eastAsia="ru-RU" w:bidi="ar-SA"/>
        </w:rPr>
      </w:pPr>
      <w:r>
        <w:rPr>
          <w:rFonts w:eastAsia="Calibri" w:cs="Times New Roman"/>
          <w:color w:val="auto"/>
          <w:kern w:val="0"/>
          <w:sz w:val="24"/>
          <w:szCs w:val="24"/>
          <w:lang w:val="ru-RU" w:eastAsia="ru-RU" w:bidi="ar-SA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lineRule="auto" w:line="276" w:before="0" w:after="57"/>
        <w:ind w:firstLine="567"/>
        <w:jc w:val="both"/>
        <w:rPr/>
      </w:pPr>
      <w:r>
        <w:rPr>
          <w:sz w:val="24"/>
          <w:szCs w:val="24"/>
        </w:rPr>
        <w:t>АО «Ленгидропроект» (далее – Заказчик) сообщает о проведении анализа технико-коммерческих предложений потенциальных поставщиков по лоту:</w:t>
      </w:r>
      <w:r>
        <w:rPr>
          <w:rFonts w:eastAsia="Calibri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eastAsia="Times New Roman" w:cs="Times New Roman"/>
          <w:b w:val="false"/>
          <w:bCs w:val="false"/>
          <w:i w:val="false"/>
          <w:iCs w:val="false"/>
          <w:sz w:val="24"/>
          <w:szCs w:val="24"/>
          <w:lang w:eastAsia="ru-RU"/>
        </w:rPr>
        <w:t xml:space="preserve">«ОКПД2 71.12.39 </w:t>
      </w:r>
      <w:r>
        <w:rPr>
          <w:rFonts w:eastAsia="Times New Roman" w:cs="Times New Roman"/>
          <w:b w:val="false"/>
          <w:bCs w:val="false"/>
          <w:i w:val="false"/>
          <w:iCs w:val="false"/>
          <w:sz w:val="24"/>
          <w:szCs w:val="24"/>
          <w:shd w:fill="auto" w:val="clear"/>
          <w:lang w:eastAsia="ru-RU"/>
        </w:rPr>
        <w:t>Подготовка документации для внесения сведений о водных объектах в Государственный водный реестр» по объекту «Строительство Арктической ТЭС в г. Певек»</w:t>
      </w:r>
      <w:r>
        <w:rPr>
          <w:rFonts w:eastAsia="Times New Roman" w:cs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lang w:val="ru-RU" w:eastAsia="ru-RU" w:bidi="ar-SA"/>
        </w:rPr>
        <w:t>.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lineRule="auto" w:line="276" w:before="0" w:after="24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Подробные требования к продукции (в том числе, сведения об объеме, месте, сроках выполняемых работ) приведены в Технических требованиях настоящего мониторинга (запроса).</w:t>
      </w:r>
    </w:p>
    <w:p>
      <w:pPr>
        <w:pStyle w:val="ListParagraph"/>
        <w:numPr>
          <w:ilvl w:val="0"/>
          <w:numId w:val="0"/>
        </w:numPr>
        <w:tabs>
          <w:tab w:val="clear" w:pos="708"/>
          <w:tab w:val="left" w:pos="851" w:leader="none"/>
        </w:tabs>
        <w:spacing w:lineRule="auto" w:line="276" w:before="60" w:after="60"/>
        <w:ind w:hanging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>
        <w:rPr>
          <w:sz w:val="24"/>
          <w:szCs w:val="24"/>
        </w:rPr>
        <w:t xml:space="preserve">Настоящий запрос </w:t>
      </w:r>
      <w:r>
        <w:rPr>
          <w:b/>
          <w:sz w:val="24"/>
          <w:szCs w:val="24"/>
        </w:rPr>
        <w:t>не является публичной офертой и не влечет за собой возникновения каких-либо обязательств для Заказчика</w:t>
      </w:r>
      <w:r>
        <w:rPr>
          <w:sz w:val="24"/>
          <w:szCs w:val="24"/>
        </w:rPr>
        <w:t>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рассмотрения.</w:t>
      </w:r>
    </w:p>
    <w:p>
      <w:pPr>
        <w:pStyle w:val="ListParagraph"/>
        <w:numPr>
          <w:ilvl w:val="0"/>
          <w:numId w:val="0"/>
        </w:numPr>
        <w:tabs>
          <w:tab w:val="clear" w:pos="708"/>
          <w:tab w:val="left" w:pos="851" w:leader="none"/>
        </w:tabs>
        <w:spacing w:lineRule="auto" w:line="276" w:before="60" w:after="60"/>
        <w:ind w:hanging="0"/>
        <w:contextualSpacing/>
        <w:jc w:val="both"/>
        <w:rPr>
          <w:sz w:val="24"/>
          <w:szCs w:val="24"/>
        </w:rPr>
      </w:pPr>
      <w:r>
        <w:rPr/>
        <w:t xml:space="preserve">2. </w:t>
      </w:r>
      <w:r>
        <w:rPr/>
        <w:t>Ответ с технико-коммерческим предложением должен быть оформлен на официальном бланке по форме приложения №1 к Техническим требованиям и</w:t>
      </w:r>
      <w:r>
        <w:rPr>
          <w:lang w:val="en-US"/>
        </w:rPr>
        <w:t> </w:t>
      </w:r>
      <w:r>
        <w:rPr/>
        <w:t>заверен подписью уполномоченного лица, а также печатью организации (при</w:t>
      </w:r>
      <w:r>
        <w:rPr>
          <w:lang w:val="en-US"/>
        </w:rPr>
        <w:t> </w:t>
      </w:r>
      <w:r>
        <w:rPr/>
        <w:t>наличии), и в обязательном порядке содержать следующую информацию:</w:t>
      </w:r>
    </w:p>
    <w:p>
      <w:pPr>
        <w:pStyle w:val="ListParagraph"/>
        <w:widowControl/>
        <w:numPr>
          <w:ilvl w:val="0"/>
          <w:numId w:val="0"/>
        </w:numPr>
        <w:suppressAutoHyphens w:val="true"/>
        <w:bidi w:val="0"/>
        <w:spacing w:lineRule="auto" w:line="276" w:before="60" w:after="60"/>
        <w:ind w:left="850" w:right="0" w:hanging="0"/>
        <w:contextualSpacing/>
        <w:jc w:val="both"/>
        <w:rPr/>
      </w:pPr>
      <w:r>
        <w:rPr/>
        <w:t>- дату направления предложения;</w:t>
      </w:r>
    </w:p>
    <w:p>
      <w:pPr>
        <w:pStyle w:val="ListParagraph"/>
        <w:widowControl/>
        <w:numPr>
          <w:ilvl w:val="0"/>
          <w:numId w:val="0"/>
        </w:numPr>
        <w:suppressAutoHyphens w:val="true"/>
        <w:bidi w:val="0"/>
        <w:spacing w:lineRule="auto" w:line="276" w:before="60" w:after="60"/>
        <w:ind w:left="850" w:right="0" w:hanging="0"/>
        <w:contextualSpacing/>
        <w:jc w:val="both"/>
        <w:rPr/>
      </w:pPr>
      <w:r>
        <w:rPr/>
        <w:t>- полное наименование организации, с указанием организационно-правовой формы (для юридических лиц);</w:t>
      </w:r>
    </w:p>
    <w:p>
      <w:pPr>
        <w:pStyle w:val="ListParagraph"/>
        <w:widowControl/>
        <w:numPr>
          <w:ilvl w:val="0"/>
          <w:numId w:val="0"/>
        </w:numPr>
        <w:suppressAutoHyphens w:val="true"/>
        <w:bidi w:val="0"/>
        <w:spacing w:lineRule="auto" w:line="276" w:before="60" w:after="60"/>
        <w:ind w:left="850" w:right="0" w:hanging="0"/>
        <w:contextualSpacing/>
        <w:jc w:val="both"/>
        <w:rPr/>
      </w:pPr>
      <w:r>
        <w:rPr/>
        <w:t xml:space="preserve">- юридический адрес, почтовый адрес, ИНН </w:t>
      </w:r>
      <w:r>
        <w:rPr>
          <w:i/>
          <w:shd w:fill="FFFF99" w:val="clear"/>
        </w:rPr>
        <w:t>[для юридических лиц]</w:t>
      </w:r>
      <w:r>
        <w:rPr>
          <w:i/>
        </w:rPr>
        <w:t xml:space="preserve"> / </w:t>
      </w:r>
      <w:r>
        <w:rPr/>
        <w:t xml:space="preserve">паспортные данные, адрес регистрации, ИНН (при наличии) </w:t>
      </w:r>
      <w:r>
        <w:rPr>
          <w:i/>
          <w:shd w:fill="FFFF99" w:val="clear"/>
        </w:rPr>
        <w:t>[для физических лиц]</w:t>
      </w:r>
      <w:r>
        <w:rPr>
          <w:i/>
        </w:rPr>
        <w:t>;</w:t>
      </w:r>
    </w:p>
    <w:p>
      <w:pPr>
        <w:pStyle w:val="ListParagraph"/>
        <w:widowControl/>
        <w:numPr>
          <w:ilvl w:val="0"/>
          <w:numId w:val="0"/>
        </w:numPr>
        <w:suppressAutoHyphens w:val="true"/>
        <w:bidi w:val="0"/>
        <w:spacing w:lineRule="auto" w:line="276" w:before="60" w:after="60"/>
        <w:ind w:left="850" w:right="0" w:hanging="0"/>
        <w:contextualSpacing/>
        <w:jc w:val="both"/>
        <w:rPr/>
      </w:pPr>
      <w:r>
        <w:rPr/>
        <w:t xml:space="preserve">- контактные данные: номер телефона, </w:t>
      </w:r>
      <w:r>
        <w:rPr>
          <w:lang w:val="en-US"/>
        </w:rPr>
        <w:t>e</w:t>
      </w:r>
      <w:r>
        <w:rPr/>
        <w:t>-</w:t>
      </w:r>
      <w:r>
        <w:rPr>
          <w:lang w:val="en-US"/>
        </w:rPr>
        <w:t>mail</w:t>
      </w:r>
      <w:r>
        <w:rPr/>
        <w:t>, ФИО контактного лица;</w:t>
      </w:r>
    </w:p>
    <w:p>
      <w:pPr>
        <w:pStyle w:val="ListParagraph"/>
        <w:widowControl/>
        <w:numPr>
          <w:ilvl w:val="0"/>
          <w:numId w:val="0"/>
        </w:numPr>
        <w:suppressAutoHyphens w:val="true"/>
        <w:bidi w:val="0"/>
        <w:spacing w:lineRule="auto" w:line="276" w:before="60" w:after="60"/>
        <w:ind w:left="850" w:right="0" w:hanging="0"/>
        <w:contextualSpacing/>
        <w:jc w:val="both"/>
        <w:rPr/>
      </w:pPr>
      <w:r>
        <w:rPr/>
        <w:t>- цену предложения в рублях (без учета НДС).</w:t>
      </w:r>
    </w:p>
    <w:p>
      <w:pPr>
        <w:pStyle w:val="ListParagraph"/>
        <w:widowControl/>
        <w:numPr>
          <w:ilvl w:val="0"/>
          <w:numId w:val="0"/>
        </w:numPr>
        <w:suppressAutoHyphens w:val="true"/>
        <w:bidi w:val="0"/>
        <w:spacing w:lineRule="auto" w:line="276" w:before="60" w:after="60"/>
        <w:ind w:right="0" w:hanging="0"/>
        <w:contextualSpacing/>
        <w:jc w:val="both"/>
        <w:rPr/>
      </w:pPr>
      <w:r>
        <w:rPr/>
      </w:r>
    </w:p>
    <w:p>
      <w:pPr>
        <w:pStyle w:val="ListParagraph"/>
        <w:widowControl/>
        <w:numPr>
          <w:ilvl w:val="0"/>
          <w:numId w:val="0"/>
        </w:numPr>
        <w:suppressAutoHyphens w:val="true"/>
        <w:bidi w:val="0"/>
        <w:spacing w:lineRule="auto" w:line="276" w:before="60" w:after="60"/>
        <w:ind w:right="0" w:hanging="0"/>
        <w:contextualSpacing/>
        <w:jc w:val="both"/>
        <w:rPr/>
      </w:pPr>
      <w:r>
        <w:rPr/>
        <w:t xml:space="preserve">3. </w:t>
      </w:r>
      <w:r>
        <w:rPr/>
        <w:t>Срок подачи технико-коммерческих предложени</w:t>
      </w:r>
      <w:r>
        <w:rPr>
          <w:shd w:fill="auto" w:val="clear"/>
        </w:rPr>
        <w:t xml:space="preserve">й: </w:t>
      </w:r>
      <w:r>
        <w:rPr>
          <w:u w:val="single"/>
          <w:shd w:fill="auto" w:val="clear"/>
        </w:rPr>
        <w:t xml:space="preserve">до 08:00 </w:t>
      </w:r>
      <w:r>
        <w:rPr>
          <w:u w:val="single"/>
          <w:shd w:fill="auto" w:val="clear"/>
        </w:rPr>
        <w:t>06</w:t>
      </w:r>
      <w:r>
        <w:rPr>
          <w:u w:val="single"/>
          <w:shd w:fill="auto" w:val="clear"/>
        </w:rPr>
        <w:t>.</w:t>
      </w:r>
      <w:r>
        <w:rPr>
          <w:u w:val="single"/>
          <w:shd w:fill="auto" w:val="clear"/>
        </w:rPr>
        <w:t>10</w:t>
      </w:r>
      <w:r>
        <w:rPr>
          <w:u w:val="single"/>
          <w:shd w:fill="auto" w:val="clear"/>
        </w:rPr>
        <w:t>.2026 г.</w:t>
      </w:r>
      <w:r>
        <w:rPr>
          <w:shd w:fill="auto" w:val="clear"/>
        </w:rPr>
        <w:t xml:space="preserve"> </w:t>
      </w:r>
    </w:p>
    <w:p>
      <w:pPr>
        <w:pStyle w:val="ListParagraph"/>
        <w:numPr>
          <w:ilvl w:val="0"/>
          <w:numId w:val="0"/>
        </w:numPr>
        <w:tabs>
          <w:tab w:val="clear" w:pos="708"/>
          <w:tab w:val="left" w:pos="851" w:leader="none"/>
        </w:tabs>
        <w:spacing w:lineRule="auto" w:line="276" w:before="60" w:after="60"/>
        <w:ind w:left="0" w:right="0" w:hanging="0"/>
        <w:contextualSpacing/>
        <w:jc w:val="both"/>
        <w:rPr/>
      </w:pPr>
      <w:r>
        <w:rPr/>
        <w:t xml:space="preserve">4. </w:t>
      </w:r>
      <w:r>
        <w:rPr/>
        <w:t xml:space="preserve">Предложения должны быть направлены путем загрузки на ЭТП и в виде сканированной электронной копии в адрес ответственного лица: </w:t>
      </w:r>
      <w:hyperlink r:id="rId2">
        <w:r>
          <w:rPr>
            <w:rStyle w:val="Hyperlink"/>
          </w:rPr>
          <w:t>KozlovaES@lhp.ru</w:t>
        </w:r>
      </w:hyperlink>
      <w:r>
        <w:rPr/>
        <w:t>.</w:t>
      </w:r>
    </w:p>
    <w:p>
      <w:pPr>
        <w:pStyle w:val="ListParagraph"/>
        <w:numPr>
          <w:ilvl w:val="0"/>
          <w:numId w:val="0"/>
        </w:numPr>
        <w:tabs>
          <w:tab w:val="clear" w:pos="708"/>
          <w:tab w:val="left" w:pos="851" w:leader="none"/>
        </w:tabs>
        <w:spacing w:lineRule="auto" w:line="276" w:before="60" w:after="60"/>
        <w:ind w:left="0" w:right="0" w:hanging="0"/>
        <w:contextualSpacing/>
        <w:jc w:val="both"/>
        <w:rPr/>
      </w:pPr>
      <w:r>
        <w:rPr/>
        <w:t xml:space="preserve">5. </w:t>
      </w:r>
      <w:r>
        <w:rPr/>
        <w:t>Технико-коммерческие предложения участниками мониторинга должны быть поданы в соответствии с установленными Заказчиком требованиями проведения мониторинга.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spacing w:lineRule="auto" w:line="240"/>
        <w:ind w:firstLine="540"/>
        <w:jc w:val="left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Normal"/>
        <w:spacing w:lineRule="auto" w:line="240"/>
        <w:ind w:firstLine="540"/>
        <w:jc w:val="left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Normal"/>
        <w:spacing w:lineRule="auto" w:line="240"/>
        <w:ind w:firstLine="540"/>
        <w:jc w:val="left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Normal"/>
        <w:spacing w:lineRule="auto" w:line="240"/>
        <w:ind w:firstLine="540"/>
        <w:jc w:val="left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Normal"/>
        <w:spacing w:lineRule="auto" w:line="240"/>
        <w:ind w:firstLine="540"/>
        <w:jc w:val="left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</w:r>
    </w:p>
    <w:p>
      <w:pPr>
        <w:pStyle w:val="Normal"/>
        <w:spacing w:lineRule="auto" w:line="240"/>
        <w:ind w:firstLine="540"/>
        <w:jc w:val="left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</w:r>
    </w:p>
    <w:p>
      <w:pPr>
        <w:pStyle w:val="Normal"/>
        <w:spacing w:lineRule="auto" w:line="240"/>
        <w:ind w:firstLine="540"/>
        <w:jc w:val="left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</w:r>
    </w:p>
    <w:p>
      <w:pPr>
        <w:pStyle w:val="Normal"/>
        <w:spacing w:lineRule="auto" w:line="240"/>
        <w:ind w:firstLine="540"/>
        <w:jc w:val="left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</w:r>
    </w:p>
    <w:p>
      <w:pPr>
        <w:pStyle w:val="Normal"/>
        <w:spacing w:lineRule="auto" w:line="240"/>
        <w:ind w:firstLine="540"/>
        <w:jc w:val="left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</w:r>
    </w:p>
    <w:p>
      <w:pPr>
        <w:pStyle w:val="Normal"/>
        <w:spacing w:lineRule="auto" w:line="240"/>
        <w:ind w:firstLine="540"/>
        <w:jc w:val="left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</w:r>
    </w:p>
    <w:p>
      <w:pPr>
        <w:pStyle w:val="Normal"/>
        <w:spacing w:lineRule="auto" w:line="240"/>
        <w:ind w:firstLine="540"/>
        <w:jc w:val="left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</w:r>
    </w:p>
    <w:p>
      <w:pPr>
        <w:pStyle w:val="Normal"/>
        <w:spacing w:lineRule="auto" w:line="240"/>
        <w:ind w:firstLine="540"/>
        <w:jc w:val="left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</w:r>
    </w:p>
    <w:p>
      <w:pPr>
        <w:pStyle w:val="Normal"/>
        <w:spacing w:lineRule="auto" w:line="240"/>
        <w:ind w:firstLine="540"/>
        <w:jc w:val="left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</w:r>
    </w:p>
    <w:p>
      <w:pPr>
        <w:pStyle w:val="Normal"/>
        <w:spacing w:lineRule="auto" w:line="240"/>
        <w:ind w:firstLine="540"/>
        <w:jc w:val="left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</w:r>
    </w:p>
    <w:p>
      <w:pPr>
        <w:pStyle w:val="Normal"/>
        <w:spacing w:before="0" w:after="0"/>
        <w:ind w:left="0" w:right="0" w:hanging="0"/>
        <w:contextualSpacing/>
        <w:jc w:val="center"/>
        <w:rPr>
          <w:b/>
          <w:bCs/>
        </w:rPr>
      </w:pPr>
      <w:r>
        <w:rPr>
          <w:b/>
          <w:bCs/>
          <w:color w:val="0D0D0D" w:themeColor="text1" w:themeTint="f2"/>
          <w:sz w:val="26"/>
          <w:szCs w:val="26"/>
          <w:shd w:fill="auto" w:val="clear"/>
        </w:rPr>
        <w:t xml:space="preserve">ТЕХНИЧЕСКИЕ ТРЕБОВАНИЯ </w:t>
      </w:r>
    </w:p>
    <w:p>
      <w:pPr>
        <w:pStyle w:val="Normal"/>
        <w:spacing w:lineRule="auto" w:line="240"/>
        <w:ind w:hanging="0"/>
        <w:jc w:val="center"/>
        <w:rPr>
          <w:b/>
          <w:bCs/>
        </w:rPr>
      </w:pPr>
      <w:r>
        <w:rPr>
          <w:rFonts w:eastAsia="Calibri" w:eastAsiaTheme="minorHAnsi"/>
          <w:b/>
          <w:bCs/>
          <w:shd w:fill="auto" w:val="clear"/>
        </w:rPr>
        <w:t>для проведения мониторинга рынка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widowControl/>
        <w:suppressAutoHyphens w:val="true"/>
        <w:bidi w:val="0"/>
        <w:spacing w:lineRule="auto" w:line="276" w:before="0" w:after="0"/>
        <w:ind w:left="0" w:right="0" w:hanging="0"/>
        <w:jc w:val="center"/>
        <w:rPr>
          <w:b/>
          <w:bCs/>
          <w:sz w:val="26"/>
          <w:szCs w:val="26"/>
        </w:rPr>
      </w:pPr>
      <w:r>
        <w:rPr>
          <w:rFonts w:eastAsia="Times New Roman" w:cs="Times New Roman"/>
          <w:b/>
          <w:bCs/>
          <w:i w:val="false"/>
          <w:iCs w:val="false"/>
          <w:sz w:val="26"/>
          <w:szCs w:val="26"/>
          <w:lang w:eastAsia="ru-RU"/>
        </w:rPr>
        <w:t xml:space="preserve">ОКПД2 71.12.39 </w:t>
      </w:r>
      <w:r>
        <w:rPr>
          <w:rFonts w:eastAsia="Times New Roman" w:cs="Times New Roman"/>
          <w:b/>
          <w:bCs/>
          <w:i w:val="false"/>
          <w:iCs w:val="false"/>
          <w:sz w:val="26"/>
          <w:szCs w:val="26"/>
          <w:shd w:fill="auto" w:val="clear"/>
          <w:lang w:eastAsia="ru-RU"/>
        </w:rPr>
        <w:t>Подготовка документации для внесения сведений о водных объектах в Государственный водный реестр» по объекту «Строительство Арктической ТЭС в г. Певек»</w:t>
      </w:r>
    </w:p>
    <w:p>
      <w:pPr>
        <w:pStyle w:val="Normal"/>
        <w:spacing w:lineRule="auto" w:line="240"/>
        <w:ind w:hanging="0"/>
        <w:jc w:val="left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</w:r>
    </w:p>
    <w:p>
      <w:pPr>
        <w:pStyle w:val="Normal"/>
        <w:spacing w:lineRule="auto" w:line="240"/>
        <w:ind w:firstLine="540"/>
        <w:jc w:val="left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Normal"/>
        <w:spacing w:lineRule="auto" w:line="240"/>
        <w:ind w:firstLine="540"/>
        <w:jc w:val="left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Normal"/>
        <w:spacing w:lineRule="auto" w:line="240"/>
        <w:ind w:firstLine="540"/>
        <w:jc w:val="left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Normal"/>
        <w:spacing w:lineRule="auto" w:line="240"/>
        <w:ind w:firstLine="540"/>
        <w:jc w:val="left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Normal"/>
        <w:spacing w:lineRule="auto" w:line="240"/>
        <w:ind w:firstLine="540"/>
        <w:jc w:val="left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Normal"/>
        <w:spacing w:lineRule="auto" w:line="240"/>
        <w:ind w:firstLine="540"/>
        <w:jc w:val="left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Normal"/>
        <w:spacing w:lineRule="auto" w:line="240"/>
        <w:ind w:firstLine="540"/>
        <w:jc w:val="left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Normal"/>
        <w:spacing w:lineRule="auto" w:line="240"/>
        <w:ind w:hanging="0"/>
        <w:jc w:val="left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Normal"/>
        <w:spacing w:lineRule="auto" w:line="240"/>
        <w:ind w:firstLine="540"/>
        <w:jc w:val="left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Normal"/>
        <w:spacing w:lineRule="auto" w:line="240"/>
        <w:ind w:firstLine="540"/>
        <w:jc w:val="left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Normal"/>
        <w:spacing w:lineRule="auto" w:line="240"/>
        <w:ind w:firstLine="540"/>
        <w:jc w:val="left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Normal"/>
        <w:spacing w:lineRule="auto" w:line="240"/>
        <w:ind w:hanging="0"/>
        <w:jc w:val="center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  <w:r>
        <w:br w:type="page"/>
      </w:r>
    </w:p>
    <w:p>
      <w:pPr>
        <w:pStyle w:val="Normal"/>
        <w:ind w:hanging="0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426"/>
              <w:tab w:val="clear" w:pos="9666"/>
              <w:tab w:val="right" w:pos="9678" w:leader="dot"/>
            </w:tabs>
            <w:rPr/>
          </w:pPr>
          <w:r>
            <w:fldChar w:fldCharType="begin"/>
          </w:r>
          <w:r>
            <w:rPr>
              <w:webHidden/>
              <w:rStyle w:val="Style21"/>
            </w:rPr>
            <w:instrText xml:space="preserve"> TOC \z \o "1-4" \u \h</w:instrText>
          </w:r>
          <w:r>
            <w:rPr>
              <w:webHidden/>
              <w:rStyle w:val="Style21"/>
            </w:rPr>
            <w:fldChar w:fldCharType="separate"/>
          </w:r>
          <w:hyperlink w:anchor="__RefHeading___Toc7243_2220088035">
            <w:r>
              <w:rPr>
                <w:webHidden/>
                <w:rStyle w:val="Style21"/>
              </w:rPr>
              <w:t>1. Общие сведения</w:t>
              <w:tab/>
              <w:t>4</w:t>
            </w:r>
          </w:hyperlink>
        </w:p>
        <w:p>
          <w:pPr>
            <w:pStyle w:val="TOC4"/>
            <w:tabs>
              <w:tab w:val="clear" w:pos="708"/>
              <w:tab w:val="right" w:pos="9678" w:leader="dot"/>
            </w:tabs>
            <w:rPr/>
          </w:pPr>
          <w:hyperlink w:anchor="__RefHeading___Toc7245_2220088035">
            <w:r>
              <w:rPr>
                <w:webHidden/>
                <w:rStyle w:val="Style21"/>
              </w:rPr>
              <w:t>1.1. Обозначения и сокращения</w:t>
              <w:tab/>
              <w:t>4</w:t>
            </w:r>
          </w:hyperlink>
        </w:p>
        <w:p>
          <w:pPr>
            <w:pStyle w:val="TOC4"/>
            <w:tabs>
              <w:tab w:val="clear" w:pos="708"/>
              <w:tab w:val="right" w:pos="9678" w:leader="dot"/>
            </w:tabs>
            <w:rPr/>
          </w:pPr>
          <w:hyperlink w:anchor="__RefHeading___Toc11731_1558918511">
            <w:r>
              <w:rPr>
                <w:webHidden/>
                <w:rStyle w:val="Style21"/>
              </w:rPr>
              <w:t>1.2. Наименование закупаемой продукции</w:t>
              <w:tab/>
              <w:t>5</w:t>
            </w:r>
          </w:hyperlink>
        </w:p>
        <w:p>
          <w:pPr>
            <w:pStyle w:val="TOC4"/>
            <w:tabs>
              <w:tab w:val="clear" w:pos="708"/>
              <w:tab w:val="right" w:pos="9678" w:leader="dot"/>
            </w:tabs>
            <w:rPr/>
          </w:pPr>
          <w:hyperlink w:anchor="__RefHeading___Toc7249_2220088035">
            <w:r>
              <w:rPr>
                <w:webHidden/>
                <w:rStyle w:val="Style21"/>
              </w:rPr>
              <w:t>1.3. Цель выполнения работ</w:t>
              <w:tab/>
              <w:t>5</w:t>
            </w:r>
          </w:hyperlink>
        </w:p>
        <w:p>
          <w:pPr>
            <w:pStyle w:val="TOC4"/>
            <w:tabs>
              <w:tab w:val="clear" w:pos="708"/>
              <w:tab w:val="right" w:pos="9678" w:leader="dot"/>
            </w:tabs>
            <w:rPr/>
          </w:pPr>
          <w:hyperlink w:anchor="__RefHeading___Toc7251_2220088035">
            <w:r>
              <w:rPr>
                <w:webHidden/>
                <w:rStyle w:val="Style21"/>
              </w:rPr>
              <w:t>1.4. Идентификация проектируемого объекта</w:t>
              <w:tab/>
              <w:t>5</w:t>
            </w:r>
          </w:hyperlink>
        </w:p>
        <w:p>
          <w:pPr>
            <w:pStyle w:val="TOC1"/>
            <w:tabs>
              <w:tab w:val="clear" w:pos="426"/>
              <w:tab w:val="clear" w:pos="9666"/>
              <w:tab w:val="right" w:pos="9678" w:leader="dot"/>
            </w:tabs>
            <w:rPr/>
          </w:pPr>
          <w:hyperlink w:anchor="__RefHeading___Toc7253_2220088035">
            <w:r>
              <w:rPr>
                <w:webHidden/>
                <w:rStyle w:val="Style21"/>
              </w:rPr>
              <w:t>Таблица 1. Перечень объектов Заказчика</w:t>
              <w:tab/>
              <w:t>5</w:t>
            </w:r>
          </w:hyperlink>
        </w:p>
        <w:p>
          <w:pPr>
            <w:pStyle w:val="TOC4"/>
            <w:tabs>
              <w:tab w:val="clear" w:pos="708"/>
              <w:tab w:val="right" w:pos="9678" w:leader="dot"/>
            </w:tabs>
            <w:rPr/>
          </w:pPr>
          <w:hyperlink w:anchor="__RefHeading___Toc7255_2220088035">
            <w:r>
              <w:rPr>
                <w:webHidden/>
                <w:rStyle w:val="Style21"/>
              </w:rPr>
              <w:t>1.5. Вид строительства</w:t>
              <w:tab/>
              <w:t>5</w:t>
            </w:r>
          </w:hyperlink>
        </w:p>
        <w:p>
          <w:pPr>
            <w:pStyle w:val="TOC4"/>
            <w:tabs>
              <w:tab w:val="clear" w:pos="708"/>
              <w:tab w:val="right" w:pos="9678" w:leader="dot"/>
            </w:tabs>
            <w:rPr/>
          </w:pPr>
          <w:hyperlink w:anchor="__RefHeading___Toc20885_4073649210_%D0%9A%D0%BE%D0%BF%D0%B8%D1%8F">
            <w:r>
              <w:rPr>
                <w:webHidden/>
                <w:rStyle w:val="Style21"/>
              </w:rPr>
              <w:t>1.6. Стадия проектирования</w:t>
              <w:tab/>
              <w:t>5</w:t>
            </w:r>
          </w:hyperlink>
        </w:p>
        <w:p>
          <w:pPr>
            <w:pStyle w:val="TOC4"/>
            <w:tabs>
              <w:tab w:val="clear" w:pos="708"/>
              <w:tab w:val="right" w:pos="9678" w:leader="dot"/>
            </w:tabs>
            <w:rPr/>
          </w:pPr>
          <w:hyperlink w:anchor="__RefHeading___Toc19223_463198939">
            <w:r>
              <w:rPr>
                <w:webHidden/>
                <w:rStyle w:val="Style21"/>
                <w:i w:val="false"/>
                <w:iCs w:val="false"/>
              </w:rPr>
              <w:t>1.</w:t>
            </w:r>
            <w:r>
              <w:rPr>
                <w:rStyle w:val="Style21"/>
                <w:i w:val="false"/>
                <w:iCs w:val="false"/>
              </w:rPr>
              <w:t>7</w:t>
            </w:r>
            <w:r>
              <w:rPr>
                <w:rStyle w:val="Style21"/>
                <w:i w:val="false"/>
                <w:iCs w:val="false"/>
              </w:rPr>
              <w:t>. Общие требования при проведении мониторинга цен</w:t>
            </w:r>
            <w:r>
              <w:rPr>
                <w:rStyle w:val="Style21"/>
              </w:rPr>
              <w:tab/>
              <w:t>5</w:t>
            </w:r>
          </w:hyperlink>
        </w:p>
        <w:p>
          <w:pPr>
            <w:pStyle w:val="TOC1"/>
            <w:tabs>
              <w:tab w:val="clear" w:pos="426"/>
              <w:tab w:val="clear" w:pos="9666"/>
              <w:tab w:val="right" w:pos="9678" w:leader="dot"/>
            </w:tabs>
            <w:rPr/>
          </w:pPr>
          <w:hyperlink w:anchor="__RefHeading___Toc7257_2220088035">
            <w:r>
              <w:rPr>
                <w:webHidden/>
                <w:rStyle w:val="Style21"/>
              </w:rPr>
              <w:t>2. Требования к продукции</w:t>
              <w:tab/>
              <w:t>6</w:t>
            </w:r>
          </w:hyperlink>
        </w:p>
        <w:p>
          <w:pPr>
            <w:pStyle w:val="TOC4"/>
            <w:tabs>
              <w:tab w:val="clear" w:pos="708"/>
              <w:tab w:val="right" w:pos="9678" w:leader="dot"/>
            </w:tabs>
            <w:rPr/>
          </w:pPr>
          <w:hyperlink w:anchor="__RefHeading___Toc7259_2220088035">
            <w:r>
              <w:rPr>
                <w:webHidden/>
                <w:rStyle w:val="Style21"/>
              </w:rPr>
              <w:t>2.1. Требования к объемам и срокам выполнения работ</w:t>
              <w:tab/>
              <w:t>6</w:t>
            </w:r>
          </w:hyperlink>
        </w:p>
        <w:p>
          <w:pPr>
            <w:pStyle w:val="TOC3"/>
            <w:tabs>
              <w:tab w:val="clear" w:pos="708"/>
              <w:tab w:val="right" w:pos="9678" w:leader="dot"/>
            </w:tabs>
            <w:rPr/>
          </w:pPr>
          <w:hyperlink w:anchor="__RefHeading___Toc7261_2220088035">
            <w:r>
              <w:rPr>
                <w:webHidden/>
                <w:rStyle w:val="Style21"/>
              </w:rPr>
              <w:t>2.1.1. Требования к перечню и объему работ</w:t>
              <w:tab/>
              <w:t>6</w:t>
            </w:r>
          </w:hyperlink>
        </w:p>
        <w:p>
          <w:pPr>
            <w:pStyle w:val="TOC1"/>
            <w:tabs>
              <w:tab w:val="clear" w:pos="426"/>
              <w:tab w:val="clear" w:pos="9666"/>
              <w:tab w:val="right" w:pos="9678" w:leader="dot"/>
            </w:tabs>
            <w:rPr/>
          </w:pPr>
          <w:hyperlink w:anchor="__RefHeading___Toc7263_2220088035">
            <w:r>
              <w:rPr>
                <w:webHidden/>
                <w:rStyle w:val="Style21"/>
              </w:rPr>
              <w:t>Таблица 2. Перечень и объем выполняемых работ</w:t>
              <w:tab/>
              <w:t>6</w:t>
            </w:r>
          </w:hyperlink>
        </w:p>
        <w:p>
          <w:pPr>
            <w:pStyle w:val="TOC3"/>
            <w:tabs>
              <w:tab w:val="clear" w:pos="708"/>
              <w:tab w:val="right" w:pos="9678" w:leader="dot"/>
            </w:tabs>
            <w:rPr/>
          </w:pPr>
          <w:hyperlink w:anchor="__RefHeading___Toc7265_2220088035">
            <w:r>
              <w:rPr>
                <w:webHidden/>
                <w:rStyle w:val="Style21"/>
              </w:rPr>
              <w:t>2.1.2. Требования к срокам выполнения работ</w:t>
              <w:tab/>
              <w:t>6</w:t>
            </w:r>
          </w:hyperlink>
        </w:p>
        <w:p>
          <w:pPr>
            <w:pStyle w:val="TOC1"/>
            <w:tabs>
              <w:tab w:val="clear" w:pos="426"/>
              <w:tab w:val="clear" w:pos="9666"/>
              <w:tab w:val="right" w:pos="9678" w:leader="dot"/>
            </w:tabs>
            <w:rPr/>
          </w:pPr>
          <w:hyperlink w:anchor="__RefHeading___Toc7267_2220088035">
            <w:r>
              <w:rPr>
                <w:webHidden/>
                <w:rStyle w:val="Style21"/>
              </w:rPr>
              <w:t>Таблица 3. Требования к срокам выполнения работ</w:t>
              <w:tab/>
              <w:t>6</w:t>
            </w:r>
          </w:hyperlink>
        </w:p>
        <w:p>
          <w:pPr>
            <w:pStyle w:val="TOC4"/>
            <w:tabs>
              <w:tab w:val="clear" w:pos="708"/>
              <w:tab w:val="right" w:pos="9678" w:leader="dot"/>
            </w:tabs>
            <w:rPr/>
          </w:pPr>
          <w:hyperlink w:anchor="__RefHeading___Toc7269_2220088035">
            <w:r>
              <w:rPr>
                <w:webHidden/>
                <w:rStyle w:val="Style21"/>
              </w:rPr>
              <w:t>2.2. Требования к качеству продукции</w:t>
              <w:tab/>
              <w:t>7</w:t>
            </w:r>
          </w:hyperlink>
        </w:p>
        <w:p>
          <w:pPr>
            <w:pStyle w:val="TOC1"/>
            <w:tabs>
              <w:tab w:val="clear" w:pos="426"/>
              <w:tab w:val="clear" w:pos="9666"/>
              <w:tab w:val="right" w:pos="9678" w:leader="dot"/>
            </w:tabs>
            <w:rPr/>
          </w:pPr>
          <w:hyperlink w:anchor="__RefHeading___Toc7271_2220088035">
            <w:r>
              <w:rPr>
                <w:webHidden/>
                <w:rStyle w:val="Style21"/>
              </w:rPr>
              <w:t>Таблица 4. Требования к качеству продукции</w:t>
              <w:tab/>
              <w:t>7</w:t>
            </w:r>
          </w:hyperlink>
        </w:p>
        <w:p>
          <w:pPr>
            <w:pStyle w:val="TOC1"/>
            <w:tabs>
              <w:tab w:val="clear" w:pos="426"/>
              <w:tab w:val="clear" w:pos="9666"/>
              <w:tab w:val="right" w:pos="9678" w:leader="dot"/>
            </w:tabs>
            <w:rPr/>
          </w:pPr>
          <w:hyperlink w:anchor="__RefHeading___Toc12008_3645919304">
            <w:r>
              <w:rPr>
                <w:webHidden/>
                <w:rStyle w:val="Style21"/>
              </w:rPr>
              <w:t>3. Состав заявки для мониторинга цен</w:t>
              <w:tab/>
              <w:t>10</w:t>
            </w:r>
          </w:hyperlink>
        </w:p>
        <w:p>
          <w:pPr>
            <w:pStyle w:val="TOC1"/>
            <w:tabs>
              <w:tab w:val="clear" w:pos="426"/>
              <w:tab w:val="clear" w:pos="9666"/>
              <w:tab w:val="right" w:pos="9678" w:leader="dot"/>
            </w:tabs>
            <w:rPr/>
          </w:pPr>
          <w:hyperlink w:anchor="__RefHeading___Toc9021_2986068082">
            <w:r>
              <w:rPr>
                <w:webHidden/>
                <w:rStyle w:val="Style21"/>
              </w:rPr>
              <w:t>4. Приложения</w:t>
              <w:tab/>
              <w:t>10</w:t>
            </w:r>
          </w:hyperlink>
          <w:r>
            <w:rPr>
              <w:rStyle w:val="Style21"/>
            </w:rPr>
            <w:fldChar w:fldCharType="end"/>
          </w:r>
        </w:p>
      </w:sdtContent>
    </w:sdt>
    <w:p>
      <w:pPr>
        <w:pStyle w:val="TOC1"/>
        <w:tabs>
          <w:tab w:val="clear" w:pos="426"/>
          <w:tab w:val="clear" w:pos="9666"/>
          <w:tab w:val="right" w:pos="9678" w:leader="dot"/>
        </w:tabs>
        <w:rPr/>
      </w:pPr>
      <w:r>
        <w:rPr/>
      </w:r>
    </w:p>
    <w:p>
      <w:pPr>
        <w:pStyle w:val="Normal"/>
        <w:spacing w:lineRule="auto" w:line="240"/>
        <w:ind w:hanging="0"/>
        <w:jc w:val="center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Normal"/>
        <w:spacing w:lineRule="auto" w:line="240"/>
        <w:ind w:hanging="0"/>
        <w:jc w:val="center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Normal"/>
        <w:spacing w:lineRule="auto" w:line="240"/>
        <w:ind w:hanging="0"/>
        <w:jc w:val="center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Normal"/>
        <w:spacing w:lineRule="auto" w:line="240"/>
        <w:ind w:hanging="0"/>
        <w:jc w:val="center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Normal"/>
        <w:spacing w:lineRule="auto" w:line="240"/>
        <w:ind w:hanging="0"/>
        <w:jc w:val="center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Normal"/>
        <w:spacing w:lineRule="auto" w:line="240"/>
        <w:ind w:hanging="0"/>
        <w:jc w:val="center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Normal"/>
        <w:spacing w:lineRule="auto" w:line="240"/>
        <w:ind w:hanging="0"/>
        <w:jc w:val="center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Normal"/>
        <w:spacing w:lineRule="auto" w:line="240"/>
        <w:ind w:hanging="0"/>
        <w:jc w:val="center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Normal"/>
        <w:spacing w:lineRule="auto" w:line="240"/>
        <w:ind w:hanging="0"/>
        <w:jc w:val="center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Normal"/>
        <w:spacing w:lineRule="auto" w:line="240"/>
        <w:ind w:hanging="0"/>
        <w:jc w:val="center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Normal"/>
        <w:spacing w:lineRule="auto" w:line="240"/>
        <w:ind w:hanging="0"/>
        <w:jc w:val="center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Normal"/>
        <w:spacing w:lineRule="auto" w:line="240"/>
        <w:ind w:hanging="0"/>
        <w:jc w:val="center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Normal"/>
        <w:spacing w:lineRule="auto" w:line="240"/>
        <w:ind w:hanging="0"/>
        <w:jc w:val="center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Normal"/>
        <w:spacing w:lineRule="auto" w:line="240"/>
        <w:ind w:hanging="0"/>
        <w:jc w:val="center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Normal"/>
        <w:spacing w:lineRule="auto" w:line="240"/>
        <w:ind w:hanging="0"/>
        <w:jc w:val="center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Normal"/>
        <w:spacing w:lineRule="auto" w:line="240"/>
        <w:ind w:hanging="0"/>
        <w:jc w:val="center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Normal"/>
        <w:spacing w:lineRule="auto" w:line="240"/>
        <w:ind w:hanging="0"/>
        <w:jc w:val="center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Normal"/>
        <w:spacing w:lineRule="auto" w:line="240"/>
        <w:ind w:hanging="0"/>
        <w:jc w:val="center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Normal"/>
        <w:spacing w:lineRule="auto" w:line="240"/>
        <w:ind w:hanging="0"/>
        <w:jc w:val="center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Heading1"/>
        <w:numPr>
          <w:ilvl w:val="0"/>
          <w:numId w:val="1"/>
        </w:numPr>
        <w:spacing w:before="240" w:after="60"/>
        <w:rPr>
          <w:rFonts w:eastAsia="Calibri"/>
          <w:sz w:val="28"/>
          <w:szCs w:val="28"/>
        </w:rPr>
      </w:pPr>
      <w:bookmarkStart w:id="0" w:name="__RefHeading___Toc7243_2220088035"/>
      <w:bookmarkStart w:id="1" w:name="_Toc51339692"/>
      <w:bookmarkStart w:id="2" w:name="_Toc217484640"/>
      <w:bookmarkStart w:id="3" w:name="_Toc54646395"/>
      <w:bookmarkStart w:id="4" w:name="_Toc240301999"/>
      <w:bookmarkEnd w:id="0"/>
      <w:r>
        <w:rPr>
          <w:rFonts w:eastAsia="Calibri"/>
          <w:sz w:val="28"/>
          <w:szCs w:val="28"/>
        </w:rPr>
        <w:t>Общие сведения</w:t>
      </w:r>
      <w:bookmarkEnd w:id="1"/>
      <w:bookmarkEnd w:id="2"/>
      <w:bookmarkEnd w:id="3"/>
      <w:bookmarkEnd w:id="4"/>
    </w:p>
    <w:p>
      <w:pPr>
        <w:pStyle w:val="Heading4"/>
        <w:numPr>
          <w:ilvl w:val="1"/>
          <w:numId w:val="1"/>
        </w:numPr>
        <w:ind w:left="0" w:hanging="0"/>
        <w:rPr/>
      </w:pPr>
      <w:bookmarkStart w:id="5" w:name="__RefHeading___Toc7245_2220088035"/>
      <w:bookmarkStart w:id="6" w:name="_Toc217484641"/>
      <w:bookmarkStart w:id="7" w:name="_Toc54646396"/>
      <w:bookmarkStart w:id="8" w:name="_Toc46743505"/>
      <w:bookmarkStart w:id="9" w:name="_Toc240302000"/>
      <w:bookmarkEnd w:id="5"/>
      <w:r>
        <w:rPr>
          <w:rFonts w:eastAsia="Calibri"/>
          <w:sz w:val="24"/>
          <w:szCs w:val="24"/>
        </w:rPr>
        <w:t>Обозначения и сокращения</w:t>
      </w:r>
      <w:bookmarkEnd w:id="6"/>
      <w:bookmarkEnd w:id="7"/>
      <w:bookmarkEnd w:id="8"/>
      <w:bookmarkEnd w:id="9"/>
    </w:p>
    <w:tbl>
      <w:tblPr>
        <w:tblW w:w="9809" w:type="dxa"/>
        <w:jc w:val="left"/>
        <w:tblInd w:w="184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val="01e0" w:noHBand="0" w:noVBand="0" w:firstColumn="1" w:lastRow="1" w:lastColumn="1" w:firstRow="1"/>
      </w:tblPr>
      <w:tblGrid>
        <w:gridCol w:w="1559"/>
        <w:gridCol w:w="8249"/>
      </w:tblGrid>
      <w:tr>
        <w:trPr>
          <w:trHeight w:val="366" w:hRule="atLeast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/>
              <w:ind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ГОСТ</w:t>
            </w:r>
          </w:p>
        </w:tc>
        <w:tc>
          <w:tcPr>
            <w:tcW w:w="8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/>
              <w:ind w:hanging="0"/>
              <w:jc w:val="left"/>
              <w:rPr/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Г</w:t>
            </w:r>
            <w:r>
              <w:rPr>
                <w:rStyle w:val="Strong1"/>
                <w:rFonts w:eastAsia="Times New Roman"/>
                <w:b w:val="false"/>
                <w:bCs w:val="false"/>
                <w:sz w:val="24"/>
                <w:szCs w:val="24"/>
                <w:lang w:eastAsia="ru-RU"/>
              </w:rPr>
              <w:t>осударственный стандарт</w:t>
            </w:r>
          </w:p>
        </w:tc>
      </w:tr>
      <w:tr>
        <w:trPr>
          <w:trHeight w:val="366" w:hRule="atLeast"/>
        </w:trPr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/>
              <w:ind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Заказчик</w:t>
            </w:r>
          </w:p>
        </w:tc>
        <w:tc>
          <w:tcPr>
            <w:tcW w:w="82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/>
              <w:ind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АО «Ленгидропроект»</w:t>
            </w:r>
          </w:p>
        </w:tc>
      </w:tr>
      <w:tr>
        <w:trPr>
          <w:trHeight w:val="366" w:hRule="atLeast"/>
        </w:trPr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/>
              <w:ind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НТД</w:t>
            </w:r>
          </w:p>
        </w:tc>
        <w:tc>
          <w:tcPr>
            <w:tcW w:w="82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/>
              <w:ind w:hanging="0"/>
              <w:jc w:val="left"/>
              <w:rPr/>
            </w:pPr>
            <w:r>
              <w:rPr>
                <w:rStyle w:val="Strong1"/>
                <w:rFonts w:eastAsia="Times New Roman"/>
                <w:b w:val="false"/>
                <w:bCs w:val="false"/>
                <w:sz w:val="24"/>
                <w:szCs w:val="24"/>
                <w:lang w:eastAsia="ru-RU"/>
              </w:rPr>
              <w:t>Нормативно-техническая документация</w:t>
            </w:r>
          </w:p>
        </w:tc>
      </w:tr>
      <w:tr>
        <w:trPr>
          <w:trHeight w:val="366" w:hRule="atLeast"/>
        </w:trPr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/>
              <w:ind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ОСР</w:t>
            </w:r>
          </w:p>
        </w:tc>
        <w:tc>
          <w:tcPr>
            <w:tcW w:w="82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/>
              <w:ind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Общее сейсмическое районирование</w:t>
            </w:r>
          </w:p>
        </w:tc>
      </w:tr>
      <w:tr>
        <w:trPr>
          <w:trHeight w:val="366" w:hRule="atLeast"/>
        </w:trPr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/>
              <w:ind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РФ</w:t>
            </w:r>
          </w:p>
        </w:tc>
        <w:tc>
          <w:tcPr>
            <w:tcW w:w="82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/>
              <w:ind w:hanging="0"/>
              <w:jc w:val="left"/>
              <w:rPr/>
            </w:pPr>
            <w:r>
              <w:rPr>
                <w:rStyle w:val="Strong1"/>
                <w:rFonts w:eastAsia="Times New Roman"/>
                <w:b w:val="false"/>
                <w:bCs w:val="false"/>
                <w:sz w:val="24"/>
                <w:szCs w:val="24"/>
                <w:lang w:eastAsia="ru-RU"/>
              </w:rPr>
              <w:t>Российская Федерация</w:t>
            </w:r>
          </w:p>
        </w:tc>
      </w:tr>
      <w:tr>
        <w:trPr>
          <w:trHeight w:val="366" w:hRule="atLeast"/>
        </w:trPr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/>
              <w:ind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</w:t>
            </w:r>
          </w:p>
        </w:tc>
        <w:tc>
          <w:tcPr>
            <w:tcW w:w="82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/>
              <w:ind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Свод правил</w:t>
            </w:r>
          </w:p>
        </w:tc>
      </w:tr>
      <w:tr>
        <w:trPr>
          <w:trHeight w:val="366" w:hRule="atLeast"/>
        </w:trPr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/>
              <w:ind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ТТ</w:t>
            </w:r>
          </w:p>
        </w:tc>
        <w:tc>
          <w:tcPr>
            <w:tcW w:w="82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/>
              <w:ind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Технические требования</w:t>
            </w:r>
          </w:p>
        </w:tc>
      </w:tr>
      <w:tr>
        <w:trPr>
          <w:trHeight w:val="366" w:hRule="atLeast"/>
        </w:trPr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/>
              <w:ind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ТЭК</w:t>
            </w:r>
          </w:p>
        </w:tc>
        <w:tc>
          <w:tcPr>
            <w:tcW w:w="82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/>
              <w:ind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Топливно-энергетический комплекс</w:t>
            </w:r>
          </w:p>
        </w:tc>
      </w:tr>
      <w:tr>
        <w:trPr>
          <w:trHeight w:val="366" w:hRule="atLeast"/>
        </w:trPr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/>
              <w:ind w:hanging="0"/>
              <w:jc w:val="left"/>
              <w:rPr/>
            </w:pPr>
            <w:r>
              <w:rPr>
                <w:rStyle w:val="Strong1"/>
                <w:rFonts w:eastAsia="Times New Roman"/>
                <w:b w:val="false"/>
                <w:bCs w:val="false"/>
                <w:sz w:val="24"/>
                <w:szCs w:val="24"/>
                <w:lang w:eastAsia="ru-RU"/>
              </w:rPr>
              <w:t>ТЭС</w:t>
            </w:r>
          </w:p>
        </w:tc>
        <w:tc>
          <w:tcPr>
            <w:tcW w:w="82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/>
              <w:ind w:hanging="0"/>
              <w:jc w:val="left"/>
              <w:rPr/>
            </w:pPr>
            <w:r>
              <w:rPr>
                <w:rStyle w:val="Strong1"/>
                <w:rFonts w:eastAsia="Times New Roman"/>
                <w:b w:val="false"/>
                <w:bCs w:val="false"/>
                <w:sz w:val="24"/>
                <w:szCs w:val="24"/>
                <w:lang w:eastAsia="ru-RU"/>
              </w:rPr>
              <w:t>Тепловая электростанция</w:t>
            </w:r>
          </w:p>
        </w:tc>
      </w:tr>
    </w:tbl>
    <w:p>
      <w:pPr>
        <w:pStyle w:val="Normal"/>
        <w:ind w:hanging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Normal"/>
        <w:ind w:hanging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Normal"/>
        <w:ind w:hanging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Normal"/>
        <w:ind w:hanging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Normal"/>
        <w:ind w:hanging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Normal"/>
        <w:ind w:hanging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Normal"/>
        <w:ind w:hanging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Normal"/>
        <w:ind w:hanging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Normal"/>
        <w:ind w:hanging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Normal"/>
        <w:ind w:hanging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Normal"/>
        <w:ind w:hanging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Normal"/>
        <w:ind w:hanging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Normal"/>
        <w:ind w:hanging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Normal"/>
        <w:ind w:hanging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Normal"/>
        <w:ind w:hanging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Normal"/>
        <w:ind w:hanging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Normal"/>
        <w:ind w:hanging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Normal"/>
        <w:ind w:hanging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Normal"/>
        <w:ind w:hanging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Normal"/>
        <w:ind w:hanging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Normal"/>
        <w:ind w:hanging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Normal"/>
        <w:ind w:hanging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Normal"/>
        <w:ind w:hanging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Normal"/>
        <w:ind w:hanging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Heading4"/>
        <w:numPr>
          <w:ilvl w:val="1"/>
          <w:numId w:val="1"/>
        </w:numPr>
        <w:spacing w:before="0" w:after="62"/>
        <w:ind w:left="0" w:hanging="0"/>
        <w:rPr/>
      </w:pPr>
      <w:bookmarkStart w:id="10" w:name="__RefHeading___Toc11731_1558918511"/>
      <w:bookmarkStart w:id="11" w:name="_Toc54646397"/>
      <w:bookmarkStart w:id="12" w:name="_Toc217484642"/>
      <w:bookmarkStart w:id="13" w:name="_Toc240302001"/>
      <w:bookmarkEnd w:id="10"/>
      <w:r>
        <w:rPr>
          <w:rFonts w:eastAsia="Calibri"/>
          <w:sz w:val="24"/>
          <w:szCs w:val="24"/>
        </w:rPr>
        <w:t>Наименование закупаемой продукции</w:t>
      </w:r>
      <w:bookmarkEnd w:id="11"/>
      <w:bookmarkEnd w:id="12"/>
      <w:bookmarkEnd w:id="13"/>
    </w:p>
    <w:p>
      <w:pPr>
        <w:pStyle w:val="BodyText"/>
        <w:jc w:val="both"/>
        <w:rPr/>
      </w:pPr>
      <w:bookmarkStart w:id="14" w:name="__RefHeading___Toc11733_1558918511"/>
      <w:bookmarkEnd w:id="14"/>
      <w:r>
        <w:rPr>
          <w:sz w:val="24"/>
          <w:szCs w:val="24"/>
        </w:rPr>
        <w:t>ОКПД2 71.12.39</w:t>
      </w:r>
      <w:r>
        <w:rPr>
          <w:sz w:val="24"/>
          <w:szCs w:val="24"/>
          <w:lang w:eastAsia="ru-RU"/>
        </w:rPr>
        <w:t xml:space="preserve"> Подготовка документации для внесения сведений о водных объектах в Государственный водный реестр» по объекту «Строительство Арктической ТЭС в г. Певек»</w:t>
      </w:r>
    </w:p>
    <w:p>
      <w:pPr>
        <w:pStyle w:val="Heading4"/>
        <w:numPr>
          <w:ilvl w:val="1"/>
          <w:numId w:val="1"/>
        </w:numPr>
        <w:ind w:left="0" w:hanging="0"/>
        <w:jc w:val="both"/>
        <w:rPr>
          <w:sz w:val="24"/>
          <w:szCs w:val="24"/>
        </w:rPr>
      </w:pPr>
      <w:bookmarkStart w:id="15" w:name="__RefHeading___Toc7249_2220088035"/>
      <w:bookmarkStart w:id="16" w:name="_Toc240302002"/>
      <w:bookmarkStart w:id="17" w:name="_Toc46743507"/>
      <w:bookmarkStart w:id="18" w:name="_Toc217484643"/>
      <w:bookmarkStart w:id="19" w:name="_Toc54646398"/>
      <w:bookmarkEnd w:id="15"/>
      <w:r>
        <w:rPr>
          <w:rFonts w:eastAsia="Calibri"/>
          <w:sz w:val="24"/>
          <w:szCs w:val="24"/>
        </w:rPr>
        <w:t>Цель</w:t>
      </w:r>
      <w:bookmarkEnd w:id="17"/>
      <w:bookmarkEnd w:id="18"/>
      <w:bookmarkEnd w:id="19"/>
      <w:r>
        <w:rPr>
          <w:rFonts w:eastAsia="Calibri"/>
          <w:sz w:val="24"/>
          <w:szCs w:val="24"/>
        </w:rPr>
        <w:t xml:space="preserve"> выполнения работ</w:t>
      </w:r>
      <w:bookmarkEnd w:id="16"/>
      <w:r>
        <w:rPr>
          <w:rFonts w:eastAsia="Calibri"/>
          <w:sz w:val="24"/>
          <w:szCs w:val="24"/>
          <w:lang w:val="ru-RU"/>
        </w:rPr>
        <w:t xml:space="preserve"> </w:t>
      </w:r>
    </w:p>
    <w:p>
      <w:pPr>
        <w:pStyle w:val="Normal"/>
        <w:shd w:val="clear" w:color="auto" w:fill="FFFFFF"/>
        <w:ind w:hanging="0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  <w:lang w:eastAsia="ru-RU"/>
        </w:rPr>
        <w:t xml:space="preserve">Включение поверхностных водных объектов (ручьев) в государственный водный реестр для получения решения </w:t>
      </w:r>
      <w:r>
        <w:rPr>
          <w:sz w:val="24"/>
          <w:szCs w:val="24"/>
        </w:rPr>
        <w:t>о предоставлении водных объектов в пользование для планируемой деятельности (переустройство русла и дна) от органов государственной власти субъекта РФ.</w:t>
      </w:r>
    </w:p>
    <w:p>
      <w:pPr>
        <w:pStyle w:val="Heading4"/>
        <w:numPr>
          <w:ilvl w:val="1"/>
          <w:numId w:val="1"/>
        </w:numPr>
        <w:ind w:left="0" w:hanging="0"/>
        <w:rPr>
          <w:sz w:val="24"/>
          <w:szCs w:val="24"/>
        </w:rPr>
      </w:pPr>
      <w:bookmarkStart w:id="20" w:name="__RefHeading___Toc7251_2220088035"/>
      <w:bookmarkStart w:id="21" w:name="_Toc240302003"/>
      <w:bookmarkEnd w:id="20"/>
      <w:r>
        <w:rPr>
          <w:rFonts w:eastAsia="Calibri"/>
          <w:sz w:val="24"/>
          <w:szCs w:val="24"/>
          <w:lang w:val="ru-RU"/>
        </w:rPr>
        <w:t>Идентификация проектируемого объекта</w:t>
      </w:r>
      <w:bookmarkEnd w:id="21"/>
    </w:p>
    <w:p>
      <w:pPr>
        <w:pStyle w:val="BodyText"/>
        <w:tabs>
          <w:tab w:val="clear" w:pos="708"/>
          <w:tab w:val="left" w:pos="142" w:leader="none"/>
          <w:tab w:val="left" w:pos="567" w:leader="none"/>
        </w:tabs>
        <w:jc w:val="both"/>
        <w:rPr>
          <w:sz w:val="24"/>
          <w:szCs w:val="24"/>
        </w:rPr>
      </w:pPr>
      <w:r>
        <w:rPr>
          <w:sz w:val="24"/>
          <w:szCs w:val="24"/>
          <w:lang w:val="ru-RU"/>
        </w:rPr>
        <w:t>Тепловая электростанция относится к объектам электроэнергетики.</w:t>
      </w:r>
    </w:p>
    <w:p>
      <w:pPr>
        <w:pStyle w:val="BodyText"/>
        <w:tabs>
          <w:tab w:val="clear" w:pos="708"/>
          <w:tab w:val="left" w:pos="142" w:leader="none"/>
          <w:tab w:val="left" w:pos="567" w:leader="none"/>
        </w:tabs>
        <w:jc w:val="both"/>
        <w:rPr>
          <w:sz w:val="24"/>
          <w:szCs w:val="24"/>
        </w:rPr>
      </w:pPr>
      <w:r>
        <w:rPr>
          <w:sz w:val="24"/>
          <w:szCs w:val="24"/>
          <w:lang w:val="ru-RU"/>
        </w:rPr>
        <w:t xml:space="preserve">Установленная электрическая мощность проектируемой Арктической ТЭС - 49 МВт. </w:t>
      </w:r>
    </w:p>
    <w:p>
      <w:pPr>
        <w:pStyle w:val="BodyText"/>
        <w:tabs>
          <w:tab w:val="clear" w:pos="708"/>
          <w:tab w:val="left" w:pos="142" w:leader="none"/>
          <w:tab w:val="left" w:pos="567" w:leader="none"/>
        </w:tabs>
        <w:jc w:val="both"/>
        <w:rPr>
          <w:sz w:val="24"/>
          <w:szCs w:val="24"/>
        </w:rPr>
      </w:pPr>
      <w:r>
        <w:rPr>
          <w:sz w:val="24"/>
          <w:szCs w:val="24"/>
          <w:lang w:val="ru-RU"/>
        </w:rPr>
        <w:t>В соответствии с ГОСТ 27751-2014 «Надежность строительных конструкций и оснований. Основные положения» Приложение А, здания и сооружения особо опасных и технически сложных объектов относятся к классу сооружений КС-2.</w:t>
      </w:r>
    </w:p>
    <w:p>
      <w:pPr>
        <w:pStyle w:val="Normal"/>
        <w:spacing w:lineRule="auto" w:line="240"/>
        <w:ind w:hanging="0"/>
        <w:rPr>
          <w:sz w:val="24"/>
          <w:szCs w:val="24"/>
        </w:rPr>
      </w:pPr>
      <w:r>
        <w:rPr>
          <w:bCs/>
          <w:sz w:val="24"/>
          <w:szCs w:val="24"/>
        </w:rPr>
        <w:t>В соответствии со ст. 4 п. 8 Федерального закона от 30.12.2009 № 384-ФЗ «Технический регламент о безопасности зданий и сооружений» для здания главного корпуса и дымовых труб уровень ответственности – нормальный. Для остальных проектируемых зданий и сооружений уровень ответственности – нормальный.</w:t>
      </w:r>
    </w:p>
    <w:p>
      <w:pPr>
        <w:pStyle w:val="Normal"/>
        <w:spacing w:lineRule="auto" w:line="240"/>
        <w:ind w:hanging="0"/>
        <w:rPr>
          <w:bCs/>
        </w:rPr>
      </w:pPr>
      <w:r>
        <w:rPr>
          <w:bCs/>
        </w:rPr>
      </w:r>
    </w:p>
    <w:p>
      <w:pPr>
        <w:pStyle w:val="BodyText"/>
        <w:tabs>
          <w:tab w:val="clear" w:pos="708"/>
          <w:tab w:val="left" w:pos="142" w:leader="none"/>
          <w:tab w:val="left" w:pos="567" w:leader="none"/>
        </w:tabs>
        <w:jc w:val="both"/>
        <w:rPr/>
      </w:pPr>
      <w:r>
        <w:rPr>
          <w:sz w:val="24"/>
          <w:szCs w:val="24"/>
        </w:rPr>
        <w:t xml:space="preserve">Согласно разделу 4.3 и таблице 4.2 СП 14.13330.2018 </w:t>
      </w:r>
      <w:r>
        <w:rPr>
          <w:rStyle w:val="Strong3"/>
          <w:b w:val="false"/>
          <w:bCs w:val="false"/>
          <w:sz w:val="24"/>
          <w:szCs w:val="24"/>
          <w:lang w:val="ru-RU"/>
        </w:rPr>
        <w:t>«Строительство в сейсмических районах»</w:t>
      </w:r>
      <w:r>
        <w:rPr>
          <w:color w:val="333333"/>
        </w:rPr>
        <w:t> </w:t>
      </w:r>
      <w:r>
        <w:rPr>
          <w:sz w:val="24"/>
          <w:szCs w:val="24"/>
        </w:rPr>
        <w:t>, нормативная сейсмичность опре</w:t>
      </w:r>
      <w:r>
        <w:rPr>
          <w:sz w:val="24"/>
          <w:szCs w:val="24"/>
          <w:lang w:val="ru-RU"/>
        </w:rPr>
        <w:t xml:space="preserve">деляется </w:t>
      </w:r>
      <w:r>
        <w:rPr>
          <w:sz w:val="24"/>
          <w:szCs w:val="24"/>
        </w:rPr>
        <w:t>по карте ОСР 2015-В для зданий нормального уровня ответственности.</w:t>
      </w:r>
    </w:p>
    <w:p>
      <w:pPr>
        <w:pStyle w:val="Heading1"/>
        <w:spacing w:before="240" w:after="60"/>
        <w:jc w:val="left"/>
        <w:rPr/>
      </w:pPr>
      <w:bookmarkStart w:id="22" w:name="__RefHeading___Toc7253_2220088035"/>
      <w:bookmarkStart w:id="23" w:name="_Toc217484645"/>
      <w:bookmarkStart w:id="24" w:name="_Toc240302004"/>
      <w:bookmarkStart w:id="25" w:name="_Toc54646400"/>
      <w:bookmarkEnd w:id="22"/>
      <w:r>
        <w:rPr>
          <w:rFonts w:eastAsia="Calibri"/>
          <w:szCs w:val="24"/>
        </w:rPr>
        <w:t>Таблица 1. Перечень объектов Заказчика</w:t>
      </w:r>
      <w:bookmarkEnd w:id="23"/>
      <w:bookmarkEnd w:id="24"/>
      <w:bookmarkEnd w:id="25"/>
    </w:p>
    <w:tbl>
      <w:tblPr>
        <w:tblW w:w="9717" w:type="dxa"/>
        <w:jc w:val="left"/>
        <w:tblInd w:w="17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11"/>
        <w:gridCol w:w="3334"/>
        <w:gridCol w:w="2200"/>
        <w:gridCol w:w="2155"/>
        <w:gridCol w:w="1517"/>
      </w:tblGrid>
      <w:tr>
        <w:trPr/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</w:t>
            </w:r>
          </w:p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п/п</w:t>
            </w: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/>
            </w:pPr>
            <w:r>
              <w:rPr>
                <w:sz w:val="20"/>
                <w:szCs w:val="20"/>
              </w:rPr>
              <w:t>Наименование объекта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/>
            </w:pPr>
            <w:r>
              <w:rPr>
                <w:sz w:val="20"/>
                <w:szCs w:val="20"/>
              </w:rPr>
              <w:t xml:space="preserve">Расположение объекта </w:t>
            </w:r>
            <w:r>
              <w:rPr>
                <w:iCs/>
                <w:sz w:val="20"/>
                <w:szCs w:val="20"/>
              </w:rPr>
              <w:t>(место выполнения работ)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/>
            </w:pPr>
            <w:r>
              <w:rPr>
                <w:sz w:val="20"/>
                <w:szCs w:val="20"/>
              </w:rPr>
              <w:t xml:space="preserve">Наименование основного средства </w:t>
              <w:br/>
            </w:r>
            <w:r>
              <w:rPr>
                <w:rFonts w:eastAsia="Calibri" w:cs="Times New Roman" w:eastAsiaTheme="minorHAnsi"/>
                <w:color w:val="auto"/>
                <w:kern w:val="0"/>
                <w:sz w:val="20"/>
                <w:szCs w:val="20"/>
                <w:lang w:val="ru-RU" w:eastAsia="en-US" w:bidi="ar-SA"/>
              </w:rPr>
              <w:t>(в отношении которого выполняются работы)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/>
            </w:pPr>
            <w:r>
              <w:rPr>
                <w:sz w:val="20"/>
                <w:szCs w:val="20"/>
              </w:rPr>
              <w:t>Примечание</w:t>
            </w:r>
          </w:p>
        </w:tc>
      </w:tr>
      <w:tr>
        <w:trPr/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/>
            </w:pPr>
            <w:r>
              <w:rPr>
                <w:b/>
                <w:sz w:val="20"/>
                <w:szCs w:val="20"/>
              </w:rPr>
              <w:t>5</w:t>
            </w:r>
          </w:p>
        </w:tc>
      </w:tr>
      <w:tr>
        <w:trPr>
          <w:trHeight w:val="881" w:hRule="atLeast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BodyText"/>
              <w:widowControl w:val="false"/>
              <w:spacing w:before="0" w:after="120"/>
              <w:rPr>
                <w:sz w:val="20"/>
                <w:szCs w:val="20"/>
              </w:rPr>
            </w:pPr>
            <w:bookmarkStart w:id="26" w:name="__RefHeading___Toc11735_1558918511"/>
            <w:bookmarkEnd w:id="26"/>
            <w:r>
              <w:rPr>
                <w:sz w:val="20"/>
                <w:szCs w:val="20"/>
              </w:rPr>
              <w:t>ОКПД2 71.12.39 Подготовка документации для внесения сведений о водных объектах в Государственный водный реестр» по объекту «Строительство Арктической ТЭС в г. Певек»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/>
            </w:pPr>
            <w:r>
              <w:rPr>
                <w:color w:val="333333"/>
                <w:sz w:val="20"/>
                <w:szCs w:val="20"/>
              </w:rPr>
              <w:t>Российская Федерация</w:t>
            </w:r>
            <w:r>
              <w:rPr>
                <w:sz w:val="20"/>
                <w:szCs w:val="20"/>
              </w:rPr>
              <w:t>, Чукотский автономный округ,</w:t>
            </w:r>
          </w:p>
          <w:p>
            <w:pPr>
              <w:pStyle w:val="Normal"/>
              <w:widowControl w:val="false"/>
              <w:spacing w:lineRule="auto" w:line="240"/>
              <w:ind w:hanging="0"/>
              <w:jc w:val="center"/>
              <w:rPr/>
            </w:pPr>
            <w:r>
              <w:rPr>
                <w:sz w:val="20"/>
                <w:szCs w:val="20"/>
              </w:rPr>
              <w:t>г. Певек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Арктическая ТЭС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/>
            </w:pPr>
            <w:r>
              <w:rPr>
                <w:sz w:val="20"/>
                <w:szCs w:val="20"/>
              </w:rPr>
              <w:t>Критически важный объект ТЭК</w:t>
            </w:r>
          </w:p>
        </w:tc>
      </w:tr>
    </w:tbl>
    <w:p>
      <w:pPr>
        <w:pStyle w:val="Heading4"/>
        <w:numPr>
          <w:ilvl w:val="1"/>
          <w:numId w:val="1"/>
        </w:numPr>
        <w:ind w:left="0" w:hanging="0"/>
        <w:rPr/>
      </w:pPr>
      <w:bookmarkStart w:id="27" w:name="__RefHeading___Toc7255_2220088035"/>
      <w:bookmarkStart w:id="28" w:name="_Toc240302005"/>
      <w:bookmarkStart w:id="29" w:name="_Toc217484646"/>
      <w:bookmarkStart w:id="30" w:name="_Toc189640995_Копия_1"/>
      <w:bookmarkEnd w:id="27"/>
      <w:r>
        <w:rPr>
          <w:rFonts w:eastAsia="Calibri"/>
          <w:sz w:val="24"/>
          <w:szCs w:val="24"/>
        </w:rPr>
        <w:t>Вид строительства</w:t>
      </w:r>
      <w:bookmarkEnd w:id="28"/>
      <w:bookmarkEnd w:id="29"/>
      <w:bookmarkEnd w:id="30"/>
      <w:r>
        <w:rPr>
          <w:rFonts w:eastAsia="Calibri"/>
          <w:sz w:val="24"/>
          <w:szCs w:val="24"/>
        </w:rPr>
        <w:t xml:space="preserve"> </w:t>
      </w:r>
    </w:p>
    <w:p>
      <w:pPr>
        <w:pStyle w:val="Normal"/>
        <w:spacing w:before="0" w:after="0"/>
        <w:ind w:hanging="0"/>
        <w:contextualSpacing/>
        <w:rPr/>
      </w:pPr>
      <w:r>
        <w:rPr>
          <w:sz w:val="24"/>
          <w:szCs w:val="24"/>
        </w:rPr>
        <w:t>Новое строительство</w:t>
      </w:r>
    </w:p>
    <w:p>
      <w:pPr>
        <w:pStyle w:val="Heading4"/>
        <w:numPr>
          <w:ilvl w:val="1"/>
          <w:numId w:val="1"/>
        </w:numPr>
        <w:ind w:left="0" w:hanging="0"/>
        <w:rPr/>
      </w:pPr>
      <w:bookmarkStart w:id="31" w:name="__RefHeading___Toc20885_4073649210_Копия"/>
      <w:bookmarkStart w:id="32" w:name="_Toc217484647"/>
      <w:bookmarkStart w:id="33" w:name="_Toc240302006"/>
      <w:bookmarkStart w:id="34" w:name="_Toc189640996_Копия_1"/>
      <w:bookmarkEnd w:id="31"/>
      <w:r>
        <w:rPr>
          <w:rFonts w:eastAsia="Calibri"/>
          <w:sz w:val="24"/>
          <w:szCs w:val="24"/>
        </w:rPr>
        <w:t>Стадия проектирования</w:t>
      </w:r>
      <w:bookmarkEnd w:id="32"/>
      <w:bookmarkEnd w:id="33"/>
      <w:bookmarkEnd w:id="34"/>
    </w:p>
    <w:p>
      <w:pPr>
        <w:pStyle w:val="Normal"/>
        <w:spacing w:before="0" w:after="0"/>
        <w:ind w:hanging="0"/>
        <w:contextualSpacing/>
        <w:rPr/>
      </w:pPr>
      <w:r>
        <w:rPr>
          <w:iCs/>
          <w:sz w:val="24"/>
          <w:szCs w:val="24"/>
        </w:rPr>
        <w:t>Проектная документация</w:t>
      </w:r>
    </w:p>
    <w:p>
      <w:pPr>
        <w:pStyle w:val="Heading4"/>
        <w:keepNext w:val="true"/>
        <w:widowControl w:val="false"/>
        <w:numPr>
          <w:ilvl w:val="0"/>
          <w:numId w:val="0"/>
        </w:numPr>
        <w:tabs>
          <w:tab w:val="clear" w:pos="708"/>
          <w:tab w:val="left" w:pos="426" w:leader="none"/>
        </w:tabs>
        <w:suppressAutoHyphens w:val="true"/>
        <w:bidi w:val="0"/>
        <w:spacing w:lineRule="auto" w:line="240" w:before="240" w:after="60"/>
        <w:ind w:left="0" w:right="0" w:hanging="0"/>
        <w:jc w:val="both"/>
        <w:rPr>
          <w:rFonts w:ascii="Times New Roman" w:hAnsi="Times New Roman" w:eastAsia="" w:cs=""/>
          <w:bCs/>
          <w:color w:val="000000"/>
          <w:sz w:val="24"/>
          <w:szCs w:val="24"/>
          <w:lang w:eastAsia="ru-RU"/>
        </w:rPr>
      </w:pPr>
      <w:bookmarkStart w:id="35" w:name="__RefHeading___Toc19223_463198939"/>
      <w:bookmarkEnd w:id="35"/>
      <w:r>
        <w:rPr>
          <w:rFonts w:eastAsia="" w:cs=""/>
          <w:b/>
          <w:bCs/>
          <w:i w:val="false"/>
          <w:iCs w:val="false"/>
          <w:color w:val="000000"/>
          <w:kern w:val="0"/>
          <w:sz w:val="24"/>
          <w:szCs w:val="24"/>
          <w:lang w:val="ru-RU" w:eastAsia="ru-RU" w:bidi="ar-SA"/>
        </w:rPr>
        <w:t>1.</w:t>
      </w:r>
      <w:r>
        <w:rPr>
          <w:rFonts w:eastAsia="" w:cs=""/>
          <w:b/>
          <w:bCs/>
          <w:i w:val="false"/>
          <w:iCs w:val="false"/>
          <w:color w:val="000000"/>
          <w:kern w:val="0"/>
          <w:sz w:val="24"/>
          <w:szCs w:val="24"/>
          <w:lang w:val="ru-RU" w:eastAsia="ru-RU" w:bidi="ar-SA"/>
        </w:rPr>
        <w:t>7</w:t>
      </w:r>
      <w:r>
        <w:rPr>
          <w:rFonts w:eastAsia="" w:cs=""/>
          <w:b/>
          <w:bCs/>
          <w:i w:val="false"/>
          <w:iCs w:val="false"/>
          <w:color w:val="000000"/>
          <w:kern w:val="0"/>
          <w:sz w:val="24"/>
          <w:szCs w:val="24"/>
          <w:lang w:val="ru-RU" w:eastAsia="ru-RU" w:bidi="ar-SA"/>
        </w:rPr>
        <w:t xml:space="preserve">. </w:t>
      </w:r>
      <w:bookmarkStart w:id="36" w:name="_Toc220520386"/>
      <w:bookmarkStart w:id="37" w:name="_Toc223009948"/>
      <w:r>
        <w:rPr>
          <w:rFonts w:eastAsia="" w:cs=""/>
          <w:b/>
          <w:bCs/>
          <w:i w:val="false"/>
          <w:iCs w:val="false"/>
          <w:color w:val="000000"/>
          <w:kern w:val="0"/>
          <w:sz w:val="24"/>
          <w:szCs w:val="24"/>
          <w:lang w:val="ru-RU" w:eastAsia="ru-RU" w:bidi="ar-SA"/>
        </w:rPr>
        <w:t>Общие требования при проведении мониторинга цен</w:t>
      </w:r>
      <w:bookmarkEnd w:id="36"/>
      <w:bookmarkEnd w:id="37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hanging="0"/>
        <w:jc w:val="both"/>
        <w:rPr>
          <w:sz w:val="24"/>
          <w:szCs w:val="24"/>
        </w:rPr>
      </w:pPr>
      <w:r>
        <w:rPr>
          <w:rFonts w:eastAsia="Times New Roman" w:cs="Times New Roman"/>
          <w:bCs/>
          <w:color w:val="0D0D0D" w:themeColor="text1" w:themeTint="f2"/>
          <w:kern w:val="0"/>
          <w:sz w:val="24"/>
          <w:szCs w:val="24"/>
          <w:shd w:fill="auto" w:val="clear"/>
          <w:lang w:eastAsia="ru-RU" w:bidi="ar-SA"/>
        </w:rPr>
        <w:t xml:space="preserve">Мониторинг цен не является публичной офертой, по результатам мониторинга цен договор не заключается. </w:t>
      </w:r>
    </w:p>
    <w:p>
      <w:pPr>
        <w:pStyle w:val="Heading1"/>
        <w:numPr>
          <w:ilvl w:val="0"/>
          <w:numId w:val="1"/>
        </w:numPr>
        <w:tabs>
          <w:tab w:val="clear" w:pos="708"/>
          <w:tab w:val="left" w:pos="0" w:leader="none"/>
        </w:tabs>
        <w:spacing w:before="240" w:after="60"/>
        <w:contextualSpacing/>
        <w:rPr>
          <w:rFonts w:eastAsia="Calibri"/>
          <w:iCs/>
          <w:sz w:val="28"/>
          <w:szCs w:val="28"/>
        </w:rPr>
      </w:pPr>
      <w:bookmarkStart w:id="38" w:name="__RefHeading___Toc7257_2220088035"/>
      <w:bookmarkStart w:id="39" w:name="_Toc51339693"/>
      <w:bookmarkStart w:id="40" w:name="_Toc240302007"/>
      <w:bookmarkStart w:id="41" w:name="_Toc189640999"/>
      <w:bookmarkStart w:id="42" w:name="_Toc217484648"/>
      <w:bookmarkEnd w:id="38"/>
      <w:r>
        <w:rPr>
          <w:rFonts w:eastAsia="Calibri"/>
          <w:sz w:val="28"/>
          <w:szCs w:val="28"/>
        </w:rPr>
        <w:t>Требования к продукции</w:t>
      </w:r>
      <w:bookmarkEnd w:id="39"/>
      <w:bookmarkEnd w:id="40"/>
      <w:bookmarkEnd w:id="41"/>
      <w:bookmarkEnd w:id="42"/>
    </w:p>
    <w:p>
      <w:pPr>
        <w:pStyle w:val="Heading4"/>
        <w:numPr>
          <w:ilvl w:val="1"/>
          <w:numId w:val="1"/>
        </w:numPr>
        <w:tabs>
          <w:tab w:val="clear" w:pos="708"/>
          <w:tab w:val="left" w:pos="0" w:leader="none"/>
        </w:tabs>
        <w:spacing w:before="120" w:after="60"/>
        <w:ind w:left="432" w:hanging="432"/>
        <w:rPr/>
      </w:pPr>
      <w:bookmarkStart w:id="43" w:name="__RefHeading___Toc7259_2220088035"/>
      <w:bookmarkStart w:id="44" w:name="_Toc240302008"/>
      <w:bookmarkStart w:id="45" w:name="_Toc217484649"/>
      <w:bookmarkStart w:id="46" w:name="_Toc189641000"/>
      <w:bookmarkEnd w:id="43"/>
      <w:r>
        <w:rPr>
          <w:rFonts w:eastAsia="Calibri"/>
          <w:sz w:val="24"/>
          <w:szCs w:val="24"/>
        </w:rPr>
        <w:t xml:space="preserve">Требования к объемам и срокам </w:t>
      </w:r>
      <w:bookmarkEnd w:id="44"/>
      <w:bookmarkEnd w:id="45"/>
      <w:bookmarkEnd w:id="46"/>
      <w:r>
        <w:rPr>
          <w:rFonts w:eastAsia="Calibri"/>
          <w:sz w:val="24"/>
          <w:szCs w:val="24"/>
        </w:rPr>
        <w:t>выполнения работ</w:t>
      </w:r>
    </w:p>
    <w:p>
      <w:pPr>
        <w:pStyle w:val="Heading3"/>
        <w:numPr>
          <w:ilvl w:val="2"/>
          <w:numId w:val="1"/>
        </w:numPr>
        <w:spacing w:before="120" w:after="60"/>
        <w:rPr/>
      </w:pPr>
      <w:bookmarkStart w:id="47" w:name="__RefHeading___Toc7261_2220088035"/>
      <w:bookmarkStart w:id="48" w:name="_Toc240302009"/>
      <w:bookmarkStart w:id="49" w:name="_Toc189641001"/>
      <w:bookmarkStart w:id="50" w:name="_Toc217484650"/>
      <w:bookmarkEnd w:id="47"/>
      <w:r>
        <w:rPr>
          <w:rFonts w:eastAsia="Calibri" w:ascii="Times New Roman" w:hAnsi="Times New Roman"/>
          <w:bCs w:val="false"/>
          <w:sz w:val="24"/>
          <w:szCs w:val="24"/>
          <w:lang w:val="ru-RU"/>
        </w:rPr>
        <w:t>Требования к перечню и объем</w:t>
      </w:r>
      <w:bookmarkEnd w:id="49"/>
      <w:bookmarkEnd w:id="50"/>
      <w:r>
        <w:rPr>
          <w:rFonts w:eastAsia="Calibri" w:ascii="Times New Roman" w:hAnsi="Times New Roman"/>
          <w:bCs w:val="false"/>
          <w:sz w:val="24"/>
          <w:szCs w:val="24"/>
          <w:lang w:val="ru-RU"/>
        </w:rPr>
        <w:t xml:space="preserve">у </w:t>
      </w:r>
      <w:bookmarkEnd w:id="48"/>
      <w:r>
        <w:rPr>
          <w:rFonts w:eastAsia="Calibri" w:ascii="Times New Roman" w:hAnsi="Times New Roman"/>
          <w:bCs w:val="false"/>
          <w:sz w:val="24"/>
          <w:szCs w:val="24"/>
          <w:lang w:val="ru-RU"/>
        </w:rPr>
        <w:t>работ</w:t>
      </w:r>
    </w:p>
    <w:p>
      <w:pPr>
        <w:pStyle w:val="Heading1"/>
        <w:spacing w:before="240" w:after="60"/>
        <w:jc w:val="left"/>
        <w:rPr/>
      </w:pPr>
      <w:bookmarkStart w:id="51" w:name="__RefHeading___Toc7263_2220088035"/>
      <w:bookmarkStart w:id="52" w:name="_Toc189641002"/>
      <w:bookmarkStart w:id="53" w:name="_Toc240302010"/>
      <w:bookmarkStart w:id="54" w:name="_Toc217484651"/>
      <w:bookmarkEnd w:id="51"/>
      <w:r>
        <w:rPr>
          <w:rFonts w:eastAsia="Calibri"/>
          <w:szCs w:val="24"/>
        </w:rPr>
        <w:t xml:space="preserve">Таблица 2. Перечень и объем </w:t>
      </w:r>
      <w:bookmarkEnd w:id="52"/>
      <w:bookmarkEnd w:id="53"/>
      <w:bookmarkEnd w:id="54"/>
      <w:r>
        <w:rPr>
          <w:rFonts w:eastAsia="Calibri"/>
          <w:szCs w:val="24"/>
        </w:rPr>
        <w:t>выполняемых работ</w:t>
      </w:r>
    </w:p>
    <w:tbl>
      <w:tblPr>
        <w:tblW w:w="9753" w:type="dxa"/>
        <w:jc w:val="left"/>
        <w:tblInd w:w="16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791"/>
        <w:gridCol w:w="6249"/>
        <w:gridCol w:w="1306"/>
        <w:gridCol w:w="1406"/>
      </w:tblGrid>
      <w:tr>
        <w:trPr/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/>
              <w:ind w:hanging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№</w:t>
            </w:r>
          </w:p>
          <w:p>
            <w:pPr>
              <w:pStyle w:val="Normal"/>
              <w:keepNext w:val="true"/>
              <w:widowControl w:val="false"/>
              <w:spacing w:lineRule="auto" w:line="240"/>
              <w:ind w:hanging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/>
              <w:ind w:hanging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Наименование работ / этапа работ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/>
              <w:ind w:hanging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/>
              <w:ind w:hanging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Количество</w:t>
            </w:r>
          </w:p>
        </w:tc>
      </w:tr>
      <w:tr>
        <w:trPr/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sz w:val="20"/>
                <w:szCs w:val="20"/>
                <w:lang w:eastAsia="ru-RU"/>
              </w:rPr>
              <w:t>4</w:t>
            </w:r>
          </w:p>
        </w:tc>
      </w:tr>
      <w:tr>
        <w:trPr>
          <w:trHeight w:val="845" w:hRule="atLeast"/>
        </w:trPr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120"/>
              <w:ind w:hanging="0"/>
              <w:jc w:val="center"/>
              <w:rPr/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before="0" w:after="120"/>
              <w:rPr>
                <w:sz w:val="20"/>
                <w:szCs w:val="20"/>
              </w:rPr>
            </w:pPr>
            <w:bookmarkStart w:id="55" w:name="__RefHeading___Toc11737_1558918511"/>
            <w:bookmarkEnd w:id="55"/>
            <w:r>
              <w:rPr>
                <w:sz w:val="20"/>
                <w:szCs w:val="20"/>
              </w:rPr>
              <w:t>ОКПД2 71.12.39 Подготовка документации для внесения сведений о водных объектах в Государственный водный реестр» по объекту «Строительство Арктической ТЭС в г. Певек»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bCs/>
              </w:rPr>
            </w:pPr>
            <w:r>
              <w:rPr>
                <w:rFonts w:eastAsia="Times New Roman"/>
                <w:bCs/>
                <w:sz w:val="20"/>
                <w:szCs w:val="20"/>
                <w:lang w:eastAsia="ru-RU"/>
              </w:rPr>
              <w:t>Усл. ед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bCs/>
              </w:rPr>
            </w:pPr>
            <w:r>
              <w:rPr>
                <w:rFonts w:eastAsia="Times New Roman"/>
                <w:bCs/>
                <w:sz w:val="20"/>
                <w:szCs w:val="20"/>
                <w:lang w:eastAsia="ru-RU"/>
              </w:rPr>
              <w:t>1</w:t>
            </w:r>
          </w:p>
        </w:tc>
      </w:tr>
    </w:tbl>
    <w:p>
      <w:pPr>
        <w:pStyle w:val="Normal"/>
        <w:spacing w:before="120" w:after="60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Heading3"/>
        <w:numPr>
          <w:ilvl w:val="2"/>
          <w:numId w:val="1"/>
        </w:numPr>
        <w:spacing w:before="120" w:after="60"/>
        <w:rPr>
          <w:rFonts w:ascii="Times New Roman" w:hAnsi="Times New Roman" w:eastAsia="Calibri"/>
          <w:bCs w:val="false"/>
          <w:sz w:val="24"/>
          <w:szCs w:val="24"/>
          <w:lang w:val="ru-RU"/>
        </w:rPr>
      </w:pPr>
      <w:bookmarkStart w:id="56" w:name="__RefHeading___Toc7265_2220088035"/>
      <w:bookmarkStart w:id="57" w:name="_Toc240302011"/>
      <w:bookmarkStart w:id="58" w:name="_Toc217484652"/>
      <w:bookmarkStart w:id="59" w:name="_Toc189641003"/>
      <w:bookmarkStart w:id="60" w:name="_Toc51339696"/>
      <w:bookmarkEnd w:id="56"/>
      <w:r>
        <w:rPr>
          <w:rFonts w:eastAsia="Calibri" w:ascii="Times New Roman" w:hAnsi="Times New Roman"/>
          <w:bCs w:val="false"/>
          <w:sz w:val="24"/>
          <w:szCs w:val="24"/>
          <w:lang w:val="ru-RU"/>
        </w:rPr>
        <w:t xml:space="preserve">Требования </w:t>
      </w:r>
      <w:bookmarkEnd w:id="60"/>
      <w:r>
        <w:rPr>
          <w:rFonts w:eastAsia="Calibri" w:ascii="Times New Roman" w:hAnsi="Times New Roman"/>
          <w:bCs w:val="false"/>
          <w:sz w:val="24"/>
          <w:szCs w:val="24"/>
          <w:lang w:val="ru-RU"/>
        </w:rPr>
        <w:t>к срокам выполнения работ</w:t>
      </w:r>
      <w:bookmarkEnd w:id="57"/>
      <w:bookmarkEnd w:id="58"/>
      <w:bookmarkEnd w:id="59"/>
    </w:p>
    <w:p>
      <w:pPr>
        <w:pStyle w:val="Heading1"/>
        <w:spacing w:before="240" w:after="60"/>
        <w:jc w:val="left"/>
        <w:rPr>
          <w:rFonts w:eastAsia="Calibri"/>
          <w:szCs w:val="24"/>
        </w:rPr>
      </w:pPr>
      <w:bookmarkStart w:id="61" w:name="__RefHeading___Toc7267_2220088035"/>
      <w:bookmarkStart w:id="62" w:name="_Toc50125127"/>
      <w:bookmarkStart w:id="63" w:name="_Toc189641004"/>
      <w:bookmarkStart w:id="64" w:name="_Toc240302012"/>
      <w:bookmarkStart w:id="65" w:name="_Toc51339697"/>
      <w:bookmarkStart w:id="66" w:name="_Toc217484653"/>
      <w:bookmarkEnd w:id="61"/>
      <w:r>
        <w:rPr>
          <w:rFonts w:eastAsia="Calibri"/>
          <w:szCs w:val="24"/>
        </w:rPr>
        <w:t xml:space="preserve">Таблица 3. </w:t>
      </w:r>
      <w:bookmarkStart w:id="67" w:name="_Hlk50465284"/>
      <w:r>
        <w:rPr>
          <w:rFonts w:eastAsia="Calibri"/>
          <w:szCs w:val="24"/>
        </w:rPr>
        <w:t>Требования к срокам выполнения работ</w:t>
      </w:r>
      <w:bookmarkEnd w:id="62"/>
      <w:bookmarkEnd w:id="63"/>
      <w:bookmarkEnd w:id="64"/>
      <w:bookmarkEnd w:id="65"/>
      <w:bookmarkEnd w:id="66"/>
      <w:bookmarkEnd w:id="67"/>
    </w:p>
    <w:tbl>
      <w:tblPr>
        <w:tblW w:w="9794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12"/>
        <w:gridCol w:w="4058"/>
        <w:gridCol w:w="2435"/>
        <w:gridCol w:w="2788"/>
      </w:tblGrid>
      <w:tr>
        <w:trPr/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№ 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4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Наименование работ/этапа работ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Требования к началу срока выполнения работ/этапа работ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Требования к окончанию срока выполнения работ/этапа работ</w:t>
            </w:r>
          </w:p>
        </w:tc>
      </w:tr>
      <w:tr>
        <w:trPr/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40" w:after="40"/>
              <w:ind w:left="57" w:right="57" w:hanging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40" w:after="40"/>
              <w:ind w:left="57" w:right="57" w:hanging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sz w:val="20"/>
                <w:szCs w:val="20"/>
                <w:lang w:eastAsia="ru-RU"/>
              </w:rPr>
              <w:t>4</w:t>
            </w:r>
          </w:p>
        </w:tc>
      </w:tr>
      <w:tr>
        <w:trPr/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120"/>
              <w:ind w:hanging="0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BodyText"/>
              <w:widowControl w:val="false"/>
              <w:spacing w:before="0" w:after="120"/>
              <w:rPr>
                <w:sz w:val="20"/>
                <w:szCs w:val="20"/>
              </w:rPr>
            </w:pPr>
            <w:bookmarkStart w:id="68" w:name="__RefHeading___Toc11739_1558918511"/>
            <w:bookmarkEnd w:id="68"/>
            <w:r>
              <w:rPr>
                <w:sz w:val="20"/>
                <w:szCs w:val="20"/>
              </w:rPr>
              <w:t>ОКПД2 71.12.39 Подготовка документации для внесения сведений о водных объектах в Государственный водный реестр» по объекту «Строительство Арктической ТЭС в г. Певек»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bCs/>
              </w:rPr>
            </w:pPr>
            <w:r>
              <w:rPr>
                <w:rFonts w:eastAsia="Times New Roman"/>
                <w:bCs/>
                <w:sz w:val="20"/>
                <w:szCs w:val="20"/>
                <w:lang w:eastAsia="ru-RU"/>
              </w:rPr>
              <w:t>дата, следующая за датой заключения договора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before="0" w:after="0"/>
              <w:ind w:left="0" w:right="0" w:hanging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в течение 14 (четырнадцати) рабочих дней</w:t>
            </w:r>
            <w:bookmarkStart w:id="69" w:name="_GoBack_Копия_1"/>
            <w:bookmarkEnd w:id="69"/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 xml:space="preserve"> с даты, следующей за датой заключения договора</w:t>
            </w:r>
          </w:p>
        </w:tc>
      </w:tr>
    </w:tbl>
    <w:p>
      <w:pPr>
        <w:sectPr>
          <w:headerReference w:type="default" r:id="rId3"/>
          <w:footerReference w:type="default" r:id="rId4"/>
          <w:type w:val="nextPage"/>
          <w:pgSz w:w="11906" w:h="16838"/>
          <w:pgMar w:left="1304" w:right="924" w:gutter="0" w:header="709" w:top="993" w:footer="709" w:bottom="766"/>
          <w:pgNumType w:fmt="decimal"/>
          <w:formProt w:val="false"/>
          <w:titlePg/>
          <w:textDirection w:val="lrTb"/>
          <w:docGrid w:type="default" w:linePitch="299" w:charSpace="0"/>
        </w:sectPr>
      </w:pPr>
    </w:p>
    <w:p>
      <w:pPr>
        <w:pStyle w:val="Heading4"/>
        <w:numPr>
          <w:ilvl w:val="1"/>
          <w:numId w:val="1"/>
        </w:numPr>
        <w:tabs>
          <w:tab w:val="clear" w:pos="708"/>
          <w:tab w:val="left" w:pos="0" w:leader="none"/>
        </w:tabs>
        <w:spacing w:before="120" w:after="60"/>
        <w:ind w:left="432" w:hanging="432"/>
        <w:rPr>
          <w:rFonts w:eastAsia="Calibri"/>
          <w:sz w:val="24"/>
          <w:szCs w:val="24"/>
        </w:rPr>
      </w:pPr>
      <w:bookmarkStart w:id="70" w:name="__RefHeading___Toc7269_2220088035"/>
      <w:bookmarkStart w:id="71" w:name="_Toc240302013"/>
      <w:bookmarkStart w:id="72" w:name="_Toc189641005"/>
      <w:bookmarkStart w:id="73" w:name="_Toc217484654"/>
      <w:bookmarkEnd w:id="70"/>
      <w:r>
        <w:rPr>
          <w:rFonts w:eastAsia="Calibri"/>
          <w:sz w:val="24"/>
          <w:szCs w:val="24"/>
        </w:rPr>
        <w:t xml:space="preserve">Требования к качеству </w:t>
      </w:r>
      <w:bookmarkEnd w:id="72"/>
      <w:bookmarkEnd w:id="73"/>
      <w:r>
        <w:rPr>
          <w:rFonts w:eastAsia="Calibri"/>
          <w:sz w:val="24"/>
          <w:szCs w:val="24"/>
        </w:rPr>
        <w:t>продукции</w:t>
      </w:r>
      <w:bookmarkEnd w:id="71"/>
    </w:p>
    <w:p>
      <w:pPr>
        <w:pStyle w:val="Heading1"/>
        <w:spacing w:before="240" w:after="60"/>
        <w:jc w:val="left"/>
        <w:rPr>
          <w:szCs w:val="24"/>
        </w:rPr>
      </w:pPr>
      <w:bookmarkStart w:id="74" w:name="__RefHeading___Toc7271_2220088035"/>
      <w:bookmarkStart w:id="75" w:name="_Toc240302014"/>
      <w:bookmarkStart w:id="76" w:name="_Toc189641006"/>
      <w:bookmarkStart w:id="77" w:name="_Toc217484655"/>
      <w:bookmarkEnd w:id="74"/>
      <w:r>
        <w:rPr>
          <w:rFonts w:eastAsia="Calibri"/>
          <w:szCs w:val="24"/>
        </w:rPr>
        <w:t xml:space="preserve">Таблица 4. Требования к качеству </w:t>
      </w:r>
      <w:bookmarkEnd w:id="76"/>
      <w:bookmarkEnd w:id="77"/>
      <w:r>
        <w:rPr>
          <w:rFonts w:eastAsia="Calibri"/>
          <w:szCs w:val="24"/>
        </w:rPr>
        <w:t>продукции</w:t>
      </w:r>
      <w:bookmarkEnd w:id="75"/>
    </w:p>
    <w:p>
      <w:pPr>
        <w:pStyle w:val="BodyText"/>
        <w:jc w:val="both"/>
        <w:rPr/>
      </w:pPr>
      <w:r>
        <w:rPr>
          <w:b/>
          <w:bCs/>
          <w:sz w:val="24"/>
          <w:szCs w:val="24"/>
          <w:lang w:eastAsia="ru-RU"/>
        </w:rPr>
        <w:t>Наименование работ/этапа работ (позиция №1 Таблицы 2):</w:t>
      </w:r>
      <w:r>
        <w:rPr>
          <w:sz w:val="24"/>
          <w:szCs w:val="24"/>
          <w:lang w:eastAsia="ru-RU"/>
        </w:rPr>
        <w:t xml:space="preserve"> </w:t>
      </w:r>
      <w:r>
        <w:rPr>
          <w:rFonts w:eastAsia="Calibri"/>
          <w:sz w:val="24"/>
          <w:szCs w:val="24"/>
          <w:lang w:val="ru-RU" w:eastAsia="en-US"/>
        </w:rPr>
        <w:t>ОКПД2 71.12.39 Подготовка документации для внесения сведений о водных объектах в Государственный водный реестр» по объекту «Строительство Арктической ТЭС в г. Певек»</w:t>
      </w:r>
    </w:p>
    <w:tbl>
      <w:tblPr>
        <w:tblStyle w:val="54"/>
        <w:tblW w:w="15540" w:type="dxa"/>
        <w:jc w:val="left"/>
        <w:tblInd w:w="-17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00"/>
        <w:gridCol w:w="1980"/>
        <w:gridCol w:w="8912"/>
        <w:gridCol w:w="1800"/>
        <w:gridCol w:w="1948"/>
      </w:tblGrid>
      <w:tr>
        <w:trPr>
          <w:tblHeader w:val="true"/>
          <w:trHeight w:val="230" w:hRule="atLeast"/>
        </w:trPr>
        <w:tc>
          <w:tcPr>
            <w:tcW w:w="900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 xml:space="preserve">№ </w:t>
            </w:r>
            <w:r>
              <w:rPr>
                <w:rFonts w:eastAsia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п/п</w:t>
            </w:r>
          </w:p>
        </w:tc>
        <w:tc>
          <w:tcPr>
            <w:tcW w:w="1980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8912" w:type="dxa"/>
            <w:vMerge w:val="restart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Требование заказчика</w:t>
            </w:r>
          </w:p>
        </w:tc>
        <w:tc>
          <w:tcPr>
            <w:tcW w:w="374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b/>
                <w:bCs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shd w:fill="auto" w:val="clear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</w:tr>
      <w:tr>
        <w:trPr>
          <w:tblHeader w:val="true"/>
          <w:trHeight w:val="1014" w:hRule="atLeast"/>
        </w:trPr>
        <w:tc>
          <w:tcPr>
            <w:tcW w:w="90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198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8912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1800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b/>
                <w:bCs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19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b/>
                <w:bCs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/>
        <w:tc>
          <w:tcPr>
            <w:tcW w:w="90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ind w:hanging="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198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/>
                <w:b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8912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/>
                <w:b/>
                <w:kern w:val="0"/>
                <w:sz w:val="20"/>
                <w:szCs w:val="20"/>
                <w:lang w:val="ru-RU" w:eastAsia="ru-RU" w:bidi="ar-SA"/>
              </w:rPr>
              <w:t>3</w:t>
            </w:r>
          </w:p>
        </w:tc>
        <w:tc>
          <w:tcPr>
            <w:tcW w:w="1800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9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</w:tr>
      <w:tr>
        <w:trPr/>
        <w:tc>
          <w:tcPr>
            <w:tcW w:w="900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spacing w:lineRule="auto" w:line="240" w:before="60" w:after="60"/>
              <w:contextualSpacing/>
              <w:jc w:val="center"/>
              <w:rPr>
                <w:rFonts w:ascii="Times New Roman" w:hAnsi="Times New Roman"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</w:r>
          </w:p>
        </w:tc>
        <w:tc>
          <w:tcPr>
            <w:tcW w:w="10892" w:type="dxa"/>
            <w:gridSpan w:val="2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/>
                <w:b/>
                <w:kern w:val="0"/>
                <w:sz w:val="22"/>
                <w:szCs w:val="22"/>
                <w:lang w:val="ru-RU" w:eastAsia="ru-RU" w:bidi="ar-SA"/>
              </w:rPr>
              <w:t xml:space="preserve">Требования </w:t>
            </w: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к выполнению работ</w:t>
            </w:r>
          </w:p>
        </w:tc>
        <w:tc>
          <w:tcPr>
            <w:tcW w:w="1800" w:type="dxa"/>
            <w:vMerge w:val="restart"/>
            <w:tcBorders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rFonts w:eastAsia="Times New Roman" w:cs="Times New Roman"/>
                <w:sz w:val="20"/>
                <w:szCs w:val="20"/>
                <w:shd w:fill="auto" w:val="clear"/>
                <w:lang w:eastAsia="ru-RU"/>
              </w:rPr>
              <w:t>Согласие с требованиями</w:t>
            </w:r>
          </w:p>
        </w:tc>
        <w:tc>
          <w:tcPr>
            <w:tcW w:w="1948" w:type="dxa"/>
            <w:vMerge w:val="restart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rFonts w:eastAsia="Times New Roman" w:cs="Times New Roman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Предоставление ответа на запрос ТКП по форме Приложения №1 к настоящим техническим требованиям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b/>
                <w:kern w:val="0"/>
                <w:sz w:val="20"/>
                <w:szCs w:val="20"/>
                <w:lang w:val="ru-RU" w:bidi="ar-SA"/>
              </w:rPr>
            </w:pPr>
            <w:r>
              <w:rPr>
                <w:b/>
                <w:kern w:val="0"/>
                <w:sz w:val="20"/>
                <w:szCs w:val="20"/>
                <w:lang w:val="ru-RU" w:bidi="ar-SA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lineRule="auto" w:line="240" w:before="0" w:after="0"/>
              <w:ind w:left="0" w:right="0" w:hanging="0"/>
              <w:jc w:val="left"/>
              <w:rPr>
                <w:b/>
                <w:kern w:val="0"/>
                <w:sz w:val="20"/>
                <w:szCs w:val="20"/>
                <w:lang w:val="ru-RU" w:bidi="ar-SA"/>
              </w:rPr>
            </w:pPr>
            <w:r>
              <w:rPr>
                <w:b/>
                <w:kern w:val="0"/>
                <w:sz w:val="20"/>
                <w:szCs w:val="20"/>
                <w:lang w:val="ru-RU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b/>
                <w:kern w:val="0"/>
                <w:sz w:val="20"/>
                <w:szCs w:val="20"/>
                <w:lang w:val="ru-RU" w:bidi="ar-SA"/>
              </w:rPr>
            </w:pPr>
            <w:r>
              <w:rPr>
                <w:b/>
                <w:kern w:val="0"/>
                <w:sz w:val="20"/>
                <w:szCs w:val="20"/>
                <w:lang w:val="ru-RU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b/>
                <w:bCs/>
                <w:kern w:val="0"/>
                <w:sz w:val="20"/>
                <w:szCs w:val="20"/>
                <w:lang w:val="ru-RU" w:bidi="ar-SA"/>
              </w:rPr>
            </w:pPr>
            <w:r>
              <w:rPr>
                <w:b/>
                <w:bCs/>
                <w:kern w:val="0"/>
                <w:sz w:val="20"/>
                <w:szCs w:val="20"/>
                <w:lang w:val="ru-RU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kern w:val="0"/>
                <w:sz w:val="20"/>
                <w:szCs w:val="20"/>
                <w:lang w:val="ru-RU" w:bidi="ar-SA"/>
              </w:rPr>
            </w:pPr>
            <w:r>
              <w:rPr>
                <w:kern w:val="0"/>
                <w:sz w:val="20"/>
                <w:szCs w:val="20"/>
                <w:lang w:val="ru-RU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b/>
                <w:kern w:val="0"/>
                <w:sz w:val="20"/>
                <w:szCs w:val="20"/>
                <w:lang w:val="ru-RU" w:bidi="ar-SA"/>
              </w:rPr>
            </w:pPr>
            <w:r>
              <w:rPr>
                <w:b/>
                <w:kern w:val="0"/>
                <w:sz w:val="20"/>
                <w:szCs w:val="20"/>
                <w:lang w:val="ru-RU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b/>
                <w:kern w:val="0"/>
                <w:sz w:val="20"/>
                <w:szCs w:val="20"/>
                <w:lang w:val="ru-RU" w:bidi="ar-SA"/>
              </w:rPr>
            </w:pPr>
            <w:r>
              <w:rPr>
                <w:b/>
                <w:kern w:val="0"/>
                <w:sz w:val="20"/>
                <w:szCs w:val="20"/>
                <w:lang w:val="ru-RU" w:bidi="ar-SA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lineRule="auto" w:line="240" w:before="0" w:after="0"/>
              <w:ind w:left="0" w:right="0" w:hanging="0"/>
              <w:jc w:val="left"/>
              <w:rPr>
                <w:kern w:val="0"/>
                <w:sz w:val="20"/>
                <w:szCs w:val="20"/>
                <w:lang w:val="ru-RU" w:bidi="ar-SA"/>
              </w:rPr>
            </w:pPr>
            <w:r>
              <w:rPr>
                <w:kern w:val="0"/>
                <w:sz w:val="20"/>
                <w:szCs w:val="20"/>
                <w:lang w:val="ru-RU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b/>
                <w:kern w:val="0"/>
                <w:sz w:val="20"/>
                <w:szCs w:val="20"/>
                <w:lang w:val="ru-RU" w:bidi="ar-SA"/>
              </w:rPr>
            </w:pPr>
            <w:r>
              <w:rPr>
                <w:b/>
                <w:kern w:val="0"/>
                <w:sz w:val="20"/>
                <w:szCs w:val="20"/>
                <w:lang w:val="ru-RU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b/>
                <w:kern w:val="0"/>
                <w:sz w:val="20"/>
                <w:szCs w:val="20"/>
                <w:lang w:val="ru-RU" w:bidi="ar-SA"/>
              </w:rPr>
            </w:pPr>
            <w:r>
              <w:rPr>
                <w:b/>
                <w:kern w:val="0"/>
                <w:sz w:val="20"/>
                <w:szCs w:val="20"/>
                <w:lang w:val="ru-RU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b/>
                <w:kern w:val="0"/>
                <w:sz w:val="20"/>
                <w:szCs w:val="20"/>
                <w:lang w:val="ru-RU" w:bidi="ar-SA"/>
              </w:rPr>
            </w:pPr>
            <w:r>
              <w:rPr>
                <w:b/>
                <w:kern w:val="0"/>
                <w:sz w:val="20"/>
                <w:szCs w:val="20"/>
                <w:lang w:val="ru-RU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kern w:val="0"/>
                <w:sz w:val="20"/>
                <w:szCs w:val="20"/>
                <w:lang w:val="ru-RU" w:bidi="ar-SA"/>
              </w:rPr>
            </w:pPr>
            <w:r>
              <w:rPr>
                <w:kern w:val="0"/>
                <w:sz w:val="20"/>
                <w:szCs w:val="20"/>
                <w:lang w:val="ru-RU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kern w:val="0"/>
                <w:sz w:val="20"/>
                <w:szCs w:val="20"/>
                <w:lang w:val="ru-RU" w:bidi="ar-SA"/>
              </w:rPr>
            </w:pPr>
            <w:r>
              <w:rPr>
                <w:kern w:val="0"/>
                <w:sz w:val="20"/>
                <w:szCs w:val="20"/>
                <w:lang w:val="ru-RU" w:bidi="ar-SA"/>
              </w:rPr>
            </w:r>
          </w:p>
        </w:tc>
      </w:tr>
      <w:tr>
        <w:trPr/>
        <w:tc>
          <w:tcPr>
            <w:tcW w:w="900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2"/>
              </w:numPr>
              <w:suppressAutoHyphens w:val="true"/>
              <w:spacing w:lineRule="auto" w:line="240" w:before="60" w:after="60"/>
              <w:ind w:left="-117" w:firstLine="142"/>
              <w:contextualSpacing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</w:r>
          </w:p>
        </w:tc>
        <w:tc>
          <w:tcPr>
            <w:tcW w:w="10892" w:type="dxa"/>
            <w:gridSpan w:val="2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ind w:hanging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kern w:val="0"/>
                <w:sz w:val="20"/>
                <w:szCs w:val="20"/>
                <w:lang w:val="ru-RU" w:eastAsia="ru-RU" w:bidi="ar-SA"/>
              </w:rPr>
              <w:t xml:space="preserve">Общие требования </w:t>
            </w: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 xml:space="preserve"> к выполнению работ</w:t>
            </w:r>
          </w:p>
        </w:tc>
        <w:tc>
          <w:tcPr>
            <w:tcW w:w="1800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ind w:hanging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94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ind w:hanging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900" w:type="dxa"/>
            <w:tcBorders/>
          </w:tcPr>
          <w:p>
            <w:pPr>
              <w:pStyle w:val="Normal"/>
              <w:widowControl w:val="false"/>
              <w:numPr>
                <w:ilvl w:val="2"/>
                <w:numId w:val="2"/>
              </w:numPr>
              <w:suppressAutoHyphens w:val="true"/>
              <w:spacing w:lineRule="auto" w:line="240" w:before="60" w:after="60"/>
              <w:ind w:left="1224" w:hanging="1199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198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left"/>
              <w:rPr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Состав работ</w:t>
            </w:r>
          </w:p>
        </w:tc>
        <w:tc>
          <w:tcPr>
            <w:tcW w:w="8912" w:type="dxa"/>
            <w:tcBorders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/>
              <w:rPr>
                <w:kern w:val="0"/>
                <w:lang w:val="ru-RU" w:eastAsia="ru-RU" w:bidi="ar-SA"/>
              </w:rPr>
            </w:pPr>
            <w:r>
              <w:rPr>
                <w:rFonts w:eastAsia="Times New Roman"/>
                <w:bCs/>
                <w:kern w:val="0"/>
                <w:sz w:val="20"/>
                <w:szCs w:val="20"/>
                <w:lang w:val="ru-RU" w:eastAsia="ru-RU" w:bidi="ar-SA"/>
              </w:rPr>
              <w:t xml:space="preserve">- оценка и анализ пригодности материалов ранее выполненных инженерных изысканий (инженерно-геодезические и инженерно-гидрометеорологические изыскания) по объекту </w:t>
            </w:r>
            <w:r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«Строительство Арктической ТЭС в г. Певек», а также результатов натурного гидрологического обследования (фото/видеофиксация от истока до устья) и геодезических измерений (топографический план М 1:5000 от истока до устья) поверхностных водных объектов (ручьи Турмалиновый, Промежуточный) в качестве исходных данных предоставляемых Заказчиком;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hanging="0"/>
              <w:rPr>
                <w:kern w:val="0"/>
                <w:lang w:val="ru-RU" w:eastAsia="ru-RU" w:bidi="ar-SA"/>
              </w:rPr>
            </w:pPr>
            <w:r>
              <w:rPr>
                <w:rFonts w:eastAsia="Times New Roman"/>
                <w:bCs/>
                <w:kern w:val="0"/>
                <w:sz w:val="20"/>
                <w:szCs w:val="20"/>
                <w:lang w:val="ru-RU" w:eastAsia="ru-RU" w:bidi="ar-SA"/>
              </w:rPr>
              <w:t xml:space="preserve">- камеральная обработка </w:t>
            </w:r>
            <w:r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результатов натурного гидрологического обследования и геодезических измерений для подготовки документации в целях включения поверхностных водных объектов (ручьи Турмалиновый, Промежуточный) в Государственный водный реестр;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hanging="0"/>
              <w:rPr>
                <w:rFonts w:eastAsia="Calibri"/>
                <w:kern w:val="0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Calibri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- составление документации пригодной для включения поверхностных водных объектов (ручьи Турмалиновый, Промежуточный) в Государственный водный реестр в соответствии с действующим законодательством РФ;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hanging="0"/>
              <w:rPr>
                <w:kern w:val="0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Calibri"/>
                <w:bCs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- сопровождение документации для включения поверхностных водных объектов (ручьи Турмалиновый, Промежуточный) в уполномоченном органе на принятия решения о включении в Государственный водный реестр в соответствии с действующим законодательством РФ.</w:t>
            </w:r>
          </w:p>
        </w:tc>
        <w:tc>
          <w:tcPr>
            <w:tcW w:w="1800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/>
              <w:rPr>
                <w:kern w:val="0"/>
                <w:lang w:val="ru-RU" w:eastAsia="ru-RU" w:bidi="ar-SA"/>
              </w:rPr>
            </w:pPr>
            <w:r>
              <w:rPr>
                <w:kern w:val="0"/>
                <w:lang w:val="ru-RU" w:eastAsia="ru-RU" w:bidi="ar-SA"/>
              </w:rPr>
            </w:r>
          </w:p>
        </w:tc>
        <w:tc>
          <w:tcPr>
            <w:tcW w:w="194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/>
              <w:rPr>
                <w:kern w:val="0"/>
                <w:lang w:val="ru-RU" w:eastAsia="ru-RU" w:bidi="ar-SA"/>
              </w:rPr>
            </w:pPr>
            <w:r>
              <w:rPr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00" w:type="dxa"/>
            <w:tcBorders>
              <w:top w:val="nil"/>
            </w:tcBorders>
          </w:tcPr>
          <w:p>
            <w:pPr>
              <w:pStyle w:val="Normal"/>
              <w:widowControl w:val="false"/>
              <w:numPr>
                <w:ilvl w:val="2"/>
                <w:numId w:val="2"/>
              </w:numPr>
              <w:suppressAutoHyphens w:val="true"/>
              <w:spacing w:lineRule="auto" w:line="240" w:before="60" w:after="60"/>
              <w:ind w:left="1224" w:hanging="1199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1980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Исходные данные, передаваемые Заказчиком Подрядчику (после заключения договора)</w:t>
            </w:r>
          </w:p>
        </w:tc>
        <w:tc>
          <w:tcPr>
            <w:tcW w:w="8912" w:type="dxa"/>
            <w:tcBorders>
              <w:top w:val="nil"/>
              <w:right w:val="nil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uppressAutoHyphens w:val="true"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bidi="ar-SA"/>
              </w:rPr>
              <w:t xml:space="preserve">Технические отчеты по </w:t>
            </w:r>
            <w:r>
              <w:rPr>
                <w:rFonts w:eastAsia="Times New Roman"/>
                <w:bCs/>
                <w:kern w:val="0"/>
                <w:sz w:val="20"/>
                <w:szCs w:val="20"/>
                <w:lang w:val="ru-RU" w:bidi="ar-SA"/>
              </w:rPr>
              <w:t xml:space="preserve">инженерно-геодезическим и инженерно-гидрометеорологическим изысканиям по объекту </w:t>
            </w:r>
            <w:r>
              <w:rPr>
                <w:kern w:val="0"/>
                <w:sz w:val="20"/>
                <w:szCs w:val="20"/>
                <w:lang w:val="ru-RU" w:bidi="ar-SA"/>
              </w:rPr>
              <w:t>«Строительство Арктической ТЭС в г. Певек»</w:t>
            </w:r>
            <w:r>
              <w:rPr>
                <w:rFonts w:eastAsia="Times New Roman"/>
                <w:bCs/>
                <w:kern w:val="0"/>
                <w:sz w:val="20"/>
                <w:szCs w:val="20"/>
                <w:lang w:val="ru-RU" w:bidi="ar-SA"/>
              </w:rPr>
              <w:t>;</w:t>
            </w:r>
          </w:p>
          <w:p>
            <w:pPr>
              <w:pStyle w:val="ListParagraph"/>
              <w:widowControl w:val="false"/>
              <w:numPr>
                <w:ilvl w:val="0"/>
                <w:numId w:val="5"/>
              </w:numPr>
              <w:suppressAutoHyphens w:val="true"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eastAsia="Times New Roman"/>
                <w:bCs/>
                <w:kern w:val="0"/>
                <w:sz w:val="20"/>
                <w:szCs w:val="20"/>
                <w:lang w:val="ru-RU" w:bidi="ar-SA"/>
              </w:rPr>
              <w:t>Топографический план М 1:5000 водных объектов от истока до устья;</w:t>
            </w:r>
          </w:p>
          <w:p>
            <w:pPr>
              <w:pStyle w:val="ListParagraph"/>
              <w:widowControl w:val="false"/>
              <w:numPr>
                <w:ilvl w:val="0"/>
                <w:numId w:val="5"/>
              </w:numPr>
              <w:suppressAutoHyphens w:val="true"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eastAsia="Times New Roman"/>
                <w:bCs/>
                <w:kern w:val="0"/>
                <w:sz w:val="20"/>
                <w:szCs w:val="20"/>
                <w:lang w:val="ru-RU" w:bidi="ar-SA"/>
              </w:rPr>
              <w:t>Результаты натурного гидрологического обследования водных объектов (фото/видеофиксация от истока до устья)</w:t>
            </w:r>
          </w:p>
        </w:tc>
        <w:tc>
          <w:tcPr>
            <w:tcW w:w="1800" w:type="dxa"/>
            <w:vMerge w:val="restart"/>
            <w:tcBorders>
              <w:top w:val="nil"/>
              <w:right w:val="nil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720" w:hanging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948" w:type="dxa"/>
            <w:vMerge w:val="restart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720" w:hanging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900" w:type="dxa"/>
            <w:tcBorders>
              <w:top w:val="nil"/>
            </w:tcBorders>
          </w:tcPr>
          <w:p>
            <w:pPr>
              <w:pStyle w:val="Normal"/>
              <w:widowControl w:val="false"/>
              <w:numPr>
                <w:ilvl w:val="2"/>
                <w:numId w:val="2"/>
              </w:numPr>
              <w:suppressAutoHyphens w:val="true"/>
              <w:spacing w:lineRule="auto" w:line="240" w:before="60" w:after="60"/>
              <w:ind w:left="1224" w:hanging="1199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1980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Требования к патентоспособности</w:t>
            </w:r>
          </w:p>
        </w:tc>
        <w:tc>
          <w:tcPr>
            <w:tcW w:w="8912" w:type="dxa"/>
            <w:tcBorders>
              <w:top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rPr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Требование отсутствует</w:t>
            </w:r>
          </w:p>
        </w:tc>
        <w:tc>
          <w:tcPr>
            <w:tcW w:w="1800" w:type="dxa"/>
            <w:vMerge w:val="continue"/>
            <w:tcBorders>
              <w:top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1948" w:type="dxa"/>
            <w:vMerge w:val="continue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900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spacing w:lineRule="auto" w:line="240" w:before="60" w:after="60"/>
              <w:contextualSpacing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</w:r>
          </w:p>
        </w:tc>
        <w:tc>
          <w:tcPr>
            <w:tcW w:w="10892" w:type="dxa"/>
            <w:gridSpan w:val="2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left"/>
              <w:rPr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Требования к результатам работ</w:t>
            </w:r>
          </w:p>
        </w:tc>
        <w:tc>
          <w:tcPr>
            <w:tcW w:w="1800" w:type="dxa"/>
            <w:vMerge w:val="continue"/>
            <w:tcBorders>
              <w:top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948" w:type="dxa"/>
            <w:vMerge w:val="continue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900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2"/>
              </w:numPr>
              <w:suppressAutoHyphens w:val="true"/>
              <w:spacing w:lineRule="auto" w:line="240" w:before="60" w:after="60"/>
              <w:ind w:left="-117" w:firstLine="142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10892" w:type="dxa"/>
            <w:gridSpan w:val="2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60" w:after="0"/>
              <w:ind w:hanging="0"/>
              <w:jc w:val="left"/>
              <w:rPr>
                <w:b/>
                <w:sz w:val="20"/>
                <w:szCs w:val="20"/>
              </w:rPr>
            </w:pPr>
            <w:r>
              <w:rPr>
                <w:rFonts w:eastAsia="Times New Roman"/>
                <w:b/>
                <w:kern w:val="0"/>
                <w:sz w:val="20"/>
                <w:szCs w:val="20"/>
                <w:lang w:val="ru-RU" w:eastAsia="ru-RU" w:bidi="ar-SA"/>
              </w:rPr>
              <w:t>Общие требования к результатам работ</w:t>
            </w:r>
          </w:p>
        </w:tc>
        <w:tc>
          <w:tcPr>
            <w:tcW w:w="1800" w:type="dxa"/>
            <w:vMerge w:val="continue"/>
            <w:tcBorders>
              <w:top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60" w:after="0"/>
              <w:ind w:hanging="0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1948" w:type="dxa"/>
            <w:vMerge w:val="continue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60" w:after="0"/>
              <w:ind w:hanging="0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</w:tr>
      <w:tr>
        <w:trPr/>
        <w:tc>
          <w:tcPr>
            <w:tcW w:w="900" w:type="dxa"/>
            <w:tcBorders/>
          </w:tcPr>
          <w:p>
            <w:pPr>
              <w:pStyle w:val="Normal"/>
              <w:widowControl w:val="false"/>
              <w:numPr>
                <w:ilvl w:val="2"/>
                <w:numId w:val="2"/>
              </w:numPr>
              <w:suppressAutoHyphens w:val="true"/>
              <w:spacing w:lineRule="auto" w:line="240" w:before="60" w:after="60"/>
              <w:ind w:left="1224" w:hanging="1199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lineRule="auto" w:line="240" w:before="60" w:after="0"/>
              <w:ind w:hanging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eastAsia="ru-RU" w:bidi="ar-SA"/>
              </w:rPr>
              <w:t>Требования к результату работ</w:t>
            </w:r>
          </w:p>
        </w:tc>
        <w:tc>
          <w:tcPr>
            <w:tcW w:w="8912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851" w:leader="none"/>
              </w:tabs>
              <w:suppressAutoHyphens w:val="true"/>
              <w:spacing w:lineRule="auto" w:line="240" w:before="0" w:after="0"/>
              <w:ind w:hanging="0"/>
              <w:contextualSpacing/>
              <w:rPr>
                <w:rFonts w:eastAsia="Times New Roman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eastAsia="ru-RU" w:bidi="ar-SA"/>
              </w:rPr>
              <w:t>Результатом является выполнение работ, предусмотренное пунктом 1.1.1 Таблицы 4 настоящих ТТ</w:t>
            </w:r>
          </w:p>
        </w:tc>
        <w:tc>
          <w:tcPr>
            <w:tcW w:w="1800" w:type="dxa"/>
            <w:vMerge w:val="continue"/>
            <w:tcBorders>
              <w:top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851" w:leader="none"/>
              </w:tabs>
              <w:suppressAutoHyphens w:val="true"/>
              <w:spacing w:lineRule="auto" w:line="240" w:before="0" w:after="0"/>
              <w:ind w:hanging="0"/>
              <w:contextualSpacing/>
              <w:rPr>
                <w:rFonts w:eastAsia="Times New Roman"/>
              </w:rPr>
            </w:pPr>
            <w:r>
              <w:rPr>
                <w:rFonts w:eastAsia="Times New Roman"/>
              </w:rPr>
            </w:r>
          </w:p>
        </w:tc>
        <w:tc>
          <w:tcPr>
            <w:tcW w:w="1948" w:type="dxa"/>
            <w:vMerge w:val="continue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851" w:leader="none"/>
              </w:tabs>
              <w:suppressAutoHyphens w:val="true"/>
              <w:spacing w:lineRule="auto" w:line="240" w:before="0" w:after="0"/>
              <w:ind w:hanging="0"/>
              <w:contextualSpacing/>
              <w:rPr>
                <w:rFonts w:eastAsia="Times New Roman"/>
              </w:rPr>
            </w:pPr>
            <w:r>
              <w:rPr>
                <w:rFonts w:eastAsia="Times New Roman"/>
              </w:rPr>
            </w:r>
          </w:p>
        </w:tc>
      </w:tr>
      <w:tr>
        <w:trPr/>
        <w:tc>
          <w:tcPr>
            <w:tcW w:w="900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2"/>
                <w:numId w:val="2"/>
              </w:numPr>
              <w:suppressAutoHyphens w:val="true"/>
              <w:spacing w:lineRule="auto" w:line="240" w:before="60" w:after="60"/>
              <w:ind w:left="1224" w:hanging="1199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1980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lineRule="auto" w:line="240" w:before="60" w:after="0"/>
              <w:ind w:hanging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eastAsia="ru-RU" w:bidi="ar-SA"/>
              </w:rPr>
              <w:t>Особые условия</w:t>
            </w:r>
          </w:p>
        </w:tc>
        <w:tc>
          <w:tcPr>
            <w:tcW w:w="8912" w:type="dxa"/>
            <w:tcBorders>
              <w:top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851" w:leader="none"/>
              </w:tabs>
              <w:suppressAutoHyphens w:val="true"/>
              <w:spacing w:before="0" w:after="0"/>
              <w:ind w:hanging="0"/>
              <w:contextualSpacing/>
              <w:rPr>
                <w:lang w:eastAsia="ru-RU"/>
              </w:rPr>
            </w:pPr>
            <w:r>
              <w:rPr>
                <w:rFonts w:eastAsia="Times New Roman"/>
                <w:bCs/>
                <w:kern w:val="0"/>
                <w:sz w:val="20"/>
                <w:szCs w:val="20"/>
                <w:lang w:val="ru-RU" w:eastAsia="ru-RU" w:bidi="ar-SA"/>
              </w:rPr>
              <w:t>Ожидаемый эффект от работы:</w:t>
            </w:r>
          </w:p>
          <w:p>
            <w:pPr>
              <w:pStyle w:val="Normal"/>
              <w:widowControl w:val="false"/>
              <w:numPr>
                <w:ilvl w:val="0"/>
                <w:numId w:val="4"/>
              </w:numPr>
              <w:tabs>
                <w:tab w:val="clear" w:pos="708"/>
                <w:tab w:val="left" w:pos="709" w:leader="none"/>
                <w:tab w:val="left" w:pos="851" w:leader="none"/>
              </w:tabs>
              <w:suppressAutoHyphens w:val="true"/>
              <w:spacing w:lineRule="auto" w:line="240" w:before="0" w:after="0"/>
              <w:contextualSpacing/>
              <w:rPr>
                <w:kern w:val="0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/>
                <w:bCs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Предоставление документации пригодной для</w:t>
            </w:r>
            <w:r>
              <w:rPr>
                <w:rFonts w:eastAsia="Calibri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 xml:space="preserve"> внесения сведений о поверхностных водных объектах (ручьи Турмалиновый, Промежуточный) в Государственный водный реестр;</w:t>
            </w:r>
          </w:p>
          <w:p>
            <w:pPr>
              <w:pStyle w:val="Normal"/>
              <w:widowControl w:val="false"/>
              <w:numPr>
                <w:ilvl w:val="0"/>
                <w:numId w:val="4"/>
              </w:numPr>
              <w:tabs>
                <w:tab w:val="clear" w:pos="708"/>
                <w:tab w:val="left" w:pos="709" w:leader="none"/>
                <w:tab w:val="left" w:pos="851" w:leader="none"/>
              </w:tabs>
              <w:suppressAutoHyphens w:val="true"/>
              <w:spacing w:lineRule="auto" w:line="240" w:before="0" w:after="0"/>
              <w:contextualSpacing/>
              <w:rPr>
                <w:kern w:val="0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Calibri"/>
                <w:bCs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Сопровождение документации для включения поверхностных водных объектов (ручьи Турмалиновый, Промежуточный) в уполномоченном органе на принятия решения о включении в Государственный водный реестр в соответствии с действующим законодательством РФ.</w:t>
            </w:r>
            <w:bookmarkStart w:id="78" w:name="_GoBack"/>
            <w:bookmarkEnd w:id="78"/>
          </w:p>
        </w:tc>
        <w:tc>
          <w:tcPr>
            <w:tcW w:w="1800" w:type="dxa"/>
            <w:vMerge w:val="continue"/>
            <w:tcBorders>
              <w:top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851" w:leader="none"/>
              </w:tabs>
              <w:suppressAutoHyphens w:val="true"/>
              <w:spacing w:before="0" w:after="0"/>
              <w:ind w:hanging="0"/>
              <w:contextualSpacing/>
              <w:rPr>
                <w:lang w:eastAsia="ru-RU"/>
              </w:rPr>
            </w:pPr>
            <w:r>
              <w:rPr>
                <w:lang w:eastAsia="ru-RU"/>
              </w:rPr>
            </w:r>
          </w:p>
        </w:tc>
        <w:tc>
          <w:tcPr>
            <w:tcW w:w="1948" w:type="dxa"/>
            <w:vMerge w:val="continue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851" w:leader="none"/>
              </w:tabs>
              <w:suppressAutoHyphens w:val="true"/>
              <w:spacing w:before="0" w:after="0"/>
              <w:ind w:hanging="0"/>
              <w:contextualSpacing/>
              <w:rPr>
                <w:lang w:eastAsia="ru-RU"/>
              </w:rPr>
            </w:pPr>
            <w:r>
              <w:rPr>
                <w:lang w:eastAsia="ru-RU"/>
              </w:rPr>
            </w:r>
          </w:p>
        </w:tc>
      </w:tr>
      <w:tr>
        <w:trPr/>
        <w:tc>
          <w:tcPr>
            <w:tcW w:w="900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2"/>
              </w:numPr>
              <w:suppressAutoHyphens w:val="true"/>
              <w:spacing w:lineRule="auto" w:line="240" w:before="60" w:after="60"/>
              <w:ind w:left="-117" w:firstLine="142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10892" w:type="dxa"/>
            <w:gridSpan w:val="2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left"/>
              <w:rPr>
                <w:rStyle w:val="Style19"/>
                <w:rFonts w:eastAsia="Times New Roman" w:cs="Times New Roman"/>
                <w:b w:val="false"/>
                <w:bCs/>
                <w:i w:val="false"/>
                <w:i w:val="false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Требования к порядку приемки результатов работ</w:t>
            </w:r>
          </w:p>
        </w:tc>
        <w:tc>
          <w:tcPr>
            <w:tcW w:w="1800" w:type="dxa"/>
            <w:vMerge w:val="continue"/>
            <w:tcBorders>
              <w:top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left"/>
              <w:rPr>
                <w:rStyle w:val="Style19"/>
                <w:rFonts w:eastAsia="Times New Roman" w:cs="Times New Roman"/>
                <w:b w:val="false"/>
                <w:bCs/>
                <w:i w:val="false"/>
                <w:i w:val="false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/>
                <w:i w:val="false"/>
                <w:kern w:val="0"/>
                <w:sz w:val="20"/>
                <w:szCs w:val="20"/>
                <w:shd w:fill="auto" w:val="clear"/>
                <w:lang w:val="ru-RU" w:eastAsia="ru-RU" w:bidi="ar-SA"/>
              </w:rPr>
            </w:r>
          </w:p>
        </w:tc>
        <w:tc>
          <w:tcPr>
            <w:tcW w:w="1948" w:type="dxa"/>
            <w:vMerge w:val="continue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left"/>
              <w:rPr>
                <w:rStyle w:val="Style19"/>
                <w:rFonts w:eastAsia="Times New Roman" w:cs="Times New Roman"/>
                <w:b w:val="false"/>
                <w:bCs/>
                <w:i w:val="false"/>
                <w:i w:val="false"/>
                <w:kern w:val="0"/>
                <w:sz w:val="20"/>
                <w:szCs w:val="20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/>
                <w:i w:val="false"/>
                <w:kern w:val="0"/>
                <w:sz w:val="20"/>
                <w:szCs w:val="20"/>
                <w:shd w:fill="auto" w:val="clear"/>
                <w:lang w:val="ru-RU" w:eastAsia="ru-RU" w:bidi="ar-SA"/>
              </w:rPr>
            </w:r>
          </w:p>
        </w:tc>
      </w:tr>
      <w:tr>
        <w:trPr/>
        <w:tc>
          <w:tcPr>
            <w:tcW w:w="900" w:type="dxa"/>
            <w:tcBorders/>
          </w:tcPr>
          <w:p>
            <w:pPr>
              <w:pStyle w:val="Normal"/>
              <w:widowControl w:val="false"/>
              <w:numPr>
                <w:ilvl w:val="2"/>
                <w:numId w:val="2"/>
              </w:numPr>
              <w:suppressAutoHyphens w:val="true"/>
              <w:spacing w:lineRule="auto" w:line="240" w:before="60" w:after="60"/>
              <w:ind w:left="1224" w:hanging="1199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lineRule="auto" w:line="240" w:before="60" w:after="0"/>
              <w:ind w:hanging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bCs/>
                <w:kern w:val="0"/>
                <w:sz w:val="20"/>
                <w:szCs w:val="20"/>
                <w:lang w:val="ru-RU" w:eastAsia="ru-RU" w:bidi="ar-SA"/>
              </w:rPr>
              <w:t>Порядок приемки результатов работ</w:t>
            </w:r>
          </w:p>
        </w:tc>
        <w:tc>
          <w:tcPr>
            <w:tcW w:w="8912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rPr>
                <w:rFonts w:eastAsia="Times New Roman"/>
              </w:rPr>
            </w:pPr>
            <w:r>
              <w:rPr>
                <w:rFonts w:eastAsia="Times New Roman"/>
                <w:bCs/>
                <w:kern w:val="0"/>
                <w:sz w:val="20"/>
                <w:szCs w:val="20"/>
                <w:lang w:val="ru-RU" w:eastAsia="ru-RU" w:bidi="ar-SA"/>
              </w:rPr>
              <w:t>Приемка выполненных работ осуществляется в следующем порядке: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rPr>
                <w:rFonts w:eastAsia="Times New Roman"/>
              </w:rPr>
            </w:pPr>
            <w:r>
              <w:rPr>
                <w:rFonts w:eastAsia="Times New Roman"/>
                <w:bCs/>
                <w:kern w:val="0"/>
                <w:sz w:val="20"/>
                <w:szCs w:val="20"/>
                <w:lang w:val="ru-RU" w:eastAsia="ru-RU" w:bidi="ar-SA"/>
              </w:rPr>
              <w:t>- Подрядчик передает Заказчику подписанный со своей стороны акт сдачи-приемки выполненных работ (в 2 экз.) и результат выполненных работ, предусмотренный п. 2.1.1. Таблицы 4 настоящих ТТ</w:t>
            </w:r>
          </w:p>
        </w:tc>
        <w:tc>
          <w:tcPr>
            <w:tcW w:w="1800" w:type="dxa"/>
            <w:vMerge w:val="continue"/>
            <w:tcBorders>
              <w:top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rPr>
                <w:rFonts w:eastAsia="Times New Roman"/>
              </w:rPr>
            </w:pPr>
            <w:r>
              <w:rPr>
                <w:rFonts w:eastAsia="Times New Roman"/>
              </w:rPr>
            </w:r>
          </w:p>
        </w:tc>
        <w:tc>
          <w:tcPr>
            <w:tcW w:w="1948" w:type="dxa"/>
            <w:vMerge w:val="continue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rPr>
                <w:rFonts w:eastAsia="Times New Roman"/>
              </w:rPr>
            </w:pPr>
            <w:r>
              <w:rPr>
                <w:rFonts w:eastAsia="Times New Roman"/>
              </w:rPr>
            </w:r>
          </w:p>
        </w:tc>
      </w:tr>
      <w:tr>
        <w:trPr/>
        <w:tc>
          <w:tcPr>
            <w:tcW w:w="90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ind w:hanging="0"/>
              <w:contextualSpacing/>
              <w:jc w:val="left"/>
              <w:rPr>
                <w:sz w:val="20"/>
                <w:szCs w:val="20"/>
              </w:rPr>
            </w:pPr>
            <w:r>
              <w:rPr>
                <w:rFonts w:eastAsia="Calibri"/>
                <w:b/>
                <w:bCs/>
                <w:kern w:val="0"/>
                <w:sz w:val="20"/>
                <w:szCs w:val="20"/>
                <w:lang w:val="ru-RU" w:eastAsia="ru-RU" w:bidi="ar-SA"/>
              </w:rPr>
              <w:t>2.3.</w:t>
            </w:r>
          </w:p>
        </w:tc>
        <w:tc>
          <w:tcPr>
            <w:tcW w:w="10892" w:type="dxa"/>
            <w:gridSpan w:val="2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ind w:hanging="0"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Требования к оформлению документации</w:t>
            </w:r>
          </w:p>
        </w:tc>
        <w:tc>
          <w:tcPr>
            <w:tcW w:w="1800" w:type="dxa"/>
            <w:vMerge w:val="continue"/>
            <w:tcBorders>
              <w:top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0"/>
              <w:ind w:hanging="0"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1948" w:type="dxa"/>
            <w:vMerge w:val="continue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0"/>
              <w:ind w:hanging="0"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90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ind w:hanging="0"/>
              <w:contextualSpacing/>
              <w:jc w:val="left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2.3.1.</w:t>
            </w:r>
          </w:p>
        </w:tc>
        <w:tc>
          <w:tcPr>
            <w:tcW w:w="198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lineRule="auto" w:line="240" w:before="60" w:after="0"/>
              <w:ind w:hanging="0"/>
              <w:jc w:val="left"/>
              <w:rPr>
                <w:bCs/>
                <w:sz w:val="20"/>
                <w:szCs w:val="20"/>
              </w:rPr>
            </w:pPr>
            <w:r>
              <w:rPr>
                <w:rFonts w:eastAsia="Times New Roman"/>
                <w:bCs/>
                <w:kern w:val="0"/>
                <w:sz w:val="20"/>
                <w:szCs w:val="20"/>
                <w:lang w:val="ru-RU" w:eastAsia="ru-RU" w:bidi="ar-SA"/>
              </w:rPr>
              <w:t>Оформление документации</w:t>
            </w:r>
          </w:p>
        </w:tc>
        <w:tc>
          <w:tcPr>
            <w:tcW w:w="8912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851" w:leader="none"/>
              </w:tabs>
              <w:suppressAutoHyphens w:val="true"/>
              <w:spacing w:lineRule="auto" w:line="240" w:before="0" w:after="0"/>
              <w:ind w:hanging="0"/>
              <w:contextualSpacing/>
              <w:rPr>
                <w:sz w:val="20"/>
                <w:szCs w:val="20"/>
              </w:rPr>
            </w:pPr>
            <w:r>
              <w:rPr>
                <w:rFonts w:eastAsia="Times New Roman"/>
                <w:bCs/>
                <w:kern w:val="0"/>
                <w:sz w:val="20"/>
                <w:szCs w:val="20"/>
                <w:lang w:val="ru-RU" w:eastAsia="ru-RU" w:bidi="ar-SA"/>
              </w:rPr>
              <w:t>Оформление документации в соответствии с требованиями действующих нормативных документов, регулирующие внесение сведений в Государственный водный реестр</w:t>
            </w:r>
          </w:p>
        </w:tc>
        <w:tc>
          <w:tcPr>
            <w:tcW w:w="1800" w:type="dxa"/>
            <w:vMerge w:val="restart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851" w:leader="none"/>
              </w:tabs>
              <w:suppressAutoHyphens w:val="true"/>
              <w:spacing w:lineRule="auto" w:line="240" w:before="0" w:after="0"/>
              <w:ind w:hanging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948" w:type="dxa"/>
            <w:vMerge w:val="restart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851" w:leader="none"/>
              </w:tabs>
              <w:suppressAutoHyphens w:val="true"/>
              <w:spacing w:lineRule="auto" w:line="240" w:before="0" w:after="0"/>
              <w:ind w:hanging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90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ind w:hanging="0"/>
              <w:contextualSpacing/>
              <w:jc w:val="left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2.3.2.</w:t>
            </w:r>
          </w:p>
        </w:tc>
        <w:tc>
          <w:tcPr>
            <w:tcW w:w="1980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lineRule="auto" w:line="240" w:before="60" w:after="0"/>
              <w:ind w:hanging="0"/>
              <w:jc w:val="left"/>
              <w:rPr>
                <w:bCs/>
                <w:sz w:val="20"/>
                <w:szCs w:val="20"/>
              </w:rPr>
            </w:pPr>
            <w:r>
              <w:rPr>
                <w:rFonts w:eastAsia="Times New Roman"/>
                <w:bCs/>
                <w:kern w:val="0"/>
                <w:sz w:val="20"/>
                <w:szCs w:val="20"/>
                <w:lang w:val="ru-RU" w:eastAsia="ru-RU" w:bidi="ar-SA"/>
              </w:rPr>
              <w:t>Объем и состав материалов, передаваемых Подрядчиком Заказчику</w:t>
            </w:r>
          </w:p>
        </w:tc>
        <w:tc>
          <w:tcPr>
            <w:tcW w:w="8912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851" w:leader="none"/>
              </w:tabs>
              <w:suppressAutoHyphens w:val="true"/>
              <w:spacing w:lineRule="auto" w:line="240" w:before="0" w:after="0"/>
              <w:ind w:firstLine="26"/>
              <w:contextualSpacing/>
              <w:rPr>
                <w:sz w:val="20"/>
                <w:szCs w:val="20"/>
              </w:rPr>
            </w:pPr>
            <w:r>
              <w:rPr>
                <w:rFonts w:eastAsia="Times New Roman"/>
                <w:bCs/>
                <w:kern w:val="0"/>
                <w:sz w:val="20"/>
                <w:szCs w:val="20"/>
                <w:lang w:val="ru-RU" w:eastAsia="ru-RU" w:bidi="ar-SA"/>
              </w:rPr>
              <w:t>Результаты работ передаются Заказчику в электронном виде в 1 экземпляре: редактируемая версия (рабочий формат – *.docx, *.xlsx, *.dwg) и версия в формате *.pdf с подписями и печатями.</w:t>
            </w:r>
          </w:p>
        </w:tc>
        <w:tc>
          <w:tcPr>
            <w:tcW w:w="1800" w:type="dxa"/>
            <w:vMerge w:val="continue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851" w:leader="none"/>
              </w:tabs>
              <w:suppressAutoHyphens w:val="true"/>
              <w:spacing w:lineRule="auto" w:line="240" w:before="0" w:after="0"/>
              <w:ind w:firstLine="26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948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851" w:leader="none"/>
              </w:tabs>
              <w:suppressAutoHyphens w:val="true"/>
              <w:spacing w:lineRule="auto" w:line="240" w:before="0" w:after="0"/>
              <w:ind w:firstLine="26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900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spacing w:lineRule="auto" w:line="240" w:before="60" w:after="60"/>
              <w:contextualSpacing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</w:r>
          </w:p>
        </w:tc>
        <w:tc>
          <w:tcPr>
            <w:tcW w:w="10892" w:type="dxa"/>
            <w:gridSpan w:val="2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40" w:after="0"/>
              <w:ind w:hanging="0"/>
              <w:jc w:val="left"/>
              <w:rPr>
                <w:sz w:val="22"/>
                <w:szCs w:val="22"/>
              </w:rPr>
            </w:pPr>
            <w:r>
              <w:rPr>
                <w:rFonts w:eastAsia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соблюдению положений нормативной и иной обязательной для Подрядчика документации, определяемой видами работ (помимо указанных в других разделах ТТ)</w:t>
            </w:r>
          </w:p>
        </w:tc>
        <w:tc>
          <w:tcPr>
            <w:tcW w:w="1800" w:type="dxa"/>
            <w:vMerge w:val="continue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40" w:after="0"/>
              <w:ind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948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40" w:after="0"/>
              <w:ind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900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2"/>
              </w:numPr>
              <w:suppressAutoHyphens w:val="true"/>
              <w:spacing w:lineRule="auto" w:line="240" w:before="60" w:after="60"/>
              <w:ind w:left="1224" w:hanging="1199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lineRule="auto" w:line="240" w:before="60" w:after="0"/>
              <w:ind w:hanging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eastAsia="ru-RU" w:bidi="ar-SA"/>
              </w:rPr>
              <w:t>Работы должны быть выполнены в соответствии с требованиями действующих нормативных документов</w:t>
            </w:r>
          </w:p>
        </w:tc>
        <w:tc>
          <w:tcPr>
            <w:tcW w:w="8912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32" w:leader="none"/>
              </w:tabs>
              <w:suppressAutoHyphens w:val="true"/>
              <w:spacing w:lineRule="auto" w:line="240" w:before="0" w:after="0"/>
              <w:ind w:left="57" w:right="57" w:hanging="0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eastAsia="ru-RU" w:bidi="ar-SA"/>
              </w:rPr>
              <w:t>При выполнении работ используется законодательная и нормативно-методическая база РФ и субъектов, законов, постановлений Правительства РФ, Стандартов, а также НТД ПАО «РусГидро» и т.д. (в действующей редакции), в том числе, но не ограничиваясь: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08"/>
                <w:tab w:val="left" w:pos="376" w:leader="none"/>
              </w:tabs>
              <w:suppressAutoHyphens w:val="true"/>
              <w:spacing w:lineRule="auto" w:line="240" w:before="0" w:after="44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Водный кодекс Российской Федерации;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08"/>
                <w:tab w:val="left" w:pos="376" w:leader="none"/>
              </w:tabs>
              <w:suppressAutoHyphens w:val="true"/>
              <w:spacing w:lineRule="auto" w:line="240" w:before="0" w:after="44"/>
              <w:rPr>
                <w:kern w:val="0"/>
                <w:lang w:val="ru-RU" w:bidi="ar-SA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Приказ Министерства природных ресурсов и экологии Российской Федерации от 15.07.2025 г. № 395 «Об утверждении Правил внесения сведений в государственный водный реестр»;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08"/>
                <w:tab w:val="left" w:pos="376" w:leader="none"/>
              </w:tabs>
              <w:suppressAutoHyphens w:val="true"/>
              <w:spacing w:lineRule="auto" w:line="240" w:before="0" w:after="44"/>
              <w:rPr>
                <w:kern w:val="0"/>
                <w:highlight w:val="none"/>
                <w:shd w:fill="auto" w:val="clear"/>
                <w:lang w:val="ru-RU" w:bidi="ar-SA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Приказ Министерства природных ресурсов и экологии Российской Федерации от 14.10.2025 г. № 547 «</w:t>
            </w:r>
            <w:r>
              <w:rPr>
                <w:rFonts w:eastAsia="Calibri"/>
                <w:b/>
                <w:bCs/>
                <w:color w:val="444444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 xml:space="preserve">Об </w:t>
            </w:r>
            <w:r>
              <w:rPr>
                <w:rFonts w:eastAsia="Calibri"/>
                <w:bCs/>
                <w:color w:val="444444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утверждении </w:t>
            </w:r>
            <w:r>
              <w:rPr>
                <w:rFonts w:eastAsia="Calibri"/>
                <w:bCs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порядка представления</w:t>
            </w:r>
            <w:r>
              <w:rPr>
                <w:rFonts w:eastAsia="Calibri"/>
                <w:bCs/>
                <w:color w:val="444444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 и </w:t>
            </w:r>
            <w:r>
              <w:rPr>
                <w:rFonts w:eastAsia="Calibri"/>
                <w:bCs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состава сведений о поверхностных водных объектах и особенностях их водного режима, предоставляемых Федеральной службой по гидрометеорологии и мониторингу окружающей среды для внесения в государственный водный реестр</w:t>
            </w:r>
            <w:r>
              <w:rPr>
                <w:rFonts w:eastAsia="Times New Roman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»;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08"/>
                <w:tab w:val="left" w:pos="376" w:leader="none"/>
              </w:tabs>
              <w:suppressAutoHyphens w:val="true"/>
              <w:spacing w:lineRule="auto" w:line="240" w:before="0" w:after="44"/>
              <w:rPr>
                <w:kern w:val="0"/>
                <w:lang w:val="ru-RU" w:bidi="ar-SA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Постановление Правительства от 28.04.2007 № 253 «</w:t>
            </w:r>
            <w:r>
              <w:rPr>
                <w:rFonts w:eastAsia="Calibri"/>
                <w:bCs/>
                <w:color w:val="22272F"/>
                <w:kern w:val="0"/>
                <w:sz w:val="20"/>
                <w:szCs w:val="20"/>
                <w:shd w:fill="FFFFFF" w:val="clear"/>
                <w:lang w:val="ru-RU" w:eastAsia="ru-RU" w:bidi="ar-SA"/>
              </w:rPr>
              <w:t>О порядке ведения государственного водного реестра»</w:t>
            </w:r>
            <w:r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.</w:t>
            </w:r>
          </w:p>
        </w:tc>
        <w:tc>
          <w:tcPr>
            <w:tcW w:w="1800" w:type="dxa"/>
            <w:vMerge w:val="continue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32" w:leader="none"/>
              </w:tabs>
              <w:suppressAutoHyphens w:val="true"/>
              <w:spacing w:lineRule="auto" w:line="240" w:before="0" w:after="0"/>
              <w:ind w:left="57" w:right="57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948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32" w:leader="none"/>
              </w:tabs>
              <w:suppressAutoHyphens w:val="true"/>
              <w:spacing w:lineRule="auto" w:line="240" w:before="0" w:after="0"/>
              <w:ind w:left="57" w:right="57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900" w:type="dxa"/>
            <w:tcBorders/>
          </w:tcPr>
          <w:p>
            <w:pPr>
              <w:pStyle w:val="Normal"/>
              <w:widowControl w:val="false"/>
              <w:numPr>
                <w:ilvl w:val="2"/>
                <w:numId w:val="2"/>
              </w:numPr>
              <w:suppressAutoHyphens w:val="true"/>
              <w:spacing w:lineRule="auto" w:line="240" w:before="60" w:after="60"/>
              <w:ind w:left="1224" w:hanging="1199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lineRule="auto" w:line="240" w:before="60" w:after="0"/>
              <w:ind w:hanging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eastAsia="ru-RU" w:bidi="ar-SA"/>
              </w:rPr>
              <w:t>Организация безопасного выполнения работ</w:t>
            </w:r>
          </w:p>
        </w:tc>
        <w:tc>
          <w:tcPr>
            <w:tcW w:w="8912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32" w:leader="none"/>
              </w:tabs>
              <w:suppressAutoHyphens w:val="true"/>
              <w:spacing w:lineRule="auto" w:line="240" w:before="0" w:after="0"/>
              <w:ind w:left="57" w:right="57" w:hanging="0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eastAsia="ru-RU" w:bidi="ar-SA"/>
              </w:rPr>
              <w:t>При выполнении работ Подрядчик должен: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32" w:leader="none"/>
              </w:tabs>
              <w:suppressAutoHyphens w:val="true"/>
              <w:spacing w:lineRule="auto" w:line="240" w:before="0" w:after="0"/>
              <w:ind w:left="57" w:right="57" w:hanging="0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eastAsia="ru-RU" w:bidi="ar-SA"/>
              </w:rPr>
              <w:t>- Соблюдать меры конфиденциальности по отношению к исходным данным предоставляемым Заказчиком, а также данным, полученным в результате выполнения работ;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32" w:leader="none"/>
              </w:tabs>
              <w:suppressAutoHyphens w:val="true"/>
              <w:spacing w:lineRule="auto" w:line="240" w:before="0" w:after="0"/>
              <w:ind w:left="57" w:right="57" w:hanging="0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eastAsia="ru-RU" w:bidi="ar-SA"/>
              </w:rPr>
              <w:t>- Соблюдать Федеральный закон РФ от 27.07.2006 № 152-ФЗ «О персональных данных»;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32" w:leader="none"/>
              </w:tabs>
              <w:suppressAutoHyphens w:val="true"/>
              <w:spacing w:lineRule="auto" w:line="240" w:before="0" w:after="0"/>
              <w:ind w:left="57" w:right="57" w:hanging="0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eastAsia="ru-RU" w:bidi="ar-SA"/>
              </w:rPr>
              <w:t>- Соблюдать требования нормативных документов, изложенных в п. 3.1.1.</w:t>
            </w:r>
          </w:p>
        </w:tc>
        <w:tc>
          <w:tcPr>
            <w:tcW w:w="1800" w:type="dxa"/>
            <w:vMerge w:val="continue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32" w:leader="none"/>
              </w:tabs>
              <w:suppressAutoHyphens w:val="true"/>
              <w:spacing w:lineRule="auto" w:line="240" w:before="0" w:after="0"/>
              <w:ind w:left="57" w:right="57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948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32" w:leader="none"/>
              </w:tabs>
              <w:suppressAutoHyphens w:val="true"/>
              <w:spacing w:lineRule="auto" w:line="240" w:before="0" w:after="0"/>
              <w:ind w:left="57" w:right="57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90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ind w:hanging="0"/>
              <w:contextualSpacing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b/>
                <w:bCs/>
                <w:kern w:val="0"/>
                <w:sz w:val="22"/>
                <w:szCs w:val="22"/>
                <w:lang w:val="ru-RU" w:eastAsia="ru-RU" w:bidi="ar-SA"/>
              </w:rPr>
              <w:t>4.</w:t>
            </w:r>
          </w:p>
        </w:tc>
        <w:tc>
          <w:tcPr>
            <w:tcW w:w="10892" w:type="dxa"/>
            <w:gridSpan w:val="2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before="60" w:after="60"/>
              <w:ind w:hanging="0"/>
              <w:jc w:val="left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подрядчику (и субподрядчикам) и его обязательствам, влияющим на исполнение договора</w:t>
            </w:r>
          </w:p>
        </w:tc>
        <w:tc>
          <w:tcPr>
            <w:tcW w:w="1800" w:type="dxa"/>
            <w:vMerge w:val="continue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before="60" w:after="60"/>
              <w:ind w:hanging="0"/>
              <w:jc w:val="left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1948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before="60" w:after="60"/>
              <w:ind w:hanging="0"/>
              <w:jc w:val="left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</w:tr>
      <w:tr>
        <w:trPr/>
        <w:tc>
          <w:tcPr>
            <w:tcW w:w="90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ind w:hanging="0"/>
              <w:contextualSpacing/>
              <w:jc w:val="left"/>
              <w:rPr>
                <w:sz w:val="20"/>
                <w:szCs w:val="20"/>
              </w:rPr>
            </w:pPr>
            <w:r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4.1.1.</w:t>
            </w:r>
          </w:p>
        </w:tc>
        <w:tc>
          <w:tcPr>
            <w:tcW w:w="1980" w:type="dxa"/>
            <w:tcBorders>
              <w:top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lineRule="auto" w:line="240" w:before="60" w:after="0"/>
              <w:ind w:hanging="0"/>
              <w:jc w:val="left"/>
              <w:rPr>
                <w:sz w:val="20"/>
                <w:szCs w:val="20"/>
              </w:rPr>
            </w:pPr>
            <w:r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Требования к наличию лицензий</w:t>
            </w:r>
          </w:p>
        </w:tc>
        <w:tc>
          <w:tcPr>
            <w:tcW w:w="8912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32" w:leader="none"/>
              </w:tabs>
              <w:suppressAutoHyphens w:val="true"/>
              <w:spacing w:lineRule="auto" w:line="240" w:before="0" w:after="0"/>
              <w:ind w:left="57" w:right="57" w:hanging="0"/>
              <w:rPr/>
            </w:pPr>
            <w:r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Подрядчик должен иметь </w:t>
            </w:r>
            <w:r>
              <w:rPr>
                <w:rStyle w:val="Strong"/>
                <w:rFonts w:eastAsia="Calibri"/>
                <w:b w:val="false"/>
                <w:bCs w:val="false"/>
                <w:kern w:val="0"/>
                <w:sz w:val="20"/>
                <w:szCs w:val="20"/>
                <w:lang w:val="ru-RU" w:eastAsia="ru-RU" w:bidi="ar-SA"/>
              </w:rPr>
              <w:t>действующие лицензии</w:t>
            </w:r>
            <w:r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 на следующие виды деятельности: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32" w:leader="none"/>
              </w:tabs>
              <w:suppressAutoHyphens w:val="true"/>
              <w:spacing w:lineRule="auto" w:line="240" w:before="0" w:after="0"/>
              <w:ind w:left="57" w:right="57" w:hanging="0"/>
              <w:rPr>
                <w:sz w:val="20"/>
                <w:szCs w:val="20"/>
              </w:rPr>
            </w:pPr>
            <w:r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- лицензия на осуществление геодезической и картографической деятельности, выданная Федеральной службой государственной регистрации, кадастра и картографии (Росреестр) в соответствии с Постановлением Правительства Российской Федерации от 28.07.2020 № 1126.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32" w:leader="none"/>
              </w:tabs>
              <w:suppressAutoHyphens w:val="true"/>
              <w:spacing w:lineRule="auto" w:line="240" w:before="0" w:after="113"/>
              <w:ind w:left="57" w:right="57" w:hanging="0"/>
              <w:rPr>
                <w:sz w:val="20"/>
                <w:szCs w:val="20"/>
              </w:rPr>
            </w:pPr>
            <w:r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- лицензия на осуществление деятельности в области гидрометеорологии и смежных с ней областях, выданную Федеральной службой по гидрометеорологии и мониторингу окружающей среды (Росгидромет).</w:t>
            </w:r>
          </w:p>
          <w:p>
            <w:pPr>
              <w:pStyle w:val="BodyText"/>
              <w:widowControl w:val="false"/>
              <w:tabs>
                <w:tab w:val="clear" w:pos="708"/>
                <w:tab w:val="left" w:pos="142" w:leader="none"/>
                <w:tab w:val="left" w:pos="567" w:leader="none"/>
              </w:tabs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  <w:lang w:val="ru-RU" w:eastAsia="ru-RU" w:bidi="ar-SA"/>
              </w:rPr>
              <w:t xml:space="preserve">Копии лицензий </w:t>
            </w: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 xml:space="preserve">(или выписку из реестра лицензий) </w:t>
            </w:r>
            <w:r>
              <w:rPr>
                <w:kern w:val="0"/>
                <w:sz w:val="20"/>
                <w:szCs w:val="20"/>
                <w:lang w:val="ru-RU" w:eastAsia="ru-RU" w:bidi="ar-SA"/>
              </w:rPr>
              <w:t>предоставляются Заказчику перед началом выполнения работ.</w:t>
            </w:r>
          </w:p>
        </w:tc>
        <w:tc>
          <w:tcPr>
            <w:tcW w:w="1800" w:type="dxa"/>
            <w:vMerge w:val="continue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32" w:leader="none"/>
              </w:tabs>
              <w:suppressAutoHyphens w:val="true"/>
              <w:spacing w:lineRule="auto" w:line="240" w:before="0" w:after="0"/>
              <w:ind w:left="57" w:right="57" w:hanging="0"/>
              <w:rPr/>
            </w:pPr>
            <w:r>
              <w:rPr/>
            </w:r>
          </w:p>
        </w:tc>
        <w:tc>
          <w:tcPr>
            <w:tcW w:w="1948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32" w:leader="none"/>
              </w:tabs>
              <w:suppressAutoHyphens w:val="true"/>
              <w:spacing w:lineRule="auto" w:line="240" w:before="0" w:after="0"/>
              <w:ind w:left="57" w:right="57" w:hanging="0"/>
              <w:rPr/>
            </w:pPr>
            <w:r>
              <w:rPr/>
            </w:r>
          </w:p>
        </w:tc>
      </w:tr>
    </w:tbl>
    <w:p>
      <w:pPr>
        <w:pStyle w:val="Heading1"/>
        <w:tabs>
          <w:tab w:val="clear" w:pos="708"/>
          <w:tab w:val="left" w:pos="0" w:leader="none"/>
        </w:tabs>
        <w:spacing w:before="240" w:after="60"/>
        <w:rPr>
          <w:sz w:val="28"/>
          <w:szCs w:val="28"/>
        </w:rPr>
      </w:pPr>
      <w:r>
        <w:rPr/>
      </w:r>
    </w:p>
    <w:p>
      <w:pPr>
        <w:pStyle w:val="Heading1"/>
        <w:keepLines/>
        <w:numPr>
          <w:ilvl w:val="0"/>
          <w:numId w:val="0"/>
        </w:numPr>
        <w:spacing w:before="0" w:after="0"/>
        <w:ind w:left="0" w:right="0" w:hanging="0"/>
        <w:jc w:val="left"/>
        <w:rPr>
          <w:sz w:val="24"/>
          <w:szCs w:val="24"/>
        </w:rPr>
      </w:pPr>
      <w:bookmarkStart w:id="79" w:name="__RefHeading___Toc12008_3645919304"/>
      <w:bookmarkEnd w:id="79"/>
      <w:r>
        <w:rPr>
          <w:sz w:val="24"/>
          <w:szCs w:val="24"/>
          <w:shd w:fill="auto" w:val="clear"/>
          <w:lang w:val="ru-RU"/>
        </w:rPr>
        <w:t xml:space="preserve">3. </w:t>
      </w:r>
      <w:bookmarkStart w:id="80" w:name="_Toc223008892"/>
      <w:r>
        <w:rPr>
          <w:sz w:val="24"/>
          <w:szCs w:val="24"/>
          <w:shd w:fill="auto" w:val="clear"/>
          <w:lang w:val="ru-RU"/>
        </w:rPr>
        <w:t>Состав заявки для мониторинга цен</w:t>
      </w:r>
      <w:bookmarkEnd w:id="80"/>
    </w:p>
    <w:p>
      <w:pPr>
        <w:pStyle w:val="Normal"/>
        <w:widowControl w:val="false"/>
        <w:numPr>
          <w:ilvl w:val="0"/>
        </w:numPr>
        <w:tabs>
          <w:tab w:val="clear" w:pos="708"/>
          <w:tab w:val="left" w:pos="426" w:leader="none"/>
          <w:tab w:val="left" w:pos="733" w:leader="none"/>
        </w:tabs>
        <w:suppressAutoHyphens w:val="true"/>
        <w:overflowPunct w:val="false"/>
        <w:bidi w:val="0"/>
        <w:spacing w:before="0" w:after="0"/>
        <w:ind w:left="0" w:right="0" w:hanging="0"/>
        <w:jc w:val="both"/>
        <w:rPr>
          <w:sz w:val="24"/>
          <w:szCs w:val="24"/>
        </w:rPr>
      </w:pPr>
      <w:bookmarkStart w:id="81" w:name="_Toc51339699_Копия_1"/>
      <w:bookmarkStart w:id="82" w:name="_Toc46743519_Копия_1"/>
      <w:bookmarkEnd w:id="81"/>
      <w:bookmarkEnd w:id="82"/>
      <w:r>
        <w:rPr>
          <w:iCs/>
          <w:sz w:val="24"/>
          <w:szCs w:val="24"/>
          <w:shd w:fill="auto" w:val="clear"/>
          <w:lang w:eastAsia="x-none"/>
        </w:rPr>
        <w:t xml:space="preserve">3.1. </w:t>
      </w:r>
      <w:r>
        <w:rPr>
          <w:iCs/>
          <w:sz w:val="24"/>
          <w:szCs w:val="24"/>
          <w:shd w:fill="auto" w:val="clear"/>
          <w:lang w:val="x-none" w:eastAsia="x-none"/>
        </w:rPr>
        <w:t xml:space="preserve">В составе </w:t>
      </w:r>
      <w:r>
        <w:rPr>
          <w:iCs/>
          <w:sz w:val="24"/>
          <w:szCs w:val="24"/>
          <w:shd w:fill="auto" w:val="clear"/>
          <w:lang w:eastAsia="x-none"/>
        </w:rPr>
        <w:t xml:space="preserve">заявки на </w:t>
      </w:r>
      <w:r>
        <w:rPr>
          <w:iCs/>
          <w:sz w:val="24"/>
          <w:szCs w:val="24"/>
          <w:shd w:fill="auto" w:val="clear"/>
          <w:lang w:val="x-none" w:eastAsia="x-none"/>
        </w:rPr>
        <w:t xml:space="preserve">мониторинг цен необходимо представить </w:t>
      </w:r>
      <w:r>
        <w:rPr>
          <w:iCs/>
          <w:sz w:val="24"/>
          <w:szCs w:val="24"/>
          <w:shd w:fill="auto" w:val="clear"/>
          <w:lang w:eastAsia="x-none"/>
        </w:rPr>
        <w:t>Технико-коммерческое предложение по форме приложения №1 к настоящим Техническим требованиям.</w:t>
      </w:r>
    </w:p>
    <w:p>
      <w:pPr>
        <w:pStyle w:val="Normal"/>
        <w:widowControl w:val="false"/>
        <w:tabs>
          <w:tab w:val="clear" w:pos="708"/>
          <w:tab w:val="left" w:pos="426" w:leader="none"/>
          <w:tab w:val="left" w:pos="733" w:leader="none"/>
        </w:tabs>
        <w:suppressAutoHyphens w:val="true"/>
        <w:overflowPunct w:val="false"/>
        <w:bidi w:val="0"/>
        <w:spacing w:before="0" w:after="0"/>
        <w:ind w:left="0" w:right="0" w:hanging="0"/>
        <w:jc w:val="both"/>
        <w:rPr>
          <w:iCs/>
          <w:sz w:val="24"/>
          <w:szCs w:val="24"/>
          <w:shd w:fill="auto" w:val="clear"/>
          <w:lang w:eastAsia="x-none"/>
        </w:rPr>
      </w:pPr>
      <w:r>
        <w:rPr>
          <w:iCs/>
          <w:sz w:val="24"/>
          <w:szCs w:val="24"/>
          <w:shd w:fill="auto" w:val="clear"/>
          <w:lang w:eastAsia="x-none"/>
        </w:rPr>
      </w:r>
    </w:p>
    <w:p>
      <w:pPr>
        <w:pStyle w:val="Heading1"/>
        <w:keepNext w:val="true"/>
        <w:widowControl/>
        <w:numPr>
          <w:ilvl w:val="0"/>
          <w:numId w:val="0"/>
        </w:numPr>
        <w:suppressAutoHyphens w:val="true"/>
        <w:bidi w:val="0"/>
        <w:spacing w:before="120" w:after="60"/>
        <w:ind w:left="0" w:right="0" w:hanging="0"/>
        <w:jc w:val="left"/>
        <w:rPr>
          <w:sz w:val="24"/>
          <w:szCs w:val="24"/>
        </w:rPr>
      </w:pPr>
      <w:bookmarkStart w:id="83" w:name="__RefHeading___Toc9021_2986068082"/>
      <w:bookmarkEnd w:id="83"/>
      <w:r>
        <w:rPr>
          <w:sz w:val="24"/>
          <w:szCs w:val="24"/>
        </w:rPr>
        <w:t>4. Приложения</w:t>
      </w:r>
    </w:p>
    <w:p>
      <w:pPr>
        <w:pStyle w:val="Normal"/>
        <w:widowControl/>
        <w:tabs>
          <w:tab w:val="clear" w:pos="708"/>
          <w:tab w:val="left" w:pos="0" w:leader="none"/>
        </w:tabs>
        <w:suppressAutoHyphens w:val="true"/>
        <w:bidi w:val="0"/>
        <w:spacing w:lineRule="auto" w:line="276" w:before="0" w:after="0"/>
        <w:ind w:left="0" w:right="0" w:hanging="0"/>
        <w:jc w:val="both"/>
        <w:rPr>
          <w:b w:val="false"/>
          <w:bCs w:val="false"/>
        </w:rPr>
      </w:pPr>
      <w:r>
        <w:rPr>
          <w:rFonts w:eastAsia="Calibri"/>
          <w:b w:val="false"/>
          <w:bCs w:val="false"/>
          <w:sz w:val="24"/>
          <w:szCs w:val="24"/>
          <w:shd w:fill="auto" w:val="clear"/>
        </w:rPr>
        <w:t>Приложение №1: Форма «Технико-коммерческое предложение».</w:t>
      </w:r>
    </w:p>
    <w:p>
      <w:pPr>
        <w:pStyle w:val="Normal"/>
        <w:widowControl/>
        <w:tabs>
          <w:tab w:val="clear" w:pos="708"/>
          <w:tab w:val="left" w:pos="0" w:leader="none"/>
        </w:tabs>
        <w:suppressAutoHyphens w:val="true"/>
        <w:bidi w:val="0"/>
        <w:spacing w:lineRule="auto" w:line="276" w:before="0" w:after="0"/>
        <w:ind w:left="0" w:right="0" w:hanging="0"/>
        <w:jc w:val="both"/>
        <w:rPr>
          <w:b w:val="false"/>
          <w:bCs w:val="false"/>
        </w:rPr>
      </w:pPr>
      <w:r>
        <w:rPr/>
      </w:r>
    </w:p>
    <w:p>
      <w:pPr>
        <w:pStyle w:val="Normal"/>
        <w:widowControl/>
        <w:tabs>
          <w:tab w:val="clear" w:pos="708"/>
          <w:tab w:val="left" w:pos="0" w:leader="none"/>
        </w:tabs>
        <w:suppressAutoHyphens w:val="true"/>
        <w:bidi w:val="0"/>
        <w:spacing w:lineRule="auto" w:line="276" w:before="0" w:after="0"/>
        <w:ind w:left="0" w:right="0" w:hanging="0"/>
        <w:jc w:val="both"/>
        <w:rPr>
          <w:b w:val="false"/>
          <w:bCs w:val="false"/>
        </w:rPr>
      </w:pPr>
      <w:r>
        <w:rPr/>
      </w:r>
    </w:p>
    <w:p>
      <w:pPr>
        <w:pStyle w:val="Normal"/>
        <w:widowControl/>
        <w:tabs>
          <w:tab w:val="clear" w:pos="708"/>
          <w:tab w:val="left" w:pos="0" w:leader="none"/>
        </w:tabs>
        <w:suppressAutoHyphens w:val="true"/>
        <w:bidi w:val="0"/>
        <w:spacing w:lineRule="auto" w:line="276" w:before="0" w:after="0"/>
        <w:ind w:left="0" w:right="0" w:hanging="0"/>
        <w:jc w:val="both"/>
        <w:rPr>
          <w:b w:val="false"/>
          <w:bCs w:val="false"/>
        </w:rPr>
      </w:pPr>
      <w:r>
        <w:rPr/>
      </w:r>
    </w:p>
    <w:p>
      <w:pPr>
        <w:pStyle w:val="Normal"/>
        <w:widowControl/>
        <w:tabs>
          <w:tab w:val="clear" w:pos="708"/>
          <w:tab w:val="left" w:pos="0" w:leader="none"/>
        </w:tabs>
        <w:suppressAutoHyphens w:val="true"/>
        <w:bidi w:val="0"/>
        <w:spacing w:lineRule="auto" w:line="276" w:before="0" w:after="0"/>
        <w:ind w:left="0" w:right="0" w:hanging="0"/>
        <w:jc w:val="both"/>
        <w:rPr>
          <w:b w:val="false"/>
          <w:bCs w:val="false"/>
        </w:rPr>
      </w:pPr>
      <w:r>
        <w:rPr/>
      </w:r>
    </w:p>
    <w:p>
      <w:pPr>
        <w:pStyle w:val="Normal"/>
        <w:widowControl/>
        <w:tabs>
          <w:tab w:val="clear" w:pos="708"/>
          <w:tab w:val="left" w:pos="0" w:leader="none"/>
        </w:tabs>
        <w:suppressAutoHyphens w:val="true"/>
        <w:bidi w:val="0"/>
        <w:spacing w:lineRule="auto" w:line="276" w:before="0" w:after="0"/>
        <w:ind w:left="0" w:right="0" w:hanging="0"/>
        <w:jc w:val="both"/>
        <w:rPr>
          <w:b w:val="false"/>
          <w:bCs w:val="false"/>
        </w:rPr>
      </w:pPr>
      <w:r>
        <w:rPr/>
      </w:r>
    </w:p>
    <w:p>
      <w:pPr>
        <w:pStyle w:val="Normal"/>
        <w:widowControl/>
        <w:tabs>
          <w:tab w:val="clear" w:pos="708"/>
          <w:tab w:val="left" w:pos="0" w:leader="none"/>
        </w:tabs>
        <w:suppressAutoHyphens w:val="true"/>
        <w:bidi w:val="0"/>
        <w:spacing w:lineRule="auto" w:line="276" w:before="0" w:after="0"/>
        <w:ind w:left="0" w:right="0" w:hanging="0"/>
        <w:jc w:val="both"/>
        <w:rPr>
          <w:b w:val="false"/>
          <w:bCs w:val="false"/>
        </w:rPr>
      </w:pPr>
      <w:r>
        <w:rPr/>
      </w:r>
    </w:p>
    <w:p>
      <w:pPr>
        <w:pStyle w:val="Normal"/>
        <w:widowControl/>
        <w:tabs>
          <w:tab w:val="clear" w:pos="708"/>
          <w:tab w:val="left" w:pos="0" w:leader="none"/>
        </w:tabs>
        <w:suppressAutoHyphens w:val="true"/>
        <w:bidi w:val="0"/>
        <w:spacing w:lineRule="auto" w:line="276" w:before="0" w:after="0"/>
        <w:ind w:left="0" w:right="0" w:hanging="0"/>
        <w:jc w:val="both"/>
        <w:rPr>
          <w:b w:val="false"/>
          <w:bCs w:val="false"/>
        </w:rPr>
      </w:pPr>
      <w:r>
        <w:rPr/>
      </w:r>
    </w:p>
    <w:p>
      <w:pPr>
        <w:pStyle w:val="Normal"/>
        <w:widowControl/>
        <w:tabs>
          <w:tab w:val="clear" w:pos="708"/>
          <w:tab w:val="left" w:pos="0" w:leader="none"/>
        </w:tabs>
        <w:suppressAutoHyphens w:val="true"/>
        <w:bidi w:val="0"/>
        <w:spacing w:lineRule="auto" w:line="276" w:before="0" w:after="0"/>
        <w:ind w:left="0" w:right="0" w:hanging="0"/>
        <w:jc w:val="both"/>
        <w:rPr>
          <w:b w:val="false"/>
          <w:bCs w:val="false"/>
        </w:rPr>
      </w:pPr>
      <w:r>
        <w:rPr/>
      </w:r>
    </w:p>
    <w:p>
      <w:pPr>
        <w:pStyle w:val="Normal"/>
        <w:widowControl/>
        <w:tabs>
          <w:tab w:val="clear" w:pos="708"/>
          <w:tab w:val="left" w:pos="0" w:leader="none"/>
        </w:tabs>
        <w:suppressAutoHyphens w:val="true"/>
        <w:bidi w:val="0"/>
        <w:spacing w:lineRule="auto" w:line="276" w:before="0" w:after="0"/>
        <w:ind w:left="0" w:right="0" w:hanging="0"/>
        <w:jc w:val="both"/>
        <w:rPr>
          <w:b w:val="false"/>
          <w:bCs w:val="false"/>
        </w:rPr>
      </w:pPr>
      <w:r>
        <w:rPr/>
      </w:r>
    </w:p>
    <w:p>
      <w:pPr>
        <w:sectPr>
          <w:headerReference w:type="default" r:id="rId5"/>
          <w:headerReference w:type="first" r:id="rId6"/>
          <w:footerReference w:type="default" r:id="rId7"/>
          <w:footerReference w:type="first" r:id="rId8"/>
          <w:type w:val="nextPage"/>
          <w:pgSz w:orient="landscape" w:w="16838" w:h="11906"/>
          <w:pgMar w:left="1134" w:right="516" w:gutter="0" w:header="709" w:top="1304" w:footer="709" w:bottom="924"/>
          <w:pgNumType w:fmt="decimal"/>
          <w:formProt w:val="false"/>
          <w:textDirection w:val="lrTb"/>
          <w:docGrid w:type="default" w:linePitch="381" w:charSpace="0"/>
        </w:sectPr>
        <w:pStyle w:val="Normal"/>
        <w:widowControl/>
        <w:tabs>
          <w:tab w:val="clear" w:pos="708"/>
          <w:tab w:val="left" w:pos="0" w:leader="none"/>
        </w:tabs>
        <w:suppressAutoHyphens w:val="true"/>
        <w:bidi w:val="0"/>
        <w:spacing w:lineRule="auto" w:line="276" w:before="0" w:after="0"/>
        <w:ind w:left="0" w:right="0" w:hanging="0"/>
        <w:jc w:val="both"/>
        <w:rPr>
          <w:b w:val="false"/>
          <w:bCs w:val="false"/>
        </w:rPr>
      </w:pPr>
      <w:r>
        <w:rPr/>
      </w:r>
    </w:p>
    <w:p>
      <w:pPr>
        <w:pStyle w:val="Normal"/>
        <w:widowControl w:val="false"/>
        <w:numPr>
          <w:ilvl w:val="0"/>
          <w:numId w:val="0"/>
        </w:numPr>
        <w:tabs>
          <w:tab w:val="clear" w:pos="708"/>
          <w:tab w:val="left" w:pos="426" w:leader="none"/>
        </w:tabs>
        <w:ind w:left="6160" w:right="142" w:hanging="0"/>
        <w:jc w:val="right"/>
        <w:rPr>
          <w:b/>
          <w:bCs/>
        </w:rPr>
      </w:pPr>
      <w:r>
        <w:rPr>
          <w:b/>
          <w:bCs/>
          <w:sz w:val="24"/>
        </w:rPr>
        <w:t>Приложение №1 к ТТ</w:t>
      </w:r>
    </w:p>
    <w:p>
      <w:pPr>
        <w:pStyle w:val="Normal"/>
        <w:widowControl w:val="false"/>
        <w:numPr>
          <w:ilvl w:val="0"/>
          <w:numId w:val="0"/>
        </w:numPr>
        <w:tabs>
          <w:tab w:val="clear" w:pos="708"/>
          <w:tab w:val="left" w:pos="426" w:leader="none"/>
        </w:tabs>
        <w:ind w:left="6160" w:right="142" w:hanging="0"/>
        <w:jc w:val="right"/>
        <w:rPr>
          <w:sz w:val="24"/>
        </w:rPr>
      </w:pPr>
      <w:r>
        <w:rPr>
          <w:sz w:val="24"/>
        </w:rPr>
      </w:r>
    </w:p>
    <w:p>
      <w:pPr>
        <w:pStyle w:val="Normal"/>
        <w:widowControl w:val="false"/>
        <w:numPr>
          <w:ilvl w:val="0"/>
          <w:numId w:val="0"/>
        </w:numPr>
        <w:tabs>
          <w:tab w:val="clear" w:pos="708"/>
          <w:tab w:val="left" w:pos="426" w:leader="none"/>
        </w:tabs>
        <w:ind w:left="6160" w:hanging="0"/>
        <w:jc w:val="right"/>
        <w:rPr>
          <w:sz w:val="24"/>
        </w:rPr>
      </w:pPr>
      <w:r>
        <w:rPr>
          <w:sz w:val="24"/>
        </w:rPr>
      </w:r>
    </w:p>
    <w:tbl>
      <w:tblPr>
        <w:tblW w:w="9866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866"/>
      </w:tblGrid>
      <w:tr>
        <w:trPr/>
        <w:tc>
          <w:tcPr>
            <w:tcW w:w="9866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left="0" w:right="0" w:hanging="0"/>
              <w:jc w:val="center"/>
              <w:rPr/>
            </w:pPr>
            <w:r>
              <w:rPr>
                <w:b/>
                <w:sz w:val="24"/>
                <w:szCs w:val="24"/>
              </w:rPr>
              <w:t>Форма «Технико-коммерческое предложение»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 w:val="24"/>
                <w:szCs w:val="24"/>
              </w:rPr>
              <w:t>начало формы</w:t>
            </w:r>
          </w:p>
        </w:tc>
      </w:tr>
    </w:tbl>
    <w:p>
      <w:pPr>
        <w:pStyle w:val="Normal"/>
        <w:numPr>
          <w:ilvl w:val="0"/>
          <w:numId w:val="0"/>
        </w:numPr>
        <w:tabs>
          <w:tab w:val="clear" w:pos="708"/>
          <w:tab w:val="left" w:pos="5812" w:leader="none"/>
        </w:tabs>
        <w:ind w:left="0" w:right="0" w:hanging="0"/>
        <w:jc w:val="center"/>
        <w:rPr/>
      </w:pPr>
      <w:r>
        <w:rPr>
          <w:i/>
          <w:sz w:val="24"/>
          <w:szCs w:val="24"/>
        </w:rPr>
        <w:t>На официальном бланке участника</w:t>
      </w:r>
    </w:p>
    <w:p>
      <w:pPr>
        <w:pStyle w:val="Normal"/>
        <w:numPr>
          <w:ilvl w:val="0"/>
          <w:numId w:val="0"/>
        </w:numPr>
        <w:suppressAutoHyphens w:val="true"/>
        <w:spacing w:before="0" w:after="240"/>
        <w:ind w:left="5038" w:hanging="0"/>
        <w:jc w:val="center"/>
        <w:rPr>
          <w:b/>
        </w:rPr>
      </w:pPr>
      <w:r>
        <w:rPr>
          <w:b/>
        </w:rPr>
      </w:r>
    </w:p>
    <w:tbl>
      <w:tblPr>
        <w:tblW w:w="300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74"/>
        <w:gridCol w:w="1072"/>
        <w:gridCol w:w="1253"/>
      </w:tblGrid>
      <w:tr>
        <w:trPr/>
        <w:tc>
          <w:tcPr>
            <w:tcW w:w="1746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ind w:left="0" w:right="0" w:hanging="0"/>
              <w:rPr/>
            </w:pPr>
            <w:r>
              <w:rPr>
                <w:sz w:val="24"/>
                <w:szCs w:val="24"/>
              </w:rPr>
              <w:t>Исходящий №</w:t>
            </w:r>
          </w:p>
        </w:tc>
        <w:tc>
          <w:tcPr>
            <w:tcW w:w="1253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ind w:left="0" w:right="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ind w:left="0" w:right="0" w:hanging="0"/>
              <w:rPr/>
            </w:pPr>
            <w:r>
              <w:rPr>
                <w:sz w:val="24"/>
                <w:szCs w:val="24"/>
              </w:rPr>
              <w:t>от</w:t>
            </w:r>
          </w:p>
        </w:tc>
        <w:tc>
          <w:tcPr>
            <w:tcW w:w="2325" w:type="dxa"/>
            <w:gridSpan w:val="2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ind w:left="0" w:right="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/>
            <w:shd w:color="auto" w:fill="auto" w:val="clear"/>
          </w:tcPr>
          <w:p>
            <w:pPr>
              <w:pStyle w:val="Normal"/>
              <w:widowControl w:val="false"/>
              <w:ind w:left="0" w:right="0" w:hanging="0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  <w:vertAlign w:val="superscript"/>
              </w:rPr>
            </w:r>
          </w:p>
        </w:tc>
        <w:tc>
          <w:tcPr>
            <w:tcW w:w="2325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ind w:left="0" w:right="0" w:hanging="0"/>
              <w:jc w:val="center"/>
              <w:rPr/>
            </w:pPr>
            <w:r>
              <w:rPr>
                <w:sz w:val="24"/>
                <w:szCs w:val="24"/>
                <w:vertAlign w:val="superscript"/>
              </w:rPr>
              <w:t>(дата)</w:t>
            </w:r>
          </w:p>
        </w:tc>
      </w:tr>
    </w:tbl>
    <w:p>
      <w:pPr>
        <w:pStyle w:val="Normal"/>
        <w:numPr>
          <w:ilvl w:val="0"/>
          <w:numId w:val="0"/>
        </w:numPr>
        <w:suppressAutoHyphens w:val="true"/>
        <w:spacing w:before="0" w:after="240"/>
        <w:ind w:left="5038" w:hanging="0"/>
        <w:jc w:val="center"/>
        <w:rPr>
          <w:b/>
        </w:rPr>
      </w:pPr>
      <w:r>
        <w:rPr>
          <w:b/>
        </w:rPr>
      </w:r>
    </w:p>
    <w:p>
      <w:pPr>
        <w:pStyle w:val="Normal"/>
        <w:numPr>
          <w:ilvl w:val="0"/>
          <w:numId w:val="0"/>
        </w:numPr>
        <w:suppressAutoHyphens w:val="true"/>
        <w:spacing w:before="0" w:after="0"/>
        <w:ind w:left="0" w:right="0" w:hanging="0"/>
        <w:jc w:val="center"/>
        <w:rPr/>
      </w:pPr>
      <w:r>
        <w:rPr>
          <w:b/>
        </w:rPr>
        <w:t>Технико-коммерческое предложение</w:t>
      </w:r>
    </w:p>
    <w:p>
      <w:pPr>
        <w:pStyle w:val="Normal"/>
        <w:numPr>
          <w:ilvl w:val="0"/>
          <w:numId w:val="0"/>
        </w:numPr>
        <w:suppressAutoHyphens w:val="true"/>
        <w:spacing w:before="0" w:after="0"/>
        <w:ind w:left="0" w:right="0" w:hanging="0"/>
        <w:jc w:val="both"/>
        <w:rPr>
          <w:sz w:val="24"/>
          <w:szCs w:val="24"/>
        </w:rPr>
      </w:pPr>
      <w:r>
        <w:rPr>
          <w:sz w:val="24"/>
          <w:szCs w:val="24"/>
        </w:rPr>
        <w:t>Изучив Технические требования Заказчика в рамках настоящего мониторинга</w:t>
      </w:r>
      <w:r>
        <w:rPr>
          <w:kern w:val="2"/>
          <w:sz w:val="24"/>
          <w:szCs w:val="24"/>
        </w:rPr>
        <w:t xml:space="preserve"> </w:t>
      </w:r>
      <w:r>
        <w:rPr>
          <w:rFonts w:eastAsia="Times New Roman" w:cs="Times New Roman"/>
          <w:b w:val="false"/>
          <w:bCs w:val="false"/>
          <w:i w:val="false"/>
          <w:iCs w:val="false"/>
          <w:kern w:val="2"/>
          <w:sz w:val="24"/>
          <w:szCs w:val="24"/>
          <w:lang w:eastAsia="ru-RU"/>
        </w:rPr>
        <w:t xml:space="preserve">«ОКПД2 71.12.39 </w:t>
      </w:r>
      <w:r>
        <w:rPr>
          <w:rFonts w:eastAsia="Times New Roman" w:cs="Times New Roman"/>
          <w:b w:val="false"/>
          <w:bCs w:val="false"/>
          <w:i w:val="false"/>
          <w:iCs w:val="false"/>
          <w:kern w:val="2"/>
          <w:sz w:val="24"/>
          <w:szCs w:val="24"/>
          <w:shd w:fill="auto" w:val="clear"/>
          <w:lang w:eastAsia="ru-RU"/>
        </w:rPr>
        <w:t>Подготовка документации для внесения сведений о водных объектах в Государственный водный реестр» по объекту «Строительство Арктической ТЭС в г. Певек»</w:t>
      </w:r>
      <w:r>
        <w:rPr>
          <w:rFonts w:eastAsia="Times New Roman" w:cs="Times New Roman"/>
          <w:b w:val="false"/>
          <w:bCs w:val="false"/>
          <w:kern w:val="2"/>
          <w:sz w:val="24"/>
          <w:szCs w:val="24"/>
          <w:lang w:eastAsia="ru-RU"/>
        </w:rPr>
        <w:t>,</w:t>
      </w:r>
    </w:p>
    <w:p>
      <w:pPr>
        <w:pStyle w:val="Normal"/>
        <w:numPr>
          <w:ilvl w:val="0"/>
          <w:numId w:val="0"/>
        </w:numPr>
        <w:suppressAutoHyphens w:val="true"/>
        <w:ind w:left="0" w:hanging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numPr>
          <w:ilvl w:val="0"/>
          <w:numId w:val="0"/>
        </w:numPr>
        <w:suppressAutoHyphens w:val="true"/>
        <w:ind w:left="0" w:hanging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5000" w:type="pct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417"/>
        <w:gridCol w:w="260"/>
      </w:tblGrid>
      <w:tr>
        <w:trPr/>
        <w:tc>
          <w:tcPr>
            <w:tcW w:w="9417" w:type="dxa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left="0" w:right="0" w:hanging="0"/>
              <w:jc w:val="center"/>
              <w:rPr/>
            </w:pPr>
            <w:r>
              <w:rPr>
                <w:sz w:val="24"/>
                <w:szCs w:val="24"/>
                <w:vertAlign w:val="superscript"/>
              </w:rPr>
              <w:t>(полное наименование организации с указанием организационно-правой формы и ИНН)</w:t>
            </w:r>
          </w:p>
        </w:tc>
        <w:tc>
          <w:tcPr>
            <w:tcW w:w="260" w:type="dxa"/>
            <w:tcBorders/>
          </w:tcPr>
          <w:p>
            <w:pPr>
              <w:pStyle w:val="Normal"/>
              <w:widowControl w:val="false"/>
              <w:ind w:left="0" w:right="0" w:hanging="0"/>
              <w:rPr/>
            </w:pPr>
            <w:r>
              <w:rPr/>
            </w:r>
          </w:p>
        </w:tc>
      </w:tr>
      <w:tr>
        <w:trPr/>
        <w:tc>
          <w:tcPr>
            <w:tcW w:w="9417" w:type="dxa"/>
            <w:tcBorders>
              <w:bottom w:val="single" w:sz="6" w:space="0" w:color="000000"/>
            </w:tcBorders>
          </w:tcPr>
          <w:p>
            <w:pPr>
              <w:pStyle w:val="Normal"/>
              <w:widowControl w:val="false"/>
              <w:ind w:left="0" w:right="0" w:hanging="0"/>
              <w:jc w:val="both"/>
              <w:rPr>
                <w:b/>
                <w:i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</w:r>
          </w:p>
        </w:tc>
        <w:tc>
          <w:tcPr>
            <w:tcW w:w="260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left="0" w:right="0" w:hanging="0"/>
              <w:jc w:val="both"/>
              <w:rPr/>
            </w:pPr>
            <w:r>
              <w:rPr>
                <w:sz w:val="24"/>
                <w:szCs w:val="24"/>
              </w:rPr>
              <w:t>,</w:t>
            </w:r>
          </w:p>
        </w:tc>
      </w:tr>
      <w:tr>
        <w:trPr/>
        <w:tc>
          <w:tcPr>
            <w:tcW w:w="9417" w:type="dxa"/>
            <w:tcBorders>
              <w:top w:val="single" w:sz="6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left="0" w:right="0" w:hanging="0"/>
              <w:jc w:val="center"/>
              <w:rPr/>
            </w:pPr>
            <w:r>
              <w:rPr>
                <w:sz w:val="24"/>
                <w:szCs w:val="24"/>
                <w:vertAlign w:val="superscript"/>
              </w:rPr>
              <w:t>(юридический адрес)</w:t>
            </w:r>
          </w:p>
        </w:tc>
        <w:tc>
          <w:tcPr>
            <w:tcW w:w="260" w:type="dxa"/>
            <w:tcBorders/>
          </w:tcPr>
          <w:p>
            <w:pPr>
              <w:pStyle w:val="Normal"/>
              <w:widowControl w:val="false"/>
              <w:ind w:left="0" w:right="0" w:hanging="0"/>
              <w:rPr/>
            </w:pPr>
            <w:r>
              <w:rPr/>
            </w:r>
          </w:p>
        </w:tc>
      </w:tr>
      <w:tr>
        <w:trPr/>
        <w:tc>
          <w:tcPr>
            <w:tcW w:w="9417" w:type="dxa"/>
            <w:tcBorders>
              <w:bottom w:val="single" w:sz="6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left="0" w:right="0" w:hanging="0"/>
              <w:jc w:val="both"/>
              <w:rPr>
                <w:b/>
                <w:i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</w:r>
          </w:p>
        </w:tc>
        <w:tc>
          <w:tcPr>
            <w:tcW w:w="260" w:type="dxa"/>
            <w:tcBorders/>
          </w:tcPr>
          <w:p>
            <w:pPr>
              <w:pStyle w:val="Normal"/>
              <w:widowControl w:val="false"/>
              <w:ind w:left="0" w:right="0" w:hanging="0"/>
              <w:jc w:val="both"/>
              <w:rPr/>
            </w:pPr>
            <w:r>
              <w:rPr/>
              <w:t>,</w:t>
            </w:r>
          </w:p>
        </w:tc>
      </w:tr>
      <w:tr>
        <w:trPr/>
        <w:tc>
          <w:tcPr>
            <w:tcW w:w="9417" w:type="dxa"/>
            <w:tcBorders>
              <w:top w:val="single" w:sz="6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left="0" w:right="0" w:hanging="0"/>
              <w:jc w:val="center"/>
              <w:rPr/>
            </w:pPr>
            <w:r>
              <w:rPr>
                <w:sz w:val="24"/>
                <w:szCs w:val="24"/>
                <w:vertAlign w:val="superscript"/>
              </w:rPr>
              <w:t>(почтовый адрес)</w:t>
            </w:r>
          </w:p>
        </w:tc>
        <w:tc>
          <w:tcPr>
            <w:tcW w:w="260" w:type="dxa"/>
            <w:tcBorders/>
          </w:tcPr>
          <w:p>
            <w:pPr>
              <w:pStyle w:val="Normal"/>
              <w:widowControl w:val="false"/>
              <w:ind w:left="0" w:right="0" w:hanging="0"/>
              <w:rPr/>
            </w:pPr>
            <w:r>
              <w:rPr/>
            </w:r>
          </w:p>
        </w:tc>
      </w:tr>
      <w:tr>
        <w:trPr/>
        <w:tc>
          <w:tcPr>
            <w:tcW w:w="9417" w:type="dxa"/>
            <w:tcBorders>
              <w:bottom w:val="single" w:sz="6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left="0" w:right="0" w:hanging="0"/>
              <w:jc w:val="both"/>
              <w:rPr>
                <w:b/>
                <w:i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</w:r>
          </w:p>
        </w:tc>
        <w:tc>
          <w:tcPr>
            <w:tcW w:w="260" w:type="dxa"/>
            <w:tcBorders/>
          </w:tcPr>
          <w:p>
            <w:pPr>
              <w:pStyle w:val="Normal"/>
              <w:widowControl w:val="false"/>
              <w:ind w:left="0" w:right="0" w:hanging="0"/>
              <w:jc w:val="both"/>
              <w:rPr/>
            </w:pPr>
            <w:r>
              <w:rPr/>
              <w:t>,</w:t>
            </w:r>
          </w:p>
        </w:tc>
      </w:tr>
    </w:tbl>
    <w:p>
      <w:pPr>
        <w:pStyle w:val="Normal"/>
        <w:numPr>
          <w:ilvl w:val="0"/>
          <w:numId w:val="0"/>
        </w:numPr>
        <w:ind w:left="0" w:right="0" w:hanging="0"/>
        <w:jc w:val="center"/>
        <w:rPr/>
      </w:pPr>
      <w:r>
        <w:rPr>
          <w:sz w:val="24"/>
          <w:szCs w:val="24"/>
          <w:vertAlign w:val="superscript"/>
        </w:rPr>
        <w:t>(контактные данные номер телефона, e-mail, ФИО контактного лица)</w:t>
      </w:r>
    </w:p>
    <w:p>
      <w:pPr>
        <w:pStyle w:val="Normal"/>
        <w:numPr>
          <w:ilvl w:val="0"/>
          <w:numId w:val="0"/>
        </w:numPr>
        <w:suppressAutoHyphens w:val="true"/>
        <w:ind w:left="0" w:right="0" w:hanging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numPr>
          <w:ilvl w:val="0"/>
          <w:numId w:val="0"/>
        </w:numPr>
        <w:suppressAutoHyphens w:val="true"/>
        <w:ind w:left="0" w:right="0" w:hanging="0"/>
        <w:jc w:val="both"/>
        <w:rPr/>
      </w:pPr>
      <w:r>
        <w:rPr>
          <w:sz w:val="24"/>
          <w:szCs w:val="24"/>
        </w:rPr>
        <w:t xml:space="preserve">согласен </w:t>
      </w:r>
      <w:r>
        <w:rPr>
          <w:kern w:val="2"/>
          <w:sz w:val="24"/>
          <w:szCs w:val="24"/>
        </w:rPr>
        <w:t xml:space="preserve">со всеми условиями Технических требований, включая установленные (предложенные Заказчиком) сроки выполнения работ и условия оплаты, </w:t>
      </w:r>
      <w:r>
        <w:rPr>
          <w:sz w:val="24"/>
          <w:szCs w:val="24"/>
        </w:rPr>
        <w:t>и сообщаю следующее:</w:t>
      </w:r>
    </w:p>
    <w:p>
      <w:pPr>
        <w:pStyle w:val="Normal"/>
        <w:numPr>
          <w:ilvl w:val="0"/>
          <w:numId w:val="0"/>
        </w:numPr>
        <w:suppressAutoHyphens w:val="true"/>
        <w:ind w:left="0" w:hanging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tbl>
      <w:tblPr>
        <w:tblStyle w:val="af"/>
        <w:tblW w:w="9866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681"/>
        <w:gridCol w:w="6184"/>
      </w:tblGrid>
      <w:tr>
        <w:trPr>
          <w:trHeight w:val="783" w:hRule="atLeast"/>
        </w:trPr>
        <w:tc>
          <w:tcPr>
            <w:tcW w:w="368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0" w:right="0" w:hanging="0"/>
              <w:jc w:val="left"/>
              <w:rPr/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Стоимость работ, без НДС, руб.</w:t>
            </w:r>
          </w:p>
        </w:tc>
        <w:tc>
          <w:tcPr>
            <w:tcW w:w="6184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right="0" w:hanging="0"/>
              <w:jc w:val="left"/>
              <w:rPr/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00 000 000,00 руб. (сумма прописью)</w:t>
            </w:r>
          </w:p>
        </w:tc>
      </w:tr>
    </w:tbl>
    <w:p>
      <w:pPr>
        <w:pStyle w:val="Normal"/>
        <w:numPr>
          <w:ilvl w:val="0"/>
          <w:numId w:val="0"/>
        </w:numPr>
        <w:suppressAutoHyphens w:val="true"/>
        <w:ind w:left="5038" w:hanging="0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numPr>
          <w:ilvl w:val="0"/>
          <w:numId w:val="0"/>
        </w:numPr>
        <w:suppressAutoHyphens w:val="true"/>
        <w:spacing w:before="240" w:after="240"/>
        <w:ind w:left="0" w:hanging="0"/>
        <w:contextualSpacing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numPr>
          <w:ilvl w:val="0"/>
          <w:numId w:val="0"/>
        </w:numPr>
        <w:suppressAutoHyphens w:val="true"/>
        <w:spacing w:before="0" w:after="0"/>
        <w:ind w:left="5038" w:hanging="0"/>
        <w:contextualSpacing/>
        <w:rPr>
          <w:kern w:val="2"/>
          <w:sz w:val="24"/>
          <w:szCs w:val="24"/>
        </w:rPr>
      </w:pPr>
      <w:r>
        <w:rPr>
          <w:kern w:val="2"/>
          <w:sz w:val="24"/>
          <w:szCs w:val="24"/>
        </w:rPr>
      </w:r>
    </w:p>
    <w:tbl>
      <w:tblPr>
        <w:tblStyle w:val="af"/>
        <w:tblW w:w="9866" w:type="dxa"/>
        <w:jc w:val="left"/>
        <w:tblInd w:w="113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val="04a0" w:noHBand="0" w:noVBand="1" w:firstColumn="1" w:lastRow="0" w:lastColumn="0" w:firstRow="1"/>
      </w:tblPr>
      <w:tblGrid>
        <w:gridCol w:w="3290"/>
        <w:gridCol w:w="3270"/>
        <w:gridCol w:w="3306"/>
      </w:tblGrid>
      <w:tr>
        <w:trPr/>
        <w:tc>
          <w:tcPr>
            <w:tcW w:w="3290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720" w:hanging="0"/>
              <w:contextualSpacing/>
              <w:jc w:val="left"/>
              <w:rPr>
                <w:rFonts w:ascii="Times New Roman" w:hAnsi="Times New Roman" w:eastAsia="Calibri" w:cs="Times New Roman"/>
                <w:color w:val="666666" w:themeShade="bf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color w:val="666666" w:themeShade="bf"/>
                <w:kern w:val="0"/>
                <w:sz w:val="20"/>
                <w:szCs w:val="20"/>
                <w:lang w:val="ru-RU" w:eastAsia="en-US" w:bidi="ar-SA"/>
              </w:rPr>
              <w:t>должность</w:t>
            </w:r>
          </w:p>
        </w:tc>
        <w:tc>
          <w:tcPr>
            <w:tcW w:w="3270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lineRule="auto" w:line="276" w:before="0" w:after="0"/>
              <w:ind w:left="170" w:right="0" w:hanging="0"/>
              <w:contextualSpacing/>
              <w:jc w:val="center"/>
              <w:rPr>
                <w:rFonts w:ascii="Times New Roman" w:hAnsi="Times New Roman" w:eastAsia="Calibri" w:cs="Times New Roman"/>
                <w:color w:val="666666" w:themeShade="bf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color w:val="666666" w:themeShade="bf"/>
                <w:kern w:val="0"/>
                <w:sz w:val="20"/>
                <w:szCs w:val="20"/>
                <w:lang w:val="ru-RU" w:eastAsia="en-US" w:bidi="ar-SA"/>
              </w:rPr>
              <w:t>подпись, печать</w:t>
            </w:r>
          </w:p>
        </w:tc>
        <w:tc>
          <w:tcPr>
            <w:tcW w:w="3306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left="0" w:hanging="0"/>
              <w:jc w:val="center"/>
              <w:rPr>
                <w:rFonts w:ascii="Times New Roman" w:hAnsi="Times New Roman" w:eastAsia="Calibri" w:cs="Times New Roman"/>
                <w:color w:val="666666" w:themeShade="bf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color w:val="666666" w:themeShade="bf"/>
                <w:kern w:val="0"/>
                <w:sz w:val="20"/>
                <w:szCs w:val="20"/>
                <w:lang w:val="ru-RU" w:eastAsia="en-US" w:bidi="ar-SA"/>
              </w:rPr>
              <w:t>(расшифровка подписи)</w:t>
            </w:r>
          </w:p>
        </w:tc>
      </w:tr>
    </w:tbl>
    <w:p>
      <w:pPr>
        <w:pStyle w:val="Normal"/>
        <w:numPr>
          <w:ilvl w:val="0"/>
          <w:numId w:val="0"/>
        </w:numPr>
        <w:suppressAutoHyphens w:val="true"/>
        <w:spacing w:before="0" w:after="0"/>
        <w:ind w:left="720" w:hanging="0"/>
        <w:contextualSpacing/>
        <w:jc w:val="center"/>
        <w:rPr>
          <w:color w:val="BFBFBF" w:themeColor="background1" w:themeShade="bf"/>
          <w:kern w:val="2"/>
          <w:sz w:val="20"/>
          <w:szCs w:val="20"/>
        </w:rPr>
      </w:pPr>
      <w:r>
        <w:rPr>
          <w:color w:val="BFBFBF" w:themeColor="background1" w:themeShade="bf"/>
          <w:kern w:val="2"/>
          <w:sz w:val="20"/>
          <w:szCs w:val="20"/>
        </w:rPr>
      </w:r>
    </w:p>
    <w:p>
      <w:pPr>
        <w:pStyle w:val="Normal"/>
        <w:widowControl w:val="false"/>
        <w:numPr>
          <w:ilvl w:val="0"/>
          <w:numId w:val="0"/>
        </w:numPr>
        <w:ind w:left="720" w:hanging="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5000" w:type="pct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678"/>
      </w:tblGrid>
      <w:tr>
        <w:trPr/>
        <w:tc>
          <w:tcPr>
            <w:tcW w:w="9678" w:type="dxa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left="-57" w:right="113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конец формы</w:t>
            </w:r>
          </w:p>
        </w:tc>
      </w:tr>
    </w:tbl>
    <w:p>
      <w:pPr>
        <w:pStyle w:val="Normal"/>
        <w:widowControl w:val="false"/>
        <w:numPr>
          <w:ilvl w:val="0"/>
        </w:numPr>
        <w:tabs>
          <w:tab w:val="clear" w:pos="708"/>
          <w:tab w:val="left" w:pos="426" w:leader="none"/>
        </w:tabs>
        <w:ind w:left="6160" w:hanging="0"/>
        <w:jc w:val="right"/>
        <w:rPr>
          <w:sz w:val="24"/>
        </w:rPr>
      </w:pPr>
      <w:r>
        <w:rPr>
          <w:sz w:val="24"/>
        </w:rPr>
      </w:r>
    </w:p>
    <w:p>
      <w:pPr>
        <w:pStyle w:val="Normal"/>
        <w:spacing w:before="0" w:after="120"/>
        <w:rPr>
          <w:bCs/>
          <w:sz w:val="24"/>
          <w:szCs w:val="24"/>
        </w:rPr>
      </w:pPr>
      <w:r>
        <w:rPr/>
      </w:r>
    </w:p>
    <w:sectPr>
      <w:headerReference w:type="default" r:id="rId9"/>
      <w:headerReference w:type="first" r:id="rId10"/>
      <w:footerReference w:type="default" r:id="rId11"/>
      <w:footerReference w:type="first" r:id="rId12"/>
      <w:type w:val="nextPage"/>
      <w:pgSz w:w="11906" w:h="16838"/>
      <w:pgMar w:left="1304" w:right="924" w:gutter="0" w:header="709" w:top="993" w:footer="709" w:bottom="766"/>
      <w:pgNumType w:fmt="decimal"/>
      <w:formProt w:val="false"/>
      <w:textDirection w:val="lrTb"/>
      <w:docGrid w:type="default" w:linePitch="299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rlito">
    <w:altName w:val="Calibri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Cambria">
    <w:charset w:val="01"/>
    <w:family w:val="roman"/>
    <w:pitch w:val="variable"/>
  </w:font>
  <w:font w:name="Segoe UI">
    <w:charset w:val="01"/>
    <w:family w:val="roman"/>
    <w:pitch w:val="variable"/>
  </w:font>
  <w:font w:name="Tahoma">
    <w:charset w:val="01"/>
    <w:family w:val="roman"/>
    <w:pitch w:val="variable"/>
  </w:font>
  <w:font w:name="Symbol">
    <w:charset w:val="01"/>
    <w:family w:val="roman"/>
    <w:pitch w:val="variable"/>
  </w:font>
  <w:font w:name="Wingdings">
    <w:charset w:val="01"/>
    <w:family w:val="roman"/>
    <w:pitch w:val="variable"/>
  </w:font>
  <w:font w:name="Courier New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Myriad Pro">
    <w:charset w:val="01"/>
    <w:family w:val="roman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/>
    </w:pPr>
    <w:r>
      <w:rPr/>
    </w:r>
  </w:p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/>
    </w:pPr>
    <w:r>
      <w:rPr/>
    </w:r>
  </w:p>
  <w:p>
    <w:pPr>
      <w:pStyle w:val="Footer"/>
      <w:rPr/>
    </w:pPr>
    <w:r>
      <w:rPr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007441021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11</w:t>
        </w:r>
        <w:r>
          <w:rPr/>
          <w:fldChar w:fldCharType="end"/>
        </w:r>
      </w:p>
      <w:p>
        <w:pPr>
          <w:pStyle w:val="Header"/>
          <w:rPr/>
        </w:pPr>
        <w:r>
          <w:rPr/>
        </w:r>
      </w:p>
    </w:sdtContent>
  </w:sdt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2039712894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11</w:t>
        </w:r>
        <w:r>
          <w:rPr/>
          <w:fldChar w:fldCharType="end"/>
        </w:r>
      </w:p>
      <w:p>
        <w:pPr>
          <w:pStyle w:val="Header"/>
          <w:rPr/>
        </w:pPr>
        <w:r>
          <w:rPr/>
        </w:r>
      </w:p>
    </w:sdtContent>
  </w:sdt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ascii="Times New Roman" w:hAnsi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0"/>
        <w:b/>
        <w:szCs w:val="20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0"/>
        </w:tabs>
        <w:ind w:left="13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2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9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80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95"/>
  <w:revisionView w:insDel="0" w:formatting="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 w:qFormat="1"/>
    <w:lsdException w:name="toc 2" w:uiPriority="39" w:semiHidden="1" w:unhideWhenUsed="1" w:qFormat="1"/>
    <w:lsdException w:name="toc 3" w:uiPriority="39" w:semiHidden="1" w:unhideWhenUsed="1" w:qFormat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 w:qFormat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uiPriority="0" w:semiHidden="1" w:unhideWhenUsed="1"/>
    <w:lsdException w:name="endnote reference" w:uiPriority="0" w:semiHidden="1" w:unhideWhenUsed="1"/>
    <w:lsdException w:name="endnote text" w:uiPriority="0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uiPriority="0" w:semiHidden="1" w:unhideWhenUsed="1"/>
    <w:lsdException w:name="Body Text Indent 2" w:uiPriority="0" w:semiHidden="1" w:unhideWhenUsed="1"/>
    <w:lsdException w:name="Body Text Indent 3" w:uiPriority="0" w:semiHidden="1" w:unhideWhenUsed="1"/>
    <w:lsdException w:name="Block Text" w:uiPriority="0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b333bd"/>
    <w:pPr>
      <w:widowControl/>
      <w:suppressAutoHyphens w:val="true"/>
      <w:bidi w:val="0"/>
      <w:spacing w:lineRule="auto" w:line="276" w:before="0" w:after="0"/>
      <w:ind w:firstLine="709"/>
      <w:jc w:val="both"/>
    </w:pPr>
    <w:rPr>
      <w:rFonts w:ascii="Times New Roman" w:hAnsi="Times New Roman" w:eastAsia="Calibri" w:cs="Times New Roman" w:eastAsiaTheme="minorHAnsi"/>
      <w:color w:val="auto"/>
      <w:kern w:val="0"/>
      <w:sz w:val="28"/>
      <w:szCs w:val="28"/>
      <w:lang w:val="ru-RU" w:eastAsia="en-US" w:bidi="ar-SA"/>
    </w:rPr>
  </w:style>
  <w:style w:type="paragraph" w:styleId="Heading1">
    <w:name w:val="Heading 1"/>
    <w:basedOn w:val="Normal"/>
    <w:next w:val="Normal"/>
    <w:link w:val="1"/>
    <w:qFormat/>
    <w:rsid w:val="00b94aa9"/>
    <w:pPr>
      <w:keepNext w:val="true"/>
      <w:spacing w:lineRule="auto" w:line="240"/>
      <w:ind w:hanging="0"/>
      <w:jc w:val="center"/>
      <w:outlineLvl w:val="0"/>
    </w:pPr>
    <w:rPr>
      <w:rFonts w:eastAsia="Times New Roman"/>
      <w:b/>
      <w:sz w:val="24"/>
      <w:szCs w:val="20"/>
      <w:lang w:val="x-none" w:eastAsia="x-none"/>
    </w:rPr>
  </w:style>
  <w:style w:type="paragraph" w:styleId="Heading2">
    <w:name w:val="Heading 2"/>
    <w:basedOn w:val="Normal"/>
    <w:next w:val="Normal"/>
    <w:link w:val="2"/>
    <w:uiPriority w:val="9"/>
    <w:qFormat/>
    <w:rsid w:val="00b94aa9"/>
    <w:pPr>
      <w:keepNext w:val="true"/>
      <w:spacing w:lineRule="auto" w:line="240" w:before="240" w:after="60"/>
      <w:ind w:hanging="0"/>
      <w:jc w:val="left"/>
      <w:outlineLvl w:val="1"/>
    </w:pPr>
    <w:rPr>
      <w:rFonts w:ascii="Arial" w:hAnsi="Arial" w:eastAsia="Times New Roman"/>
      <w:b/>
      <w:bCs/>
      <w:i/>
      <w:iCs/>
      <w:lang w:val="x-none" w:eastAsia="x-none"/>
    </w:rPr>
  </w:style>
  <w:style w:type="paragraph" w:styleId="Heading3">
    <w:name w:val="Heading 3"/>
    <w:basedOn w:val="Normal"/>
    <w:next w:val="Normal"/>
    <w:link w:val="3"/>
    <w:qFormat/>
    <w:rsid w:val="00b94aa9"/>
    <w:pPr>
      <w:keepNext w:val="true"/>
      <w:spacing w:lineRule="auto" w:line="240" w:before="240" w:after="60"/>
      <w:ind w:hanging="0"/>
      <w:jc w:val="left"/>
      <w:outlineLvl w:val="2"/>
    </w:pPr>
    <w:rPr>
      <w:rFonts w:ascii="Arial" w:hAnsi="Arial" w:eastAsia="Times New Roman"/>
      <w:b/>
      <w:bCs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4"/>
    <w:qFormat/>
    <w:rsid w:val="00b94aa9"/>
    <w:pPr>
      <w:keepNext w:val="true"/>
      <w:spacing w:lineRule="auto" w:line="240" w:before="240" w:after="60"/>
      <w:ind w:hanging="0"/>
      <w:jc w:val="left"/>
      <w:outlineLvl w:val="3"/>
    </w:pPr>
    <w:rPr>
      <w:rFonts w:eastAsia="Times New Roman"/>
      <w:b/>
      <w:bCs/>
      <w:lang w:val="x-none" w:eastAsia="x-none"/>
    </w:rPr>
  </w:style>
  <w:style w:type="paragraph" w:styleId="Heading5">
    <w:name w:val="Heading 5"/>
    <w:basedOn w:val="Normal"/>
    <w:next w:val="Normal"/>
    <w:link w:val="5"/>
    <w:uiPriority w:val="9"/>
    <w:qFormat/>
    <w:rsid w:val="00b94aa9"/>
    <w:pPr>
      <w:spacing w:lineRule="auto" w:line="240" w:before="240" w:after="60"/>
      <w:ind w:hanging="0"/>
      <w:jc w:val="left"/>
      <w:outlineLvl w:val="4"/>
    </w:pPr>
    <w:rPr>
      <w:rFonts w:eastAsia="Times New Roman"/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b94aa9"/>
    <w:pPr>
      <w:keepNext w:val="true"/>
      <w:keepLines/>
      <w:spacing w:lineRule="auto" w:line="240" w:before="200" w:after="0"/>
      <w:ind w:hanging="0"/>
      <w:jc w:val="left"/>
      <w:outlineLvl w:val="5"/>
    </w:pPr>
    <w:rPr>
      <w:rFonts w:ascii="Cambria" w:hAnsi="Cambria" w:eastAsia="Times New Roman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b94aa9"/>
    <w:pPr>
      <w:keepNext w:val="true"/>
      <w:keepLines/>
      <w:spacing w:lineRule="auto" w:line="240" w:before="200" w:after="0"/>
      <w:ind w:hanging="0"/>
      <w:jc w:val="left"/>
      <w:outlineLvl w:val="6"/>
    </w:pPr>
    <w:rPr>
      <w:rFonts w:ascii="Cambria" w:hAnsi="Cambria" w:eastAsia="Times New Roman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b94aa9"/>
    <w:pPr>
      <w:keepNext w:val="true"/>
      <w:keepLines/>
      <w:spacing w:lineRule="auto" w:line="240" w:before="200" w:after="0"/>
      <w:ind w:hanging="0"/>
      <w:jc w:val="left"/>
      <w:outlineLvl w:val="7"/>
    </w:pPr>
    <w:rPr>
      <w:rFonts w:ascii="Cambria" w:hAnsi="Cambria" w:eastAsia="Times New Roman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b94aa9"/>
    <w:pPr>
      <w:spacing w:lineRule="auto" w:line="240" w:before="240" w:after="60"/>
      <w:ind w:hanging="0"/>
      <w:jc w:val="left"/>
      <w:outlineLvl w:val="8"/>
    </w:pPr>
    <w:rPr>
      <w:rFonts w:ascii="Arial" w:hAnsi="Arial" w:eastAsia="Times New Roman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Текст сноски Знак"/>
    <w:basedOn w:val="DefaultParagraphFont"/>
    <w:uiPriority w:val="99"/>
    <w:qFormat/>
    <w:rsid w:val="00b333bd"/>
    <w:rPr>
      <w:rFonts w:ascii="Times New Roman" w:hAnsi="Times New Roman" w:cs="Times New Roman"/>
      <w:sz w:val="20"/>
      <w:szCs w:val="20"/>
    </w:rPr>
  </w:style>
  <w:style w:type="character" w:styleId="Style1">
    <w:name w:val="Символ сноски"/>
    <w:uiPriority w:val="99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2" w:customStyle="1">
    <w:name w:val="Текст выноски Знак"/>
    <w:basedOn w:val="DefaultParagraphFont"/>
    <w:link w:val="BalloonText"/>
    <w:qFormat/>
    <w:rsid w:val="0090416f"/>
    <w:rPr>
      <w:rFonts w:ascii="Segoe UI" w:hAnsi="Segoe UI" w:cs="Segoe UI"/>
      <w:sz w:val="18"/>
      <w:szCs w:val="18"/>
    </w:rPr>
  </w:style>
  <w:style w:type="character" w:styleId="1" w:customStyle="1">
    <w:name w:val="Заголовок 1 Знак"/>
    <w:basedOn w:val="DefaultParagraphFont"/>
    <w:qFormat/>
    <w:rsid w:val="00b94aa9"/>
    <w:rPr>
      <w:rFonts w:ascii="Times New Roman" w:hAnsi="Times New Roman" w:eastAsia="Times New Roman" w:cs="Times New Roman"/>
      <w:b/>
      <w:sz w:val="24"/>
      <w:szCs w:val="20"/>
      <w:lang w:val="x-none" w:eastAsia="x-none"/>
    </w:rPr>
  </w:style>
  <w:style w:type="character" w:styleId="2" w:customStyle="1">
    <w:name w:val="Заголовок 2 Знак"/>
    <w:basedOn w:val="DefaultParagraphFont"/>
    <w:uiPriority w:val="9"/>
    <w:qFormat/>
    <w:rsid w:val="00b94aa9"/>
    <w:rPr>
      <w:rFonts w:ascii="Arial" w:hAnsi="Arial" w:eastAsia="Times New Roman" w:cs="Times New Roman"/>
      <w:b/>
      <w:bCs/>
      <w:i/>
      <w:iCs/>
      <w:sz w:val="28"/>
      <w:szCs w:val="28"/>
      <w:lang w:val="x-none" w:eastAsia="x-none"/>
    </w:rPr>
  </w:style>
  <w:style w:type="character" w:styleId="3" w:customStyle="1">
    <w:name w:val="Заголовок 3 Знак"/>
    <w:basedOn w:val="DefaultParagraphFont"/>
    <w:qFormat/>
    <w:rsid w:val="00b94aa9"/>
    <w:rPr>
      <w:rFonts w:ascii="Arial" w:hAnsi="Arial" w:eastAsia="Times New Roman" w:cs="Times New Roman"/>
      <w:b/>
      <w:bCs/>
      <w:sz w:val="26"/>
      <w:szCs w:val="26"/>
      <w:lang w:val="x-none" w:eastAsia="x-none"/>
    </w:rPr>
  </w:style>
  <w:style w:type="character" w:styleId="4" w:customStyle="1">
    <w:name w:val="Заголовок 4 Знак"/>
    <w:basedOn w:val="DefaultParagraphFont"/>
    <w:qFormat/>
    <w:rsid w:val="00b94aa9"/>
    <w:rPr>
      <w:rFonts w:ascii="Times New Roman" w:hAnsi="Times New Roman" w:eastAsia="Times New Roman" w:cs="Times New Roman"/>
      <w:b/>
      <w:bCs/>
      <w:sz w:val="28"/>
      <w:szCs w:val="28"/>
      <w:lang w:val="x-none" w:eastAsia="x-none"/>
    </w:rPr>
  </w:style>
  <w:style w:type="character" w:styleId="5" w:customStyle="1">
    <w:name w:val="Заголовок 5 Знак"/>
    <w:basedOn w:val="DefaultParagraphFont"/>
    <w:uiPriority w:val="9"/>
    <w:qFormat/>
    <w:rsid w:val="00b94aa9"/>
    <w:rPr>
      <w:rFonts w:ascii="Times New Roman" w:hAnsi="Times New Roman" w:eastAsia="Times New Roman" w:cs="Times New Roman"/>
      <w:b/>
      <w:bCs/>
      <w:i/>
      <w:iCs/>
      <w:sz w:val="26"/>
      <w:szCs w:val="26"/>
      <w:lang w:val="x-none" w:eastAsia="x-none"/>
    </w:rPr>
  </w:style>
  <w:style w:type="character" w:styleId="6" w:customStyle="1">
    <w:name w:val="Заголовок 6 Знак"/>
    <w:basedOn w:val="DefaultParagraphFont"/>
    <w:uiPriority w:val="9"/>
    <w:qFormat/>
    <w:rsid w:val="00b94aa9"/>
    <w:rPr>
      <w:rFonts w:ascii="Cambria" w:hAnsi="Cambria" w:eastAsia="Times New Roman" w:cs="Times New Roman"/>
      <w:i/>
      <w:iCs/>
      <w:color w:val="243F60"/>
      <w:sz w:val="20"/>
      <w:szCs w:val="20"/>
      <w:lang w:val="x-none" w:eastAsia="x-none"/>
    </w:rPr>
  </w:style>
  <w:style w:type="character" w:styleId="7" w:customStyle="1">
    <w:name w:val="Заголовок 7 Знак"/>
    <w:basedOn w:val="DefaultParagraphFont"/>
    <w:uiPriority w:val="9"/>
    <w:qFormat/>
    <w:rsid w:val="00b94aa9"/>
    <w:rPr>
      <w:rFonts w:ascii="Cambria" w:hAnsi="Cambria" w:eastAsia="Times New Roman" w:cs="Times New Roman"/>
      <w:i/>
      <w:iCs/>
      <w:color w:val="404040"/>
      <w:sz w:val="20"/>
      <w:szCs w:val="20"/>
      <w:lang w:val="x-none" w:eastAsia="x-none"/>
    </w:rPr>
  </w:style>
  <w:style w:type="character" w:styleId="8" w:customStyle="1">
    <w:name w:val="Заголовок 8 Знак"/>
    <w:basedOn w:val="DefaultParagraphFont"/>
    <w:uiPriority w:val="9"/>
    <w:qFormat/>
    <w:rsid w:val="00b94aa9"/>
    <w:rPr>
      <w:rFonts w:ascii="Cambria" w:hAnsi="Cambria" w:eastAsia="Times New Roman" w:cs="Times New Roman"/>
      <w:color w:val="4F81BD"/>
      <w:sz w:val="20"/>
      <w:szCs w:val="20"/>
      <w:lang w:val="x-none" w:eastAsia="x-none"/>
    </w:rPr>
  </w:style>
  <w:style w:type="character" w:styleId="9" w:customStyle="1">
    <w:name w:val="Заголовок 9 Знак"/>
    <w:basedOn w:val="DefaultParagraphFont"/>
    <w:uiPriority w:val="9"/>
    <w:qFormat/>
    <w:rsid w:val="00b94aa9"/>
    <w:rPr>
      <w:rFonts w:ascii="Arial" w:hAnsi="Arial" w:eastAsia="Times New Roman" w:cs="Times New Roman"/>
      <w:lang w:val="x-none" w:eastAsia="x-none"/>
    </w:rPr>
  </w:style>
  <w:style w:type="character" w:styleId="Style3" w:customStyle="1">
    <w:name w:val="Верхний колонтитул Знак"/>
    <w:basedOn w:val="DefaultParagraphFont"/>
    <w:qFormat/>
    <w:rsid w:val="00b94aa9"/>
    <w:rPr>
      <w:rFonts w:ascii="Times New Roman" w:hAnsi="Times New Roman" w:eastAsia="Times New Roman" w:cs="Times New Roman"/>
      <w:sz w:val="24"/>
      <w:szCs w:val="24"/>
      <w:lang w:val="x-none" w:eastAsia="x-none"/>
    </w:rPr>
  </w:style>
  <w:style w:type="character" w:styleId="Style4" w:customStyle="1">
    <w:name w:val="Основной текст с отступом Знак"/>
    <w:basedOn w:val="DefaultParagraphFont"/>
    <w:qFormat/>
    <w:rsid w:val="00b94aa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5" w:customStyle="1">
    <w:name w:val="Нижний колонтитул Знак"/>
    <w:basedOn w:val="DefaultParagraphFont"/>
    <w:uiPriority w:val="99"/>
    <w:qFormat/>
    <w:rsid w:val="00b94aa9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Style6" w:customStyle="1">
    <w:name w:val="Основной текст Знак"/>
    <w:basedOn w:val="DefaultParagraphFont"/>
    <w:qFormat/>
    <w:rsid w:val="00b94aa9"/>
    <w:rPr>
      <w:rFonts w:ascii="Times New Roman" w:hAnsi="Times New Roman" w:eastAsia="Times New Roman" w:cs="Times New Roman"/>
      <w:sz w:val="28"/>
      <w:szCs w:val="28"/>
      <w:lang w:val="x-none" w:eastAsia="x-none"/>
    </w:rPr>
  </w:style>
  <w:style w:type="character" w:styleId="21" w:customStyle="1">
    <w:name w:val="Основной текст с отступом 2 Знак"/>
    <w:basedOn w:val="DefaultParagraphFont"/>
    <w:link w:val="BodyTextIndent2"/>
    <w:qFormat/>
    <w:rsid w:val="00b94aa9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31" w:customStyle="1">
    <w:name w:val="Основной текст 3 Знак"/>
    <w:basedOn w:val="DefaultParagraphFont"/>
    <w:link w:val="BodyText3"/>
    <w:qFormat/>
    <w:rsid w:val="00b94aa9"/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styleId="32" w:customStyle="1">
    <w:name w:val="Основной текст с отступом 3 Знак"/>
    <w:basedOn w:val="DefaultParagraphFont"/>
    <w:link w:val="BodyTextIndent3"/>
    <w:qFormat/>
    <w:rsid w:val="00b94aa9"/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styleId="22" w:customStyle="1">
    <w:name w:val="Основной текст 2 Знак"/>
    <w:basedOn w:val="DefaultParagraphFont"/>
    <w:link w:val="BodyText2"/>
    <w:qFormat/>
    <w:rsid w:val="00b94aa9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Pagenumber">
    <w:name w:val="page number"/>
    <w:basedOn w:val="DefaultParagraphFont"/>
    <w:qFormat/>
    <w:rsid w:val="00b94aa9"/>
    <w:rPr/>
  </w:style>
  <w:style w:type="character" w:styleId="Hyperlink">
    <w:name w:val="Hyperlink"/>
    <w:uiPriority w:val="99"/>
    <w:rsid w:val="00b94aa9"/>
    <w:rPr>
      <w:color w:val="0000FF"/>
      <w:u w:val="single"/>
    </w:rPr>
  </w:style>
  <w:style w:type="character" w:styleId="Annotationreference">
    <w:name w:val="annotation reference"/>
    <w:uiPriority w:val="99"/>
    <w:qFormat/>
    <w:rsid w:val="00b94aa9"/>
    <w:rPr>
      <w:sz w:val="16"/>
      <w:szCs w:val="16"/>
    </w:rPr>
  </w:style>
  <w:style w:type="character" w:styleId="Style7" w:customStyle="1">
    <w:name w:val="Текст примечания Знак"/>
    <w:basedOn w:val="DefaultParagraphFont"/>
    <w:link w:val="Annotationtext"/>
    <w:qFormat/>
    <w:rsid w:val="00b94aa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8" w:customStyle="1">
    <w:name w:val="Тема примечания Знак"/>
    <w:basedOn w:val="Style7"/>
    <w:link w:val="Annotationsubject"/>
    <w:qFormat/>
    <w:rsid w:val="00b94aa9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styleId="Strong1" w:customStyle="1">
    <w:name w:val="Strong1"/>
    <w:uiPriority w:val="22"/>
    <w:qFormat/>
    <w:rsid w:val="00b94aa9"/>
    <w:rPr>
      <w:b/>
      <w:bCs/>
    </w:rPr>
  </w:style>
  <w:style w:type="character" w:styleId="Style9" w:customStyle="1">
    <w:name w:val="Название Знак"/>
    <w:uiPriority w:val="10"/>
    <w:qFormat/>
    <w:rsid w:val="00b94aa9"/>
    <w:rPr>
      <w:sz w:val="28"/>
    </w:rPr>
  </w:style>
  <w:style w:type="character" w:styleId="Style10" w:customStyle="1">
    <w:name w:val="Подзаголовок Знак"/>
    <w:basedOn w:val="DefaultParagraphFont"/>
    <w:uiPriority w:val="11"/>
    <w:qFormat/>
    <w:rsid w:val="00b94aa9"/>
    <w:rPr>
      <w:rFonts w:ascii="Cambria" w:hAnsi="Cambria" w:eastAsia="Times New Roman" w:cs="Times New Roman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b94aa9"/>
    <w:rPr>
      <w:i/>
      <w:iCs/>
    </w:rPr>
  </w:style>
  <w:style w:type="character" w:styleId="23" w:customStyle="1">
    <w:name w:val="Цитата 2 Знак"/>
    <w:basedOn w:val="DefaultParagraphFont"/>
    <w:link w:val="Quote"/>
    <w:uiPriority w:val="29"/>
    <w:qFormat/>
    <w:rsid w:val="00b94aa9"/>
    <w:rPr>
      <w:rFonts w:ascii="Calibri" w:hAnsi="Calibri" w:eastAsia="Calibri" w:cs="Times New Roman"/>
      <w:i/>
      <w:iCs/>
      <w:color w:val="000000"/>
      <w:sz w:val="20"/>
      <w:szCs w:val="20"/>
      <w:lang w:val="x-none" w:eastAsia="x-none"/>
    </w:rPr>
  </w:style>
  <w:style w:type="character" w:styleId="Style11" w:customStyle="1">
    <w:name w:val="Выделенная цитата Знак"/>
    <w:basedOn w:val="DefaultParagraphFont"/>
    <w:link w:val="IntenseQuote"/>
    <w:uiPriority w:val="30"/>
    <w:qFormat/>
    <w:rsid w:val="00b94aa9"/>
    <w:rPr>
      <w:rFonts w:ascii="Calibri" w:hAnsi="Calibri" w:eastAsia="Calibri" w:cs="Times New Roman"/>
      <w:b/>
      <w:bCs/>
      <w:i/>
      <w:iCs/>
      <w:color w:val="4F81BD"/>
      <w:sz w:val="20"/>
      <w:szCs w:val="20"/>
      <w:lang w:val="x-none" w:eastAsia="x-none"/>
    </w:rPr>
  </w:style>
  <w:style w:type="character" w:styleId="SubtleEmphasis">
    <w:name w:val="Subtle Emphasis"/>
    <w:uiPriority w:val="19"/>
    <w:qFormat/>
    <w:rsid w:val="00b94aa9"/>
    <w:rPr>
      <w:i/>
      <w:iCs/>
      <w:color w:val="808080"/>
    </w:rPr>
  </w:style>
  <w:style w:type="character" w:styleId="IntenseEmphasis">
    <w:name w:val="Intense Emphasis"/>
    <w:uiPriority w:val="21"/>
    <w:qFormat/>
    <w:rsid w:val="00b94aa9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b94aa9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b94aa9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b94aa9"/>
    <w:rPr>
      <w:b/>
      <w:bCs/>
      <w:smallCaps/>
      <w:spacing w:val="5"/>
    </w:rPr>
  </w:style>
  <w:style w:type="character" w:styleId="Style12" w:customStyle="1">
    <w:name w:val="Электронная подпись Знак"/>
    <w:basedOn w:val="DefaultParagraphFont"/>
    <w:link w:val="E-mailSignature"/>
    <w:uiPriority w:val="99"/>
    <w:qFormat/>
    <w:rsid w:val="00b94aa9"/>
    <w:rPr>
      <w:rFonts w:ascii="Times New Roman" w:hAnsi="Times New Roman" w:eastAsia="Calibri" w:cs="Times New Roman"/>
      <w:sz w:val="24"/>
      <w:szCs w:val="24"/>
      <w:lang w:val="x-none" w:eastAsia="x-none"/>
    </w:rPr>
  </w:style>
  <w:style w:type="character" w:styleId="11" w:customStyle="1">
    <w:name w:val="Подпункт Знак1"/>
    <w:link w:val="Style29"/>
    <w:qFormat/>
    <w:locked/>
    <w:rsid w:val="00b94aa9"/>
    <w:rPr>
      <w:rFonts w:ascii="Times New Roman" w:hAnsi="Times New Roman" w:eastAsia="Times New Roman" w:cs="Times New Roman"/>
      <w:sz w:val="28"/>
      <w:szCs w:val="20"/>
      <w:lang w:val="x-none" w:eastAsia="x-none"/>
    </w:rPr>
  </w:style>
  <w:style w:type="character" w:styleId="Style13" w:customStyle="1">
    <w:name w:val="Текст концевой сноски Знак"/>
    <w:basedOn w:val="DefaultParagraphFont"/>
    <w:qFormat/>
    <w:rsid w:val="00b94aa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4" w:customStyle="1">
    <w:name w:val="Символ концевой сноски"/>
    <w:qFormat/>
    <w:rsid w:val="00b94aa9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111" w:customStyle="1">
    <w:name w:val="111 Знак"/>
    <w:qFormat/>
    <w:rsid w:val="00b94aa9"/>
    <w:rPr>
      <w:rFonts w:ascii="Arial" w:hAnsi="Arial" w:eastAsia="Times New Roman" w:cs="Times New Roman"/>
      <w:iCs/>
      <w:szCs w:val="32"/>
      <w:lang w:val="x-none" w:eastAsia="x-none"/>
    </w:rPr>
  </w:style>
  <w:style w:type="character" w:styleId="FollowedHyperlink">
    <w:name w:val="FollowedHyperlink"/>
    <w:uiPriority w:val="99"/>
    <w:unhideWhenUsed/>
    <w:rsid w:val="00b94aa9"/>
    <w:rPr>
      <w:color w:val="800080"/>
      <w:u w:val="single"/>
    </w:rPr>
  </w:style>
  <w:style w:type="character" w:styleId="Style15" w:customStyle="1">
    <w:name w:val="Схема документа Знак"/>
    <w:basedOn w:val="DefaultParagraphFont"/>
    <w:link w:val="DocumentMap"/>
    <w:uiPriority w:val="99"/>
    <w:qFormat/>
    <w:rsid w:val="00b94aa9"/>
    <w:rPr>
      <w:rFonts w:ascii="Tahoma" w:hAnsi="Tahoma" w:eastAsia="Times New Roman" w:cs="Tahoma"/>
      <w:sz w:val="16"/>
      <w:szCs w:val="16"/>
      <w:lang w:eastAsia="ru-RU"/>
    </w:rPr>
  </w:style>
  <w:style w:type="character" w:styleId="Style16" w:customStyle="1">
    <w:name w:val="Заголовок Знак"/>
    <w:basedOn w:val="DefaultParagraphFont"/>
    <w:qFormat/>
    <w:rsid w:val="00b94aa9"/>
    <w:rPr>
      <w:rFonts w:ascii="Arial" w:hAnsi="Arial" w:eastAsia="DejaVu Sans" w:cs="Lohit Hindi"/>
      <w:sz w:val="28"/>
      <w:szCs w:val="28"/>
      <w:lang w:eastAsia="zh-CN"/>
    </w:rPr>
  </w:style>
  <w:style w:type="character" w:styleId="WW8Num2z0" w:customStyle="1">
    <w:name w:val="WW8Num2z0"/>
    <w:qFormat/>
    <w:rsid w:val="00b94aa9"/>
    <w:rPr>
      <w:rFonts w:ascii="Times New Roman" w:hAnsi="Times New Roman" w:cs="Times New Roman"/>
    </w:rPr>
  </w:style>
  <w:style w:type="character" w:styleId="WW8Num4z0" w:customStyle="1">
    <w:name w:val="WW8Num4z0"/>
    <w:qFormat/>
    <w:rsid w:val="00b94aa9"/>
    <w:rPr>
      <w:rFonts w:ascii="Symbol" w:hAnsi="Symbol" w:cs="Symbol"/>
    </w:rPr>
  </w:style>
  <w:style w:type="character" w:styleId="WW8Num7z0" w:customStyle="1">
    <w:name w:val="WW8Num7z0"/>
    <w:qFormat/>
    <w:rsid w:val="00b94aa9"/>
    <w:rPr>
      <w:rFonts w:ascii="Wingdings" w:hAnsi="Wingdings" w:cs="Wingdings"/>
    </w:rPr>
  </w:style>
  <w:style w:type="character" w:styleId="WW8Num7z1" w:customStyle="1">
    <w:name w:val="WW8Num7z1"/>
    <w:qFormat/>
    <w:rsid w:val="00b94aa9"/>
    <w:rPr>
      <w:rFonts w:ascii="Courier New" w:hAnsi="Courier New" w:cs="Courier New"/>
    </w:rPr>
  </w:style>
  <w:style w:type="character" w:styleId="WW8Num7z2" w:customStyle="1">
    <w:name w:val="WW8Num7z2"/>
    <w:qFormat/>
    <w:rsid w:val="00b94aa9"/>
    <w:rPr>
      <w:rFonts w:ascii="Wingdings" w:hAnsi="Wingdings" w:cs="Wingdings"/>
    </w:rPr>
  </w:style>
  <w:style w:type="character" w:styleId="Absatz-Standardschriftart" w:customStyle="1">
    <w:name w:val="Absatz-Standardschriftart"/>
    <w:qFormat/>
    <w:rsid w:val="00b94aa9"/>
    <w:rPr/>
  </w:style>
  <w:style w:type="character" w:styleId="WW8Num5z0" w:customStyle="1">
    <w:name w:val="WW8Num5z0"/>
    <w:qFormat/>
    <w:rsid w:val="00b94aa9"/>
    <w:rPr>
      <w:rFonts w:ascii="Symbol" w:hAnsi="Symbol" w:cs="Symbol"/>
    </w:rPr>
  </w:style>
  <w:style w:type="character" w:styleId="WW8Num15z0" w:customStyle="1">
    <w:name w:val="WW8Num15z0"/>
    <w:qFormat/>
    <w:rsid w:val="00b94aa9"/>
    <w:rPr>
      <w:rFonts w:ascii="Symbol" w:hAnsi="Symbol" w:cs="Symbol"/>
    </w:rPr>
  </w:style>
  <w:style w:type="character" w:styleId="WW8Num15z1" w:customStyle="1">
    <w:name w:val="WW8Num15z1"/>
    <w:qFormat/>
    <w:rsid w:val="00b94aa9"/>
    <w:rPr>
      <w:rFonts w:ascii="Courier New" w:hAnsi="Courier New" w:cs="Courier New"/>
    </w:rPr>
  </w:style>
  <w:style w:type="character" w:styleId="WW8Num15z2" w:customStyle="1">
    <w:name w:val="WW8Num15z2"/>
    <w:qFormat/>
    <w:rsid w:val="00b94aa9"/>
    <w:rPr>
      <w:rFonts w:ascii="Wingdings" w:hAnsi="Wingdings" w:cs="Wingdings"/>
    </w:rPr>
  </w:style>
  <w:style w:type="character" w:styleId="WW8Num18z0" w:customStyle="1">
    <w:name w:val="WW8Num18z0"/>
    <w:qFormat/>
    <w:rsid w:val="00b94aa9"/>
    <w:rPr>
      <w:rFonts w:ascii="Wingdings" w:hAnsi="Wingdings" w:cs="Wingdings"/>
    </w:rPr>
  </w:style>
  <w:style w:type="character" w:styleId="WW8Num18z1" w:customStyle="1">
    <w:name w:val="WW8Num18z1"/>
    <w:qFormat/>
    <w:rsid w:val="00b94aa9"/>
    <w:rPr>
      <w:rFonts w:ascii="Times New Roman" w:hAnsi="Times New Roman" w:cs="Times New Roman"/>
    </w:rPr>
  </w:style>
  <w:style w:type="character" w:styleId="WW8Num18z2" w:customStyle="1">
    <w:name w:val="WW8Num18z2"/>
    <w:qFormat/>
    <w:rsid w:val="00b94aa9"/>
    <w:rPr>
      <w:rFonts w:ascii="Wingdings" w:hAnsi="Wingdings" w:cs="Wingdings"/>
    </w:rPr>
  </w:style>
  <w:style w:type="character" w:styleId="41" w:customStyle="1">
    <w:name w:val="Основной шрифт абзаца4"/>
    <w:qFormat/>
    <w:rsid w:val="00b94aa9"/>
    <w:rPr/>
  </w:style>
  <w:style w:type="character" w:styleId="WW-Absatz-Standardschriftart" w:customStyle="1">
    <w:name w:val="WW-Absatz-Standardschriftart"/>
    <w:qFormat/>
    <w:rsid w:val="00b94aa9"/>
    <w:rPr/>
  </w:style>
  <w:style w:type="character" w:styleId="33" w:customStyle="1">
    <w:name w:val="Основной шрифт абзаца3"/>
    <w:qFormat/>
    <w:rsid w:val="00b94aa9"/>
    <w:rPr/>
  </w:style>
  <w:style w:type="character" w:styleId="WW-Absatz-Standardschriftart1" w:customStyle="1">
    <w:name w:val="WW-Absatz-Standardschriftart1"/>
    <w:qFormat/>
    <w:rsid w:val="00b94aa9"/>
    <w:rPr/>
  </w:style>
  <w:style w:type="character" w:styleId="24" w:customStyle="1">
    <w:name w:val="Основной шрифт абзаца2"/>
    <w:qFormat/>
    <w:rsid w:val="00b94aa9"/>
    <w:rPr/>
  </w:style>
  <w:style w:type="character" w:styleId="WW-Absatz-Standardschriftart11" w:customStyle="1">
    <w:name w:val="WW-Absatz-Standardschriftart11"/>
    <w:qFormat/>
    <w:rsid w:val="00b94aa9"/>
    <w:rPr/>
  </w:style>
  <w:style w:type="character" w:styleId="WW-Absatz-Standardschriftart111" w:customStyle="1">
    <w:name w:val="WW-Absatz-Standardschriftart111"/>
    <w:qFormat/>
    <w:rsid w:val="00b94aa9"/>
    <w:rPr/>
  </w:style>
  <w:style w:type="character" w:styleId="WW-Absatz-Standardschriftart1111" w:customStyle="1">
    <w:name w:val="WW-Absatz-Standardschriftart1111"/>
    <w:qFormat/>
    <w:rsid w:val="00b94aa9"/>
    <w:rPr/>
  </w:style>
  <w:style w:type="character" w:styleId="WW-Absatz-Standardschriftart11111" w:customStyle="1">
    <w:name w:val="WW-Absatz-Standardschriftart11111"/>
    <w:qFormat/>
    <w:rsid w:val="00b94aa9"/>
    <w:rPr/>
  </w:style>
  <w:style w:type="character" w:styleId="WW8Num6z0" w:customStyle="1">
    <w:name w:val="WW8Num6z0"/>
    <w:qFormat/>
    <w:rsid w:val="00b94aa9"/>
    <w:rPr>
      <w:rFonts w:ascii="Symbol" w:hAnsi="Symbol" w:cs="Symbol"/>
    </w:rPr>
  </w:style>
  <w:style w:type="character" w:styleId="WW-Absatz-Standardschriftart111111" w:customStyle="1">
    <w:name w:val="WW-Absatz-Standardschriftart111111"/>
    <w:qFormat/>
    <w:rsid w:val="00b94aa9"/>
    <w:rPr/>
  </w:style>
  <w:style w:type="character" w:styleId="WW8Num1z0" w:customStyle="1">
    <w:name w:val="WW8Num1z0"/>
    <w:qFormat/>
    <w:rsid w:val="00b94aa9"/>
    <w:rPr>
      <w:rFonts w:ascii="Symbol" w:hAnsi="Symbol" w:cs="Symbol"/>
    </w:rPr>
  </w:style>
  <w:style w:type="character" w:styleId="WW8Num1z1" w:customStyle="1">
    <w:name w:val="WW8Num1z1"/>
    <w:qFormat/>
    <w:rsid w:val="00b94aa9"/>
    <w:rPr>
      <w:rFonts w:ascii="Courier New" w:hAnsi="Courier New" w:cs="Courier New"/>
    </w:rPr>
  </w:style>
  <w:style w:type="character" w:styleId="WW8Num1z2" w:customStyle="1">
    <w:name w:val="WW8Num1z2"/>
    <w:qFormat/>
    <w:rsid w:val="00b94aa9"/>
    <w:rPr>
      <w:rFonts w:ascii="Wingdings" w:hAnsi="Wingdings" w:cs="Wingdings"/>
    </w:rPr>
  </w:style>
  <w:style w:type="character" w:styleId="WW8Num3z0" w:customStyle="1">
    <w:name w:val="WW8Num3z0"/>
    <w:qFormat/>
    <w:rsid w:val="00b94aa9"/>
    <w:rPr>
      <w:rFonts w:ascii="Wingdings" w:hAnsi="Wingdings" w:cs="Wingdings"/>
    </w:rPr>
  </w:style>
  <w:style w:type="character" w:styleId="WW8Num3z1" w:customStyle="1">
    <w:name w:val="WW8Num3z1"/>
    <w:qFormat/>
    <w:rsid w:val="00b94aa9"/>
    <w:rPr>
      <w:rFonts w:ascii="Times New Roman" w:hAnsi="Times New Roman" w:cs="Times New Roman"/>
    </w:rPr>
  </w:style>
  <w:style w:type="character" w:styleId="WW8Num3z3" w:customStyle="1">
    <w:name w:val="WW8Num3z3"/>
    <w:qFormat/>
    <w:rsid w:val="00b94aa9"/>
    <w:rPr>
      <w:rFonts w:ascii="Symbol" w:hAnsi="Symbol" w:cs="Symbol"/>
    </w:rPr>
  </w:style>
  <w:style w:type="character" w:styleId="WW8Num3z4" w:customStyle="1">
    <w:name w:val="WW8Num3z4"/>
    <w:qFormat/>
    <w:rsid w:val="00b94aa9"/>
    <w:rPr>
      <w:rFonts w:ascii="Courier New" w:hAnsi="Courier New" w:cs="Courier New"/>
    </w:rPr>
  </w:style>
  <w:style w:type="character" w:styleId="WW8Num4z1" w:customStyle="1">
    <w:name w:val="WW8Num4z1"/>
    <w:qFormat/>
    <w:rsid w:val="00b94aa9"/>
    <w:rPr>
      <w:rFonts w:ascii="Courier New" w:hAnsi="Courier New" w:cs="Courier New"/>
    </w:rPr>
  </w:style>
  <w:style w:type="character" w:styleId="WW8Num4z2" w:customStyle="1">
    <w:name w:val="WW8Num4z2"/>
    <w:qFormat/>
    <w:rsid w:val="00b94aa9"/>
    <w:rPr>
      <w:rFonts w:ascii="Wingdings" w:hAnsi="Wingdings" w:cs="Wingdings"/>
    </w:rPr>
  </w:style>
  <w:style w:type="character" w:styleId="WW8Num5z1" w:customStyle="1">
    <w:name w:val="WW8Num5z1"/>
    <w:qFormat/>
    <w:rsid w:val="00b94aa9"/>
    <w:rPr>
      <w:rFonts w:ascii="Courier New" w:hAnsi="Courier New" w:cs="Courier New"/>
    </w:rPr>
  </w:style>
  <w:style w:type="character" w:styleId="WW8Num5z2" w:customStyle="1">
    <w:name w:val="WW8Num5z2"/>
    <w:qFormat/>
    <w:rsid w:val="00b94aa9"/>
    <w:rPr>
      <w:rFonts w:ascii="Wingdings" w:hAnsi="Wingdings" w:cs="Wingdings"/>
    </w:rPr>
  </w:style>
  <w:style w:type="character" w:styleId="WW8Num5z3" w:customStyle="1">
    <w:name w:val="WW8Num5z3"/>
    <w:qFormat/>
    <w:rsid w:val="00b94aa9"/>
    <w:rPr>
      <w:rFonts w:ascii="Symbol" w:hAnsi="Symbol" w:cs="Symbol"/>
    </w:rPr>
  </w:style>
  <w:style w:type="character" w:styleId="WW8Num7z3" w:customStyle="1">
    <w:name w:val="WW8Num7z3"/>
    <w:qFormat/>
    <w:rsid w:val="00b94aa9"/>
    <w:rPr>
      <w:rFonts w:ascii="Symbol" w:hAnsi="Symbol" w:cs="Symbol"/>
    </w:rPr>
  </w:style>
  <w:style w:type="character" w:styleId="WW8Num8z0" w:customStyle="1">
    <w:name w:val="WW8Num8z0"/>
    <w:qFormat/>
    <w:rsid w:val="00b94aa9"/>
    <w:rPr>
      <w:rFonts w:ascii="Wingdings" w:hAnsi="Wingdings" w:cs="Wingdings"/>
    </w:rPr>
  </w:style>
  <w:style w:type="character" w:styleId="WW8Num8z1" w:customStyle="1">
    <w:name w:val="WW8Num8z1"/>
    <w:qFormat/>
    <w:rsid w:val="00b94aa9"/>
    <w:rPr>
      <w:rFonts w:ascii="Times New Roman" w:hAnsi="Times New Roman" w:cs="Times New Roman"/>
    </w:rPr>
  </w:style>
  <w:style w:type="character" w:styleId="WW8Num8z3" w:customStyle="1">
    <w:name w:val="WW8Num8z3"/>
    <w:qFormat/>
    <w:rsid w:val="00b94aa9"/>
    <w:rPr>
      <w:rFonts w:ascii="Symbol" w:hAnsi="Symbol" w:cs="Symbol"/>
    </w:rPr>
  </w:style>
  <w:style w:type="character" w:styleId="WW8Num8z4" w:customStyle="1">
    <w:name w:val="WW8Num8z4"/>
    <w:qFormat/>
    <w:rsid w:val="00b94aa9"/>
    <w:rPr>
      <w:rFonts w:ascii="Courier New" w:hAnsi="Courier New" w:cs="Courier New"/>
    </w:rPr>
  </w:style>
  <w:style w:type="character" w:styleId="WW8Num9z0" w:customStyle="1">
    <w:name w:val="WW8Num9z0"/>
    <w:qFormat/>
    <w:rsid w:val="00b94aa9"/>
    <w:rPr>
      <w:rFonts w:ascii="Wingdings" w:hAnsi="Wingdings" w:cs="Wingdings"/>
    </w:rPr>
  </w:style>
  <w:style w:type="character" w:styleId="WW8Num9z1" w:customStyle="1">
    <w:name w:val="WW8Num9z1"/>
    <w:qFormat/>
    <w:rsid w:val="00b94aa9"/>
    <w:rPr>
      <w:rFonts w:ascii="Times New Roman" w:hAnsi="Times New Roman" w:cs="Times New Roman"/>
    </w:rPr>
  </w:style>
  <w:style w:type="character" w:styleId="WW8Num9z3" w:customStyle="1">
    <w:name w:val="WW8Num9z3"/>
    <w:qFormat/>
    <w:rsid w:val="00b94aa9"/>
    <w:rPr>
      <w:rFonts w:ascii="Symbol" w:hAnsi="Symbol" w:cs="Symbol"/>
    </w:rPr>
  </w:style>
  <w:style w:type="character" w:styleId="WW8Num9z4" w:customStyle="1">
    <w:name w:val="WW8Num9z4"/>
    <w:qFormat/>
    <w:rsid w:val="00b94aa9"/>
    <w:rPr>
      <w:rFonts w:ascii="Courier New" w:hAnsi="Courier New" w:cs="Courier New"/>
    </w:rPr>
  </w:style>
  <w:style w:type="character" w:styleId="WW8Num11z0" w:customStyle="1">
    <w:name w:val="WW8Num11z0"/>
    <w:qFormat/>
    <w:rsid w:val="00b94aa9"/>
    <w:rPr>
      <w:rFonts w:ascii="Symbol" w:hAnsi="Symbol" w:cs="Symbol"/>
    </w:rPr>
  </w:style>
  <w:style w:type="character" w:styleId="WW8Num11z1" w:customStyle="1">
    <w:name w:val="WW8Num11z1"/>
    <w:qFormat/>
    <w:rsid w:val="00b94aa9"/>
    <w:rPr>
      <w:rFonts w:ascii="Courier New" w:hAnsi="Courier New" w:cs="Courier New"/>
    </w:rPr>
  </w:style>
  <w:style w:type="character" w:styleId="WW8Num11z2" w:customStyle="1">
    <w:name w:val="WW8Num11z2"/>
    <w:qFormat/>
    <w:rsid w:val="00b94aa9"/>
    <w:rPr>
      <w:rFonts w:ascii="Wingdings" w:hAnsi="Wingdings" w:cs="Wingdings"/>
    </w:rPr>
  </w:style>
  <w:style w:type="character" w:styleId="WW8Num12z0" w:customStyle="1">
    <w:name w:val="WW8Num12z0"/>
    <w:qFormat/>
    <w:rsid w:val="00b94aa9"/>
    <w:rPr>
      <w:rFonts w:ascii="Times New Roman" w:hAnsi="Times New Roman" w:cs="Times New Roman"/>
    </w:rPr>
  </w:style>
  <w:style w:type="character" w:styleId="WW8Num12z1" w:customStyle="1">
    <w:name w:val="WW8Num12z1"/>
    <w:qFormat/>
    <w:rsid w:val="00b94aa9"/>
    <w:rPr>
      <w:rFonts w:ascii="Symbol" w:hAnsi="Symbol" w:cs="Symbol"/>
    </w:rPr>
  </w:style>
  <w:style w:type="character" w:styleId="WW8Num14z1" w:customStyle="1">
    <w:name w:val="WW8Num14z1"/>
    <w:qFormat/>
    <w:rsid w:val="00b94aa9"/>
    <w:rPr>
      <w:rFonts w:ascii="Courier New" w:hAnsi="Courier New" w:cs="Courier New"/>
    </w:rPr>
  </w:style>
  <w:style w:type="character" w:styleId="WW8Num14z2" w:customStyle="1">
    <w:name w:val="WW8Num14z2"/>
    <w:qFormat/>
    <w:rsid w:val="00b94aa9"/>
    <w:rPr>
      <w:rFonts w:ascii="Wingdings" w:hAnsi="Wingdings" w:cs="Wingdings"/>
    </w:rPr>
  </w:style>
  <w:style w:type="character" w:styleId="WW8Num14z3" w:customStyle="1">
    <w:name w:val="WW8Num14z3"/>
    <w:qFormat/>
    <w:rsid w:val="00b94aa9"/>
    <w:rPr>
      <w:rFonts w:ascii="Symbol" w:hAnsi="Symbol" w:cs="Symbol"/>
    </w:rPr>
  </w:style>
  <w:style w:type="character" w:styleId="WW8Num17z0" w:customStyle="1">
    <w:name w:val="WW8Num17z0"/>
    <w:qFormat/>
    <w:rsid w:val="00b94aa9"/>
    <w:rPr>
      <w:rFonts w:ascii="Wingdings" w:hAnsi="Wingdings" w:cs="Wingdings"/>
    </w:rPr>
  </w:style>
  <w:style w:type="character" w:styleId="WW8Num17z2" w:customStyle="1">
    <w:name w:val="WW8Num17z2"/>
    <w:qFormat/>
    <w:rsid w:val="00b94aa9"/>
    <w:rPr>
      <w:rFonts w:ascii="Times New Roman" w:hAnsi="Times New Roman" w:cs="Times New Roman"/>
    </w:rPr>
  </w:style>
  <w:style w:type="character" w:styleId="WW8Num18z3" w:customStyle="1">
    <w:name w:val="WW8Num18z3"/>
    <w:qFormat/>
    <w:rsid w:val="00b94aa9"/>
    <w:rPr>
      <w:rFonts w:ascii="Symbol" w:hAnsi="Symbol" w:cs="Symbol"/>
    </w:rPr>
  </w:style>
  <w:style w:type="character" w:styleId="WW8Num18z4" w:customStyle="1">
    <w:name w:val="WW8Num18z4"/>
    <w:qFormat/>
    <w:rsid w:val="00b94aa9"/>
    <w:rPr>
      <w:rFonts w:ascii="Courier New" w:hAnsi="Courier New" w:cs="Courier New"/>
    </w:rPr>
  </w:style>
  <w:style w:type="character" w:styleId="WW8Num20z1" w:customStyle="1">
    <w:name w:val="WW8Num20z1"/>
    <w:qFormat/>
    <w:rsid w:val="00b94aa9"/>
    <w:rPr>
      <w:rFonts w:ascii="Courier New" w:hAnsi="Courier New" w:cs="Courier New"/>
    </w:rPr>
  </w:style>
  <w:style w:type="character" w:styleId="WW8Num20z2" w:customStyle="1">
    <w:name w:val="WW8Num20z2"/>
    <w:qFormat/>
    <w:rsid w:val="00b94aa9"/>
    <w:rPr>
      <w:rFonts w:ascii="Wingdings" w:hAnsi="Wingdings" w:cs="Wingdings"/>
    </w:rPr>
  </w:style>
  <w:style w:type="character" w:styleId="WW8Num20z3" w:customStyle="1">
    <w:name w:val="WW8Num20z3"/>
    <w:qFormat/>
    <w:rsid w:val="00b94aa9"/>
    <w:rPr>
      <w:rFonts w:ascii="Symbol" w:hAnsi="Symbol" w:cs="Symbol"/>
    </w:rPr>
  </w:style>
  <w:style w:type="character" w:styleId="12" w:customStyle="1">
    <w:name w:val="Основной шрифт абзаца1"/>
    <w:qFormat/>
    <w:rsid w:val="00b94aa9"/>
    <w:rPr/>
  </w:style>
  <w:style w:type="character" w:styleId="Style17" w:customStyle="1">
    <w:name w:val="Символ нумерации"/>
    <w:qFormat/>
    <w:rsid w:val="00b94aa9"/>
    <w:rPr/>
  </w:style>
  <w:style w:type="character" w:styleId="13" w:customStyle="1">
    <w:name w:val="Знак примечания1"/>
    <w:qFormat/>
    <w:rsid w:val="00b94aa9"/>
    <w:rPr>
      <w:sz w:val="16"/>
      <w:szCs w:val="16"/>
    </w:rPr>
  </w:style>
  <w:style w:type="character" w:styleId="14" w:customStyle="1">
    <w:name w:val="Верхний колонтитул Знак1"/>
    <w:qFormat/>
    <w:rsid w:val="00b94aa9"/>
    <w:rPr>
      <w:rFonts w:ascii="Times New Roman" w:hAnsi="Times New Roman" w:cs="Calibri"/>
      <w:sz w:val="28"/>
      <w:szCs w:val="28"/>
      <w:lang w:eastAsia="zh-CN"/>
    </w:rPr>
  </w:style>
  <w:style w:type="character" w:styleId="15" w:customStyle="1">
    <w:name w:val="Нижний колонтитул Знак1"/>
    <w:uiPriority w:val="99"/>
    <w:qFormat/>
    <w:rsid w:val="00b94aa9"/>
    <w:rPr>
      <w:rFonts w:ascii="Times New Roman" w:hAnsi="Times New Roman" w:cs="Calibri"/>
      <w:sz w:val="28"/>
      <w:szCs w:val="28"/>
      <w:lang w:eastAsia="zh-CN"/>
    </w:rPr>
  </w:style>
  <w:style w:type="character" w:styleId="16" w:customStyle="1">
    <w:name w:val="Текст сноски Знак1"/>
    <w:qFormat/>
    <w:locked/>
    <w:rsid w:val="00b94aa9"/>
    <w:rPr>
      <w:rFonts w:ascii="Calibri" w:hAnsi="Calibri" w:cs="Calibri"/>
      <w:lang w:eastAsia="zh-CN"/>
    </w:rPr>
  </w:style>
  <w:style w:type="character" w:styleId="17" w:customStyle="1">
    <w:name w:val="Текст выноски Знак1"/>
    <w:qFormat/>
    <w:locked/>
    <w:rsid w:val="00b94aa9"/>
    <w:rPr>
      <w:rFonts w:ascii="Tahoma" w:hAnsi="Tahoma" w:eastAsia="Calibri" w:cs="Tahoma"/>
      <w:sz w:val="16"/>
      <w:szCs w:val="16"/>
      <w:lang w:eastAsia="zh-CN"/>
    </w:rPr>
  </w:style>
  <w:style w:type="character" w:styleId="18" w:customStyle="1">
    <w:name w:val="Текст примечания Знак1"/>
    <w:uiPriority w:val="99"/>
    <w:semiHidden/>
    <w:qFormat/>
    <w:rsid w:val="00b94aa9"/>
    <w:rPr>
      <w:rFonts w:ascii="Times New Roman" w:hAnsi="Times New Roman" w:eastAsia="Times New Roman" w:cs="Times New Roman"/>
    </w:rPr>
  </w:style>
  <w:style w:type="character" w:styleId="19" w:customStyle="1">
    <w:name w:val="Тема примечания Знак1"/>
    <w:qFormat/>
    <w:rsid w:val="00b94aa9"/>
    <w:rPr>
      <w:rFonts w:ascii="Times New Roman" w:hAnsi="Times New Roman" w:eastAsia="Times New Roman" w:cs="Calibri"/>
      <w:b/>
      <w:bCs/>
      <w:lang w:eastAsia="zh-CN"/>
    </w:rPr>
  </w:style>
  <w:style w:type="character" w:styleId="Apple-style-span" w:customStyle="1">
    <w:name w:val="apple-style-span"/>
    <w:qFormat/>
    <w:rsid w:val="00b94aa9"/>
    <w:rPr/>
  </w:style>
  <w:style w:type="character" w:styleId="Apple-converted-space" w:customStyle="1">
    <w:name w:val="apple-converted-space"/>
    <w:qFormat/>
    <w:rsid w:val="00b94aa9"/>
    <w:rPr/>
  </w:style>
  <w:style w:type="character" w:styleId="Blk" w:customStyle="1">
    <w:name w:val="blk"/>
    <w:qFormat/>
    <w:rsid w:val="00b94aa9"/>
    <w:rPr>
      <w:vanish w:val="false"/>
    </w:rPr>
  </w:style>
  <w:style w:type="character" w:styleId="Linenumber1" w:customStyle="1">
    <w:name w:val="line number1"/>
    <w:uiPriority w:val="99"/>
    <w:unhideWhenUsed/>
    <w:qFormat/>
    <w:rsid w:val="00b94aa9"/>
    <w:rPr/>
  </w:style>
  <w:style w:type="character" w:styleId="110" w:customStyle="1">
    <w:name w:val="Стиль1 Знак"/>
    <w:qFormat/>
    <w:rsid w:val="00b94aa9"/>
    <w:rPr>
      <w:rFonts w:eastAsia="DejaVu Sans" w:cs="Lohit Hindi"/>
      <w:b/>
      <w:bCs/>
      <w:sz w:val="24"/>
      <w:szCs w:val="24"/>
      <w:lang w:eastAsia="zh-CN"/>
    </w:rPr>
  </w:style>
  <w:style w:type="character" w:styleId="81" w:customStyle="1">
    <w:name w:val="Стиль8 Знак"/>
    <w:link w:val="82"/>
    <w:qFormat/>
    <w:rsid w:val="00b94aa9"/>
    <w:rPr>
      <w:rFonts w:ascii="Times New Roman" w:hAnsi="Times New Roman" w:eastAsia="Times New Roman" w:cs="Times New Roman"/>
      <w:sz w:val="24"/>
      <w:lang w:eastAsia="ru-RU"/>
    </w:rPr>
  </w:style>
  <w:style w:type="character" w:styleId="FontStyle17" w:customStyle="1">
    <w:name w:val="Font Style17"/>
    <w:qFormat/>
    <w:rsid w:val="00b94aa9"/>
    <w:rPr>
      <w:rFonts w:ascii="Times New Roman" w:hAnsi="Times New Roman" w:cs="Times New Roman"/>
      <w:sz w:val="20"/>
      <w:szCs w:val="20"/>
    </w:rPr>
  </w:style>
  <w:style w:type="character" w:styleId="131" w:customStyle="1">
    <w:name w:val="Знак Знак13"/>
    <w:qFormat/>
    <w:rsid w:val="00b94aa9"/>
    <w:rPr>
      <w:b/>
      <w:bCs/>
      <w:sz w:val="28"/>
    </w:rPr>
  </w:style>
  <w:style w:type="character" w:styleId="Style18" w:customStyle="1">
    <w:name w:val="Обычный список маркированный Знак"/>
    <w:link w:val="Style45"/>
    <w:qFormat/>
    <w:locked/>
    <w:rsid w:val="00b94aa9"/>
    <w:rPr>
      <w:rFonts w:ascii="Arial" w:hAnsi="Arial" w:eastAsia="Times New Roman" w:cs="Times New Roman"/>
      <w:sz w:val="28"/>
      <w:lang w:val="x-none"/>
    </w:rPr>
  </w:style>
  <w:style w:type="character" w:styleId="B-serp-itemtextpassage1" w:customStyle="1">
    <w:name w:val="b-serp-item__text_passage1"/>
    <w:qFormat/>
    <w:rsid w:val="00b94aa9"/>
    <w:rPr>
      <w:b/>
      <w:bCs/>
      <w:color w:val="888888"/>
    </w:rPr>
  </w:style>
  <w:style w:type="character" w:styleId="25" w:customStyle="1">
    <w:name w:val="Стиль2 Знак"/>
    <w:link w:val="213"/>
    <w:qFormat/>
    <w:rsid w:val="00b94aa9"/>
    <w:rPr>
      <w:rFonts w:ascii="Times New Roman" w:hAnsi="Times New Roman" w:eastAsia="Times New Roman" w:cs="Times New Roman"/>
      <w:bCs/>
      <w:sz w:val="24"/>
      <w:szCs w:val="24"/>
      <w:lang w:eastAsia="ru-RU"/>
    </w:rPr>
  </w:style>
  <w:style w:type="character" w:styleId="34" w:customStyle="1">
    <w:name w:val="Стиль3 Знак"/>
    <w:link w:val="310"/>
    <w:qFormat/>
    <w:rsid w:val="00b94aa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42" w:customStyle="1">
    <w:name w:val="Стиль4 Знак"/>
    <w:link w:val="44"/>
    <w:qFormat/>
    <w:rsid w:val="00b94aa9"/>
    <w:rPr>
      <w:rFonts w:ascii="Times New Roman" w:hAnsi="Times New Roman" w:eastAsia="Times New Roman" w:cs="Times New Roman"/>
      <w:b/>
      <w:sz w:val="24"/>
      <w:szCs w:val="24"/>
      <w:lang w:eastAsia="ru-RU"/>
    </w:rPr>
  </w:style>
  <w:style w:type="character" w:styleId="51" w:customStyle="1">
    <w:name w:val="Стиль5 Знак"/>
    <w:link w:val="52"/>
    <w:qFormat/>
    <w:rsid w:val="00b94aa9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61" w:customStyle="1">
    <w:name w:val="Стиль6 Знак"/>
    <w:basedOn w:val="51"/>
    <w:link w:val="62"/>
    <w:qFormat/>
    <w:rsid w:val="00b94aa9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71" w:customStyle="1">
    <w:name w:val="Стиль7 Знак"/>
    <w:link w:val="72"/>
    <w:qFormat/>
    <w:rsid w:val="00b94aa9"/>
    <w:rPr>
      <w:rFonts w:ascii="Times New Roman" w:hAnsi="Times New Roman" w:eastAsia="Times New Roman" w:cs="Times New Roman"/>
      <w:sz w:val="24"/>
      <w:szCs w:val="28"/>
      <w:lang w:eastAsia="ru-RU"/>
    </w:rPr>
  </w:style>
  <w:style w:type="character" w:styleId="HTML" w:customStyle="1">
    <w:name w:val="Стандартный HTML Знак"/>
    <w:basedOn w:val="DefaultParagraphFont"/>
    <w:link w:val="HTMLPreformatted"/>
    <w:uiPriority w:val="99"/>
    <w:qFormat/>
    <w:rsid w:val="00b94aa9"/>
    <w:rPr>
      <w:rFonts w:ascii="Courier New" w:hAnsi="Courier New" w:eastAsia="Times New Roman" w:cs="Courier New"/>
      <w:sz w:val="20"/>
      <w:szCs w:val="20"/>
      <w:lang w:eastAsia="ru-RU"/>
    </w:rPr>
  </w:style>
  <w:style w:type="character" w:styleId="Style19" w:customStyle="1">
    <w:name w:val="комментарий"/>
    <w:qFormat/>
    <w:rsid w:val="00c721a4"/>
    <w:rPr>
      <w:b/>
      <w:i/>
      <w:shd w:fill="FFFF99" w:val="clear"/>
    </w:rPr>
  </w:style>
  <w:style w:type="character" w:styleId="Style20" w:customStyle="1">
    <w:name w:val="Абзац списка Знак"/>
    <w:link w:val="ListParagraph"/>
    <w:uiPriority w:val="34"/>
    <w:qFormat/>
    <w:locked/>
    <w:rsid w:val="00c721a4"/>
    <w:rPr>
      <w:rFonts w:ascii="Times New Roman" w:hAnsi="Times New Roman" w:eastAsia="Calibri" w:cs="Times New Roman"/>
      <w:sz w:val="24"/>
      <w:szCs w:val="24"/>
      <w:lang w:eastAsia="ru-RU"/>
    </w:rPr>
  </w:style>
  <w:style w:type="character" w:styleId="ConsPlusNormal" w:customStyle="1">
    <w:name w:val="ConsPlusNormal Знак"/>
    <w:link w:val="ConsPlusNormal1"/>
    <w:qFormat/>
    <w:rsid w:val="001068ea"/>
    <w:rPr>
      <w:rFonts w:ascii="Arial" w:hAnsi="Arial" w:eastAsia="Times New Roman" w:cs="Arial"/>
      <w:sz w:val="20"/>
      <w:szCs w:val="20"/>
      <w:lang w:eastAsia="ru-RU"/>
    </w:rPr>
  </w:style>
  <w:style w:type="character" w:styleId="Style21" w:customStyle="1">
    <w:name w:val="Ссылка указателя"/>
    <w:qFormat/>
    <w:rPr/>
  </w:style>
  <w:style w:type="character" w:styleId="Linenumber2" w:customStyle="1">
    <w:name w:val="line number2"/>
    <w:qFormat/>
    <w:rPr/>
  </w:style>
  <w:style w:type="character" w:styleId="Strong2" w:customStyle="1">
    <w:name w:val="Strong2"/>
    <w:qFormat/>
    <w:rPr>
      <w:b/>
      <w:bCs/>
    </w:rPr>
  </w:style>
  <w:style w:type="character" w:styleId="Linenumber">
    <w:name w:val="line number"/>
    <w:qFormat/>
    <w:rPr/>
  </w:style>
  <w:style w:type="character" w:styleId="Strong3" w:customStyle="1">
    <w:name w:val="Strong3"/>
    <w:qFormat/>
    <w:rPr>
      <w:b/>
      <w:bCs/>
    </w:rPr>
  </w:style>
  <w:style w:type="character" w:styleId="Strong">
    <w:name w:val="Strong"/>
    <w:qFormat/>
    <w:rPr>
      <w:b/>
      <w:bCs/>
    </w:rPr>
  </w:style>
  <w:style w:type="paragraph" w:styleId="Style22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link w:val="Style6"/>
    <w:rsid w:val="00b94aa9"/>
    <w:pPr>
      <w:spacing w:lineRule="auto" w:line="240" w:before="0" w:after="120"/>
      <w:ind w:hanging="0"/>
      <w:jc w:val="left"/>
    </w:pPr>
    <w:rPr>
      <w:rFonts w:eastAsia="Times New Roman"/>
      <w:lang w:val="x-none" w:eastAsia="x-none"/>
    </w:rPr>
  </w:style>
  <w:style w:type="paragraph" w:styleId="List">
    <w:name w:val="List"/>
    <w:basedOn w:val="BodyText"/>
    <w:unhideWhenUsed/>
    <w:rsid w:val="00b94aa9"/>
    <w:pPr>
      <w:spacing w:lineRule="auto" w:line="276"/>
      <w:ind w:firstLine="709"/>
      <w:jc w:val="both"/>
    </w:pPr>
    <w:rPr>
      <w:rFonts w:eastAsia="Calibri" w:cs="Lohit Hindi"/>
      <w:lang w:val="ru-RU" w:eastAsia="zh-CN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3">
    <w:name w:val="Указатель"/>
    <w:basedOn w:val="Normal"/>
    <w:qFormat/>
    <w:pPr>
      <w:suppressLineNumbers/>
    </w:pPr>
    <w:rPr>
      <w:rFonts w:cs="Lohit Devanagari"/>
    </w:rPr>
  </w:style>
  <w:style w:type="paragraph" w:styleId="Title">
    <w:name w:val="Title"/>
    <w:basedOn w:val="Normal"/>
    <w:next w:val="BodyText"/>
    <w:link w:val="Style16"/>
    <w:qFormat/>
    <w:rsid w:val="00b94aa9"/>
    <w:pPr>
      <w:keepNext w:val="true"/>
      <w:spacing w:before="240" w:after="120"/>
    </w:pPr>
    <w:rPr>
      <w:rFonts w:ascii="Arial" w:hAnsi="Arial" w:eastAsia="DejaVu Sans" w:cs="Lohit Hindi"/>
      <w:lang w:eastAsia="zh-CN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112" w:customStyle="1">
    <w:name w:val="Заголовок1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WenQuanYi Zen Hei Sharp" w:cs="Lohit Devanagari"/>
    </w:rPr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heading1111" w:customStyle="1">
    <w:name w:val="index heading1111"/>
    <w:basedOn w:val="112"/>
    <w:qFormat/>
    <w:pPr/>
    <w:rPr/>
  </w:style>
  <w:style w:type="paragraph" w:styleId="Style24" w:customStyle="1">
    <w:name w:val="Заголовок СПравка"/>
    <w:basedOn w:val="Normal"/>
    <w:qFormat/>
    <w:rsid w:val="009a2c2f"/>
    <w:pPr>
      <w:spacing w:before="0" w:after="120"/>
      <w:ind w:hanging="0"/>
      <w:jc w:val="center"/>
    </w:pPr>
    <w:rPr>
      <w:b/>
    </w:rPr>
  </w:style>
  <w:style w:type="paragraph" w:styleId="FootnoteText">
    <w:name w:val="Footnote Text"/>
    <w:basedOn w:val="Normal"/>
    <w:link w:val="Style"/>
    <w:uiPriority w:val="99"/>
    <w:unhideWhenUsed/>
    <w:rsid w:val="00b333bd"/>
    <w:pPr>
      <w:spacing w:lineRule="auto" w:line="240"/>
    </w:pPr>
    <w:rPr>
      <w:sz w:val="20"/>
      <w:szCs w:val="20"/>
    </w:rPr>
  </w:style>
  <w:style w:type="paragraph" w:styleId="BalloonText">
    <w:name w:val="Balloon Text"/>
    <w:basedOn w:val="Normal"/>
    <w:link w:val="Style2"/>
    <w:unhideWhenUsed/>
    <w:qFormat/>
    <w:rsid w:val="0090416f"/>
    <w:pPr>
      <w:spacing w:lineRule="auto" w:line="240"/>
    </w:pPr>
    <w:rPr>
      <w:rFonts w:ascii="Segoe UI" w:hAnsi="Segoe UI" w:cs="Segoe UI"/>
      <w:sz w:val="18"/>
      <w:szCs w:val="18"/>
    </w:rPr>
  </w:style>
  <w:style w:type="paragraph" w:styleId="Style25" w:customStyle="1">
    <w:name w:val="Название раздела инструкции"/>
    <w:basedOn w:val="Normal"/>
    <w:autoRedefine/>
    <w:qFormat/>
    <w:rsid w:val="00b94aa9"/>
    <w:pPr>
      <w:spacing w:lineRule="auto" w:line="240"/>
      <w:ind w:hanging="0"/>
      <w:jc w:val="center"/>
    </w:pPr>
    <w:rPr>
      <w:rFonts w:eastAsia="Times New Roman"/>
      <w:lang w:eastAsia="ru-RU"/>
    </w:rPr>
  </w:style>
  <w:style w:type="paragraph" w:styleId="Style26" w:customStyle="1">
    <w:name w:val="Раздел положения"/>
    <w:basedOn w:val="Normal"/>
    <w:autoRedefine/>
    <w:qFormat/>
    <w:rsid w:val="00b94aa9"/>
    <w:pPr>
      <w:tabs>
        <w:tab w:val="clear" w:pos="708"/>
        <w:tab w:val="left" w:pos="360" w:leader="none"/>
      </w:tabs>
      <w:spacing w:lineRule="auto" w:line="240" w:before="80" w:after="80"/>
      <w:ind w:left="360" w:hanging="360"/>
      <w:jc w:val="center"/>
    </w:pPr>
    <w:rPr>
      <w:rFonts w:eastAsia="Times New Roman"/>
      <w:b/>
      <w:sz w:val="32"/>
      <w:szCs w:val="32"/>
      <w:lang w:eastAsia="ru-RU"/>
    </w:rPr>
  </w:style>
  <w:style w:type="paragraph" w:styleId="Style27" w:customStyle="1">
    <w:name w:val="Подраздел раздела положения"/>
    <w:basedOn w:val="Normal"/>
    <w:autoRedefine/>
    <w:qFormat/>
    <w:rsid w:val="00b94aa9"/>
    <w:pPr>
      <w:tabs>
        <w:tab w:val="clear" w:pos="708"/>
        <w:tab w:val="left" w:pos="357" w:leader="none"/>
      </w:tabs>
      <w:spacing w:lineRule="auto" w:line="240" w:before="80" w:after="80"/>
      <w:ind w:hanging="0"/>
    </w:pPr>
    <w:rPr>
      <w:rFonts w:eastAsia="Times New Roman"/>
      <w:lang w:eastAsia="ru-RU"/>
    </w:rPr>
  </w:style>
  <w:style w:type="paragraph" w:styleId="113" w:customStyle="1">
    <w:name w:val="Шапка 1"/>
    <w:basedOn w:val="Normal"/>
    <w:qFormat/>
    <w:rsid w:val="00b94aa9"/>
    <w:pPr>
      <w:pBdr>
        <w:bottom w:val="thickThinSmallGap" w:sz="24" w:space="1" w:color="000000"/>
      </w:pBdr>
      <w:spacing w:lineRule="auto" w:line="240" w:before="0" w:after="240"/>
      <w:ind w:hanging="0"/>
      <w:jc w:val="center"/>
    </w:pPr>
    <w:rPr>
      <w:rFonts w:eastAsia="Times New Roman"/>
      <w:sz w:val="22"/>
      <w:szCs w:val="22"/>
      <w:lang w:eastAsia="ru-RU"/>
    </w:rPr>
  </w:style>
  <w:style w:type="paragraph" w:styleId="26" w:customStyle="1">
    <w:name w:val="Шапка 2"/>
    <w:basedOn w:val="Normal"/>
    <w:qFormat/>
    <w:rsid w:val="00b94aa9"/>
    <w:pPr>
      <w:pBdr>
        <w:bottom w:val="thickThinSmallGap" w:sz="24" w:space="1" w:color="000000"/>
      </w:pBdr>
      <w:spacing w:lineRule="auto" w:line="240" w:before="0" w:after="120"/>
      <w:ind w:hanging="0"/>
      <w:jc w:val="center"/>
    </w:pPr>
    <w:rPr>
      <w:rFonts w:eastAsia="Times New Roman"/>
      <w:b/>
      <w:sz w:val="22"/>
      <w:szCs w:val="22"/>
      <w:lang w:eastAsia="ru-RU"/>
    </w:rPr>
  </w:style>
  <w:style w:type="paragraph" w:styleId="35" w:customStyle="1">
    <w:name w:val="Шапка 3"/>
    <w:basedOn w:val="Normal"/>
    <w:qFormat/>
    <w:rsid w:val="00b94aa9"/>
    <w:pPr>
      <w:pBdr>
        <w:bottom w:val="thickThinSmallGap" w:sz="24" w:space="1" w:color="000000"/>
      </w:pBdr>
      <w:spacing w:lineRule="auto" w:line="240" w:before="240" w:after="360"/>
      <w:ind w:hanging="0"/>
      <w:jc w:val="center"/>
    </w:pPr>
    <w:rPr>
      <w:rFonts w:eastAsia="Times New Roman"/>
      <w:b/>
      <w:sz w:val="24"/>
      <w:szCs w:val="24"/>
      <w:lang w:eastAsia="ru-RU"/>
    </w:rPr>
  </w:style>
  <w:style w:type="paragraph" w:styleId="Style28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3"/>
    <w:rsid w:val="00b94aa9"/>
    <w:pPr>
      <w:tabs>
        <w:tab w:val="clear" w:pos="708"/>
        <w:tab w:val="center" w:pos="4677" w:leader="none"/>
        <w:tab w:val="right" w:pos="9355" w:leader="none"/>
      </w:tabs>
      <w:spacing w:lineRule="auto" w:line="240"/>
      <w:ind w:hanging="0"/>
      <w:jc w:val="left"/>
    </w:pPr>
    <w:rPr>
      <w:rFonts w:eastAsia="Times New Roman"/>
      <w:sz w:val="24"/>
      <w:szCs w:val="24"/>
      <w:lang w:val="x-none" w:eastAsia="x-none"/>
    </w:rPr>
  </w:style>
  <w:style w:type="paragraph" w:styleId="BodyTextIndent">
    <w:name w:val="Body Text Indent"/>
    <w:basedOn w:val="Normal"/>
    <w:link w:val="Style4"/>
    <w:rsid w:val="00b94aa9"/>
    <w:pPr>
      <w:spacing w:lineRule="auto" w:line="240"/>
      <w:ind w:left="360" w:hanging="0"/>
      <w:jc w:val="left"/>
    </w:pPr>
    <w:rPr>
      <w:rFonts w:eastAsia="Times New Roman"/>
      <w:sz w:val="24"/>
      <w:szCs w:val="24"/>
      <w:lang w:eastAsia="ru-RU"/>
    </w:rPr>
  </w:style>
  <w:style w:type="paragraph" w:styleId="Footer">
    <w:name w:val="Footer"/>
    <w:basedOn w:val="Normal"/>
    <w:link w:val="Style5"/>
    <w:uiPriority w:val="99"/>
    <w:rsid w:val="00b94aa9"/>
    <w:pPr>
      <w:tabs>
        <w:tab w:val="clear" w:pos="708"/>
        <w:tab w:val="center" w:pos="4677" w:leader="none"/>
        <w:tab w:val="right" w:pos="9355" w:leader="none"/>
      </w:tabs>
      <w:spacing w:lineRule="auto" w:line="240"/>
      <w:ind w:hanging="0"/>
      <w:jc w:val="left"/>
    </w:pPr>
    <w:rPr>
      <w:rFonts w:eastAsia="Times New Roman"/>
      <w:lang w:eastAsia="ru-RU"/>
    </w:rPr>
  </w:style>
  <w:style w:type="paragraph" w:styleId="BodyTextIndent2">
    <w:name w:val="Body Text Indent 2"/>
    <w:basedOn w:val="Normal"/>
    <w:link w:val="21"/>
    <w:qFormat/>
    <w:rsid w:val="00b94aa9"/>
    <w:pPr>
      <w:spacing w:lineRule="auto" w:line="480" w:before="0" w:after="120"/>
      <w:ind w:left="283" w:hanging="0"/>
      <w:jc w:val="left"/>
    </w:pPr>
    <w:rPr>
      <w:rFonts w:eastAsia="Times New Roman"/>
      <w:lang w:eastAsia="ru-RU"/>
    </w:rPr>
  </w:style>
  <w:style w:type="paragraph" w:styleId="BodyText3">
    <w:name w:val="Body Text 3"/>
    <w:basedOn w:val="Normal"/>
    <w:link w:val="31"/>
    <w:qFormat/>
    <w:rsid w:val="00b94aa9"/>
    <w:pPr>
      <w:spacing w:lineRule="auto" w:line="240" w:before="0" w:after="120"/>
      <w:ind w:hanging="0"/>
      <w:jc w:val="left"/>
    </w:pPr>
    <w:rPr>
      <w:rFonts w:eastAsia="Times New Roman"/>
      <w:sz w:val="16"/>
      <w:szCs w:val="16"/>
      <w:lang w:eastAsia="ru-RU"/>
    </w:rPr>
  </w:style>
  <w:style w:type="paragraph" w:styleId="BodyTextIndent3">
    <w:name w:val="Body Text Indent 3"/>
    <w:basedOn w:val="Normal"/>
    <w:link w:val="32"/>
    <w:qFormat/>
    <w:rsid w:val="00b94aa9"/>
    <w:pPr>
      <w:spacing w:lineRule="auto" w:line="240" w:before="0" w:after="120"/>
      <w:ind w:left="283" w:hanging="0"/>
      <w:jc w:val="left"/>
    </w:pPr>
    <w:rPr>
      <w:rFonts w:eastAsia="Times New Roman"/>
      <w:sz w:val="16"/>
      <w:szCs w:val="16"/>
      <w:lang w:eastAsia="ru-RU"/>
    </w:rPr>
  </w:style>
  <w:style w:type="paragraph" w:styleId="BodyText2">
    <w:name w:val="Body Text 2"/>
    <w:basedOn w:val="Normal"/>
    <w:link w:val="22"/>
    <w:qFormat/>
    <w:rsid w:val="00b94aa9"/>
    <w:pPr>
      <w:spacing w:lineRule="auto" w:line="480" w:before="0" w:after="120"/>
      <w:ind w:hanging="0"/>
      <w:jc w:val="left"/>
    </w:pPr>
    <w:rPr>
      <w:rFonts w:eastAsia="Times New Roman"/>
      <w:lang w:eastAsia="ru-RU"/>
    </w:rPr>
  </w:style>
  <w:style w:type="paragraph" w:styleId="BlockText">
    <w:name w:val="Block Text"/>
    <w:basedOn w:val="Normal"/>
    <w:qFormat/>
    <w:rsid w:val="00b94aa9"/>
    <w:pPr>
      <w:spacing w:lineRule="auto" w:line="240"/>
      <w:ind w:left="-567" w:right="-766" w:hanging="0"/>
      <w:jc w:val="center"/>
    </w:pPr>
    <w:rPr>
      <w:rFonts w:eastAsia="Times New Roman"/>
      <w:b/>
      <w:bCs/>
      <w:sz w:val="24"/>
      <w:szCs w:val="20"/>
      <w:lang w:eastAsia="ru-RU"/>
    </w:rPr>
  </w:style>
  <w:style w:type="paragraph" w:styleId="Style29" w:customStyle="1">
    <w:name w:val="Подпункт"/>
    <w:basedOn w:val="Normal"/>
    <w:link w:val="11"/>
    <w:qFormat/>
    <w:rsid w:val="00b94aa9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</w:pPr>
    <w:rPr>
      <w:rFonts w:eastAsia="Times New Roman"/>
      <w:szCs w:val="20"/>
      <w:lang w:val="x-none" w:eastAsia="x-none"/>
    </w:rPr>
  </w:style>
  <w:style w:type="paragraph" w:styleId="27" w:customStyle="1">
    <w:name w:val="Пункт2"/>
    <w:basedOn w:val="Normal"/>
    <w:qFormat/>
    <w:rsid w:val="00b94aa9"/>
    <w:pPr>
      <w:keepNext w:val="true"/>
      <w:tabs>
        <w:tab w:val="clear" w:pos="708"/>
        <w:tab w:val="left" w:pos="1134" w:leader="none"/>
      </w:tabs>
      <w:snapToGrid w:val="false"/>
      <w:spacing w:lineRule="auto" w:line="240" w:before="240" w:after="120"/>
      <w:ind w:left="1134" w:hanging="1134"/>
      <w:jc w:val="left"/>
      <w:outlineLvl w:val="2"/>
    </w:pPr>
    <w:rPr>
      <w:rFonts w:eastAsia="Times New Roman"/>
      <w:b/>
      <w:szCs w:val="20"/>
      <w:lang w:eastAsia="ru-RU"/>
    </w:rPr>
  </w:style>
  <w:style w:type="paragraph" w:styleId="TOC1">
    <w:name w:val="TOC 1"/>
    <w:basedOn w:val="Normal"/>
    <w:next w:val="Normal"/>
    <w:autoRedefine/>
    <w:uiPriority w:val="39"/>
    <w:qFormat/>
    <w:rsid w:val="0095544b"/>
    <w:pPr>
      <w:tabs>
        <w:tab w:val="clear" w:pos="708"/>
        <w:tab w:val="left" w:pos="426" w:leader="none"/>
        <w:tab w:val="right" w:pos="9666" w:leader="dot"/>
      </w:tabs>
      <w:spacing w:lineRule="auto" w:line="312"/>
      <w:ind w:hanging="0"/>
    </w:pPr>
    <w:rPr>
      <w:rFonts w:eastAsia="Calibri"/>
      <w:b/>
      <w:iCs/>
      <w:sz w:val="24"/>
      <w:szCs w:val="24"/>
      <w:lang w:eastAsia="ru-RU"/>
    </w:rPr>
  </w:style>
  <w:style w:type="paragraph" w:styleId="TOC3">
    <w:name w:val="TOC 3"/>
    <w:basedOn w:val="Normal"/>
    <w:next w:val="Normal"/>
    <w:autoRedefine/>
    <w:uiPriority w:val="39"/>
    <w:qFormat/>
    <w:rsid w:val="00b94aa9"/>
    <w:pPr>
      <w:spacing w:lineRule="auto" w:line="240"/>
      <w:ind w:left="560" w:hanging="0"/>
      <w:jc w:val="left"/>
    </w:pPr>
    <w:rPr>
      <w:rFonts w:eastAsia="Times New Roman"/>
      <w:lang w:eastAsia="ru-RU"/>
    </w:rPr>
  </w:style>
  <w:style w:type="paragraph" w:styleId="Style30" w:customStyle="1">
    <w:name w:val="Раздел регламента"/>
    <w:basedOn w:val="Normal"/>
    <w:qFormat/>
    <w:rsid w:val="00b94aa9"/>
    <w:pPr>
      <w:spacing w:lineRule="auto" w:line="240"/>
      <w:ind w:hanging="0"/>
      <w:jc w:val="left"/>
    </w:pPr>
    <w:rPr>
      <w:rFonts w:eastAsia="Times New Roman"/>
      <w:lang w:eastAsia="ru-RU"/>
    </w:rPr>
  </w:style>
  <w:style w:type="paragraph" w:styleId="Style31" w:customStyle="1">
    <w:name w:val="Приложение к регламенту"/>
    <w:basedOn w:val="Normal"/>
    <w:qFormat/>
    <w:rsid w:val="00b94aa9"/>
    <w:pPr>
      <w:spacing w:lineRule="auto" w:line="240"/>
      <w:ind w:hanging="0"/>
      <w:jc w:val="right"/>
    </w:pPr>
    <w:rPr>
      <w:rFonts w:eastAsia="Times New Roman"/>
      <w:lang w:eastAsia="ru-RU"/>
    </w:rPr>
  </w:style>
  <w:style w:type="paragraph" w:styleId="TOC2">
    <w:name w:val="TOC 2"/>
    <w:basedOn w:val="Normal"/>
    <w:next w:val="Normal"/>
    <w:autoRedefine/>
    <w:uiPriority w:val="39"/>
    <w:qFormat/>
    <w:rsid w:val="00b94aa9"/>
    <w:pPr>
      <w:tabs>
        <w:tab w:val="clear" w:pos="708"/>
        <w:tab w:val="left" w:pos="426" w:leader="none"/>
        <w:tab w:val="right" w:pos="9666" w:leader="dot"/>
      </w:tabs>
      <w:spacing w:lineRule="auto" w:line="240"/>
      <w:ind w:hanging="0"/>
      <w:jc w:val="left"/>
    </w:pPr>
    <w:rPr>
      <w:rFonts w:eastAsia="Times New Roman"/>
      <w:lang w:eastAsia="ru-RU"/>
    </w:rPr>
  </w:style>
  <w:style w:type="paragraph" w:styleId="Annotationtext">
    <w:name w:val="annotation text"/>
    <w:basedOn w:val="Normal"/>
    <w:link w:val="Style7"/>
    <w:qFormat/>
    <w:rsid w:val="00b94aa9"/>
    <w:pPr>
      <w:spacing w:lineRule="auto" w:line="240"/>
      <w:ind w:hanging="0"/>
      <w:jc w:val="left"/>
    </w:pPr>
    <w:rPr>
      <w:rFonts w:eastAsia="Times New Roman"/>
      <w:sz w:val="20"/>
      <w:szCs w:val="20"/>
      <w:lang w:eastAsia="ru-RU"/>
    </w:rPr>
  </w:style>
  <w:style w:type="paragraph" w:styleId="Annotationsubject">
    <w:name w:val="annotation subject"/>
    <w:basedOn w:val="Annotationtext"/>
    <w:next w:val="Annotationtext"/>
    <w:link w:val="Style8"/>
    <w:qFormat/>
    <w:rsid w:val="00b94aa9"/>
    <w:pPr/>
    <w:rPr>
      <w:b/>
      <w:bCs/>
    </w:rPr>
  </w:style>
  <w:style w:type="paragraph" w:styleId="NormalWeb">
    <w:name w:val="Normal (Web)"/>
    <w:basedOn w:val="Normal"/>
    <w:qFormat/>
    <w:rsid w:val="00b94aa9"/>
    <w:pPr>
      <w:spacing w:lineRule="auto" w:line="240" w:beforeAutospacing="1" w:afterAutospacing="1"/>
      <w:ind w:hanging="0"/>
      <w:jc w:val="left"/>
    </w:pPr>
    <w:rPr>
      <w:rFonts w:ascii="Arial Unicode MS" w:hAnsi="Arial Unicode MS" w:eastAsia="Arial Unicode MS" w:cs="Arial Unicode MS"/>
      <w:sz w:val="24"/>
      <w:szCs w:val="24"/>
      <w:lang w:eastAsia="ru-RU"/>
    </w:rPr>
  </w:style>
  <w:style w:type="paragraph" w:styleId="TOC9">
    <w:name w:val="TOC 9"/>
    <w:basedOn w:val="Normal"/>
    <w:next w:val="Normal"/>
    <w:autoRedefine/>
    <w:uiPriority w:val="39"/>
    <w:rsid w:val="00b94aa9"/>
    <w:pPr>
      <w:spacing w:lineRule="auto" w:line="240"/>
      <w:ind w:left="2240" w:hanging="0"/>
      <w:jc w:val="left"/>
    </w:pPr>
    <w:rPr>
      <w:rFonts w:eastAsia="Times New Roman"/>
      <w:lang w:eastAsia="ru-RU"/>
    </w:rPr>
  </w:style>
  <w:style w:type="paragraph" w:styleId="TOC5">
    <w:name w:val="TOC 5"/>
    <w:basedOn w:val="Normal"/>
    <w:next w:val="Normal"/>
    <w:autoRedefine/>
    <w:uiPriority w:val="39"/>
    <w:rsid w:val="00b94aa9"/>
    <w:pPr>
      <w:spacing w:lineRule="auto" w:line="240"/>
      <w:ind w:left="1120" w:hanging="0"/>
      <w:jc w:val="left"/>
    </w:pPr>
    <w:rPr>
      <w:rFonts w:eastAsia="Times New Roman"/>
      <w:lang w:eastAsia="ru-RU"/>
    </w:rPr>
  </w:style>
  <w:style w:type="paragraph" w:styleId="TOC4">
    <w:name w:val="TOC 4"/>
    <w:basedOn w:val="Normal"/>
    <w:next w:val="Normal"/>
    <w:autoRedefine/>
    <w:uiPriority w:val="39"/>
    <w:rsid w:val="00b94aa9"/>
    <w:pPr>
      <w:spacing w:lineRule="auto" w:line="240"/>
      <w:ind w:left="840" w:hanging="0"/>
      <w:jc w:val="left"/>
    </w:pPr>
    <w:rPr>
      <w:rFonts w:eastAsia="Times New Roman"/>
      <w:lang w:eastAsia="ru-RU"/>
    </w:rPr>
  </w:style>
  <w:style w:type="paragraph" w:styleId="28" w:customStyle="1">
    <w:name w:val="Раздел положения 2"/>
    <w:basedOn w:val="Normal"/>
    <w:qFormat/>
    <w:rsid w:val="00b94aa9"/>
    <w:pPr>
      <w:pageBreakBefore/>
      <w:spacing w:lineRule="auto" w:line="240"/>
      <w:ind w:hanging="0"/>
      <w:outlineLvl w:val="0"/>
    </w:pPr>
    <w:rPr>
      <w:rFonts w:eastAsia="Times New Roman"/>
      <w:b/>
      <w:lang w:eastAsia="ru-RU"/>
    </w:rPr>
  </w:style>
  <w:style w:type="paragraph" w:styleId="Style32" w:customStyle="1">
    <w:name w:val="Знак Знак Знак Знак Знак Знак Знак Знак Знак"/>
    <w:basedOn w:val="Normal"/>
    <w:qFormat/>
    <w:rsid w:val="00b94aa9"/>
    <w:pPr>
      <w:spacing w:lineRule="exact" w:line="240" w:before="0" w:after="160"/>
      <w:ind w:hanging="0"/>
    </w:pPr>
    <w:rPr>
      <w:rFonts w:ascii="Verdana" w:hAnsi="Verdana" w:eastAsia="Times New Roman" w:cs="Verdana"/>
      <w:sz w:val="22"/>
      <w:szCs w:val="22"/>
      <w:lang w:val="en-US"/>
    </w:rPr>
  </w:style>
  <w:style w:type="paragraph" w:styleId="NoSpacing">
    <w:name w:val="No Spacing"/>
    <w:basedOn w:val="Normal"/>
    <w:uiPriority w:val="1"/>
    <w:qFormat/>
    <w:rsid w:val="00b94aa9"/>
    <w:pPr>
      <w:spacing w:lineRule="auto" w:line="360"/>
      <w:ind w:hanging="0"/>
      <w:jc w:val="left"/>
    </w:pPr>
    <w:rPr>
      <w:rFonts w:eastAsia="Calibri"/>
      <w:sz w:val="24"/>
      <w:szCs w:val="24"/>
      <w:lang w:eastAsia="ru-RU"/>
    </w:rPr>
  </w:style>
  <w:style w:type="paragraph" w:styleId="Caption11111" w:customStyle="1">
    <w:name w:val="caption11111"/>
    <w:basedOn w:val="Normal"/>
    <w:next w:val="Normal"/>
    <w:uiPriority w:val="35"/>
    <w:qFormat/>
    <w:rsid w:val="00b94aa9"/>
    <w:pPr>
      <w:spacing w:lineRule="auto" w:line="240"/>
      <w:ind w:hanging="0"/>
      <w:jc w:val="left"/>
    </w:pPr>
    <w:rPr>
      <w:rFonts w:eastAsia="Calibri"/>
      <w:b/>
      <w:bCs/>
      <w:color w:val="4F81BD"/>
      <w:sz w:val="18"/>
      <w:szCs w:val="18"/>
      <w:lang w:eastAsia="ru-RU"/>
    </w:rPr>
  </w:style>
  <w:style w:type="paragraph" w:styleId="Subtitle">
    <w:name w:val="Subtitle"/>
    <w:basedOn w:val="Normal"/>
    <w:next w:val="Normal"/>
    <w:link w:val="Style10"/>
    <w:uiPriority w:val="11"/>
    <w:qFormat/>
    <w:rsid w:val="00b94aa9"/>
    <w:pPr>
      <w:numPr>
        <w:ilvl w:val="1"/>
      </w:numPr>
      <w:spacing w:lineRule="auto" w:line="240"/>
      <w:ind w:left="1066" w:firstLine="709"/>
      <w:jc w:val="left"/>
    </w:pPr>
    <w:rPr>
      <w:rFonts w:ascii="Cambria" w:hAnsi="Cambria" w:eastAsia="Times New Roman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20"/>
    <w:uiPriority w:val="34"/>
    <w:qFormat/>
    <w:rsid w:val="00b94aa9"/>
    <w:pPr>
      <w:spacing w:lineRule="auto" w:line="240" w:before="0" w:after="0"/>
      <w:ind w:left="720" w:hanging="0"/>
      <w:contextualSpacing/>
      <w:jc w:val="left"/>
    </w:pPr>
    <w:rPr>
      <w:rFonts w:eastAsia="Calibri"/>
      <w:sz w:val="24"/>
      <w:szCs w:val="24"/>
      <w:lang w:eastAsia="ru-RU"/>
    </w:rPr>
  </w:style>
  <w:style w:type="paragraph" w:styleId="Quote">
    <w:name w:val="Quote"/>
    <w:basedOn w:val="Normal"/>
    <w:next w:val="Normal"/>
    <w:link w:val="23"/>
    <w:uiPriority w:val="29"/>
    <w:qFormat/>
    <w:rsid w:val="00b94aa9"/>
    <w:pPr>
      <w:spacing w:lineRule="auto" w:line="240"/>
      <w:ind w:hanging="0"/>
      <w:jc w:val="left"/>
    </w:pPr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11"/>
    <w:uiPriority w:val="30"/>
    <w:qFormat/>
    <w:rsid w:val="00b94aa9"/>
    <w:pPr>
      <w:pBdr>
        <w:bottom w:val="single" w:sz="4" w:space="4" w:color="4F81BD"/>
      </w:pBdr>
      <w:spacing w:lineRule="auto" w:line="240" w:before="200" w:after="280"/>
      <w:ind w:left="936" w:right="936" w:hanging="0"/>
      <w:jc w:val="left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22"/>
    <w:pPr/>
    <w:rPr/>
  </w:style>
  <w:style w:type="paragraph" w:styleId="TOCHeading">
    <w:name w:val="TOC Heading"/>
    <w:basedOn w:val="Heading1"/>
    <w:next w:val="Normal"/>
    <w:uiPriority w:val="39"/>
    <w:qFormat/>
    <w:rsid w:val="00b94aa9"/>
    <w:pPr>
      <w:keepLines/>
      <w:spacing w:before="480" w:after="0"/>
      <w:jc w:val="left"/>
      <w:outlineLvl w:val="9"/>
    </w:pPr>
    <w:rPr>
      <w:rFonts w:ascii="Cambria" w:hAnsi="Cambria"/>
      <w:bCs/>
      <w:color w:val="365F91"/>
      <w:sz w:val="28"/>
      <w:szCs w:val="28"/>
    </w:rPr>
  </w:style>
  <w:style w:type="paragraph" w:styleId="E-mailSignature">
    <w:name w:val="E-mail Signature"/>
    <w:basedOn w:val="Normal"/>
    <w:link w:val="Style12"/>
    <w:uiPriority w:val="99"/>
    <w:unhideWhenUsed/>
    <w:qFormat/>
    <w:rsid w:val="00b94aa9"/>
    <w:pPr>
      <w:spacing w:lineRule="auto" w:line="240"/>
      <w:ind w:hanging="0"/>
      <w:jc w:val="left"/>
    </w:pPr>
    <w:rPr>
      <w:rFonts w:eastAsia="Calibri"/>
      <w:sz w:val="24"/>
      <w:szCs w:val="24"/>
      <w:lang w:val="x-none" w:eastAsia="x-none"/>
    </w:rPr>
  </w:style>
  <w:style w:type="paragraph" w:styleId="Style33" w:customStyle="1">
    <w:name w:val="Знак"/>
    <w:basedOn w:val="Normal"/>
    <w:qFormat/>
    <w:rsid w:val="00b94aa9"/>
    <w:pPr>
      <w:spacing w:lineRule="exact" w:line="240" w:before="0" w:after="160"/>
      <w:ind w:hanging="0"/>
      <w:jc w:val="left"/>
    </w:pPr>
    <w:rPr>
      <w:rFonts w:ascii="Verdana" w:hAnsi="Verdana" w:eastAsia="Times New Roman" w:cs="Verdana"/>
      <w:sz w:val="20"/>
      <w:szCs w:val="20"/>
      <w:lang w:val="en-US" w:eastAsia="ru-RU"/>
    </w:rPr>
  </w:style>
  <w:style w:type="paragraph" w:styleId="36" w:customStyle="1">
    <w:name w:val="Нумерованный список ур3"/>
    <w:basedOn w:val="Normal"/>
    <w:qFormat/>
    <w:rsid w:val="00b94aa9"/>
    <w:pPr>
      <w:tabs>
        <w:tab w:val="clear" w:pos="708"/>
        <w:tab w:val="left" w:pos="1233" w:leader="none"/>
      </w:tabs>
      <w:spacing w:lineRule="auto" w:line="240"/>
      <w:ind w:left="1233" w:hanging="360"/>
    </w:pPr>
    <w:rPr>
      <w:rFonts w:ascii="Garamond" w:hAnsi="Garamond" w:eastAsia="Times New Roman"/>
      <w:sz w:val="24"/>
      <w:szCs w:val="20"/>
      <w:lang w:eastAsia="ru-RU"/>
    </w:rPr>
  </w:style>
  <w:style w:type="paragraph" w:styleId="411" w:customStyle="1">
    <w:name w:val="Маркированный список 41"/>
    <w:basedOn w:val="Normal"/>
    <w:qFormat/>
    <w:rsid w:val="00b94aa9"/>
    <w:pPr>
      <w:tabs>
        <w:tab w:val="clear" w:pos="708"/>
        <w:tab w:val="left" w:pos="0" w:leader="none"/>
      </w:tabs>
      <w:spacing w:lineRule="auto" w:line="240" w:before="120" w:after="0"/>
      <w:ind w:left="-207" w:hanging="360"/>
    </w:pPr>
    <w:rPr>
      <w:rFonts w:ascii="Garamond" w:hAnsi="Garamond" w:eastAsia="Times New Roman"/>
      <w:sz w:val="24"/>
      <w:szCs w:val="20"/>
      <w:lang w:eastAsia="ru-RU"/>
    </w:rPr>
  </w:style>
  <w:style w:type="paragraph" w:styleId="29" w:customStyle="1">
    <w:name w:val="Нумерованный список ур2"/>
    <w:basedOn w:val="Normal"/>
    <w:qFormat/>
    <w:rsid w:val="00b94aa9"/>
    <w:pPr>
      <w:tabs>
        <w:tab w:val="clear" w:pos="708"/>
        <w:tab w:val="left" w:pos="513" w:leader="none"/>
      </w:tabs>
      <w:spacing w:lineRule="auto" w:line="240" w:before="120" w:after="0"/>
      <w:ind w:left="513" w:hanging="360"/>
    </w:pPr>
    <w:rPr>
      <w:rFonts w:ascii="Garamond" w:hAnsi="Garamond" w:eastAsia="Times New Roman"/>
      <w:sz w:val="24"/>
      <w:szCs w:val="20"/>
      <w:lang w:eastAsia="ru-RU"/>
    </w:rPr>
  </w:style>
  <w:style w:type="paragraph" w:styleId="Revision">
    <w:name w:val="Revision"/>
    <w:uiPriority w:val="99"/>
    <w:qFormat/>
    <w:rsid w:val="00b94aa9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 w:eastAsiaTheme="minorHAnsi"/>
      <w:color w:val="auto"/>
      <w:kern w:val="0"/>
      <w:sz w:val="24"/>
      <w:szCs w:val="24"/>
      <w:lang w:val="ru-RU" w:eastAsia="ru-RU" w:bidi="ar-SA"/>
    </w:rPr>
  </w:style>
  <w:style w:type="paragraph" w:styleId="ConsPlusNormal1" w:customStyle="1">
    <w:name w:val="ConsPlusNormal"/>
    <w:link w:val="ConsPlusNormal"/>
    <w:qFormat/>
    <w:rsid w:val="00b94aa9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7" w:customStyle="1">
    <w:name w:val="Знак Знак3 Знак Знак"/>
    <w:basedOn w:val="Normal"/>
    <w:qFormat/>
    <w:rsid w:val="00b94aa9"/>
    <w:pPr>
      <w:spacing w:lineRule="exact" w:line="240" w:before="0" w:after="160"/>
      <w:ind w:hanging="0"/>
    </w:pPr>
    <w:rPr>
      <w:rFonts w:ascii="Verdana" w:hAnsi="Verdana" w:eastAsia="Times New Roman" w:cs="Verdana"/>
      <w:sz w:val="22"/>
      <w:szCs w:val="22"/>
      <w:lang w:val="en-US" w:eastAsia="ru-RU"/>
    </w:rPr>
  </w:style>
  <w:style w:type="paragraph" w:styleId="Style34" w:customStyle="1">
    <w:name w:val="Пункт"/>
    <w:basedOn w:val="Normal"/>
    <w:qFormat/>
    <w:rsid w:val="00b94aa9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</w:pPr>
    <w:rPr>
      <w:rFonts w:ascii="Arial" w:hAnsi="Arial" w:eastAsia="Times New Roman"/>
      <w:b/>
      <w:i/>
      <w:szCs w:val="20"/>
      <w:lang w:eastAsia="ru-RU"/>
    </w:rPr>
  </w:style>
  <w:style w:type="paragraph" w:styleId="114" w:customStyle="1">
    <w:name w:val="Абзац списка1"/>
    <w:basedOn w:val="Normal"/>
    <w:qFormat/>
    <w:rsid w:val="00b94aa9"/>
    <w:pPr>
      <w:spacing w:before="0" w:after="200"/>
      <w:ind w:left="720" w:hanging="0"/>
      <w:contextualSpacing/>
      <w:jc w:val="left"/>
    </w:pPr>
    <w:rPr>
      <w:rFonts w:ascii="Calibri" w:hAnsi="Calibri" w:eastAsia="Times New Roman"/>
      <w:sz w:val="22"/>
      <w:szCs w:val="22"/>
    </w:rPr>
  </w:style>
  <w:style w:type="paragraph" w:styleId="Style35" w:customStyle="1">
    <w:name w:val="Таблица"/>
    <w:basedOn w:val="Normal"/>
    <w:qFormat/>
    <w:rsid w:val="00b94aa9"/>
    <w:pPr>
      <w:spacing w:lineRule="auto" w:line="240"/>
      <w:ind w:hanging="0"/>
      <w:jc w:val="left"/>
    </w:pPr>
    <w:rPr>
      <w:rFonts w:eastAsia="Times New Roman"/>
      <w:sz w:val="20"/>
      <w:szCs w:val="20"/>
      <w:lang w:eastAsia="ru-RU"/>
    </w:rPr>
  </w:style>
  <w:style w:type="paragraph" w:styleId="EndnoteText">
    <w:name w:val="Endnote Text"/>
    <w:basedOn w:val="Normal"/>
    <w:link w:val="Style13"/>
    <w:rsid w:val="00b94aa9"/>
    <w:pPr>
      <w:spacing w:lineRule="auto" w:line="240"/>
      <w:ind w:hanging="0"/>
      <w:jc w:val="left"/>
    </w:pPr>
    <w:rPr>
      <w:rFonts w:eastAsia="Times New Roman"/>
      <w:sz w:val="20"/>
      <w:szCs w:val="20"/>
      <w:lang w:eastAsia="ru-RU"/>
    </w:rPr>
  </w:style>
  <w:style w:type="paragraph" w:styleId="H2" w:customStyle="1">
    <w:name w:val="##h2*"/>
    <w:basedOn w:val="Heading2"/>
    <w:uiPriority w:val="99"/>
    <w:qFormat/>
    <w:rsid w:val="00b94aa9"/>
    <w:pPr>
      <w:keepNext w:val="false"/>
      <w:tabs>
        <w:tab w:val="clear" w:pos="708"/>
        <w:tab w:val="left" w:pos="360" w:leader="none"/>
        <w:tab w:val="left" w:pos="1695" w:leader="none"/>
      </w:tabs>
      <w:spacing w:lineRule="auto" w:line="276" w:before="0" w:after="0"/>
      <w:ind w:right="266" w:firstLine="567"/>
      <w:jc w:val="both"/>
    </w:pPr>
    <w:rPr>
      <w:rFonts w:ascii="Times New Roman" w:hAnsi="Times New Roman"/>
      <w:b w:val="false"/>
      <w:i w:val="false"/>
      <w:sz w:val="24"/>
      <w:szCs w:val="24"/>
      <w:lang w:val="ru-RU" w:eastAsia="ru-RU"/>
    </w:rPr>
  </w:style>
  <w:style w:type="paragraph" w:styleId="1111" w:customStyle="1">
    <w:name w:val="111"/>
    <w:basedOn w:val="Normal"/>
    <w:qFormat/>
    <w:rsid w:val="00b94aa9"/>
    <w:pPr>
      <w:spacing w:lineRule="auto" w:line="360"/>
      <w:ind w:left="425" w:right="851" w:firstLine="425"/>
    </w:pPr>
    <w:rPr>
      <w:rFonts w:ascii="Arial" w:hAnsi="Arial" w:eastAsia="Times New Roman"/>
      <w:iCs/>
      <w:sz w:val="22"/>
      <w:szCs w:val="32"/>
      <w:lang w:val="x-none" w:eastAsia="x-none"/>
    </w:rPr>
  </w:style>
  <w:style w:type="paragraph" w:styleId="TOC6">
    <w:name w:val="TOC 6"/>
    <w:basedOn w:val="Normal"/>
    <w:next w:val="Normal"/>
    <w:autoRedefine/>
    <w:uiPriority w:val="39"/>
    <w:unhideWhenUsed/>
    <w:rsid w:val="00b94aa9"/>
    <w:pPr>
      <w:spacing w:before="0" w:after="100"/>
      <w:ind w:left="1100" w:hanging="0"/>
      <w:jc w:val="left"/>
    </w:pPr>
    <w:rPr>
      <w:rFonts w:ascii="Calibri" w:hAnsi="Calibri" w:eastAsia="Times New Roman"/>
      <w:sz w:val="22"/>
      <w:szCs w:val="22"/>
      <w:lang w:eastAsia="ru-RU"/>
    </w:rPr>
  </w:style>
  <w:style w:type="paragraph" w:styleId="TOC7">
    <w:name w:val="TOC 7"/>
    <w:basedOn w:val="Normal"/>
    <w:next w:val="Normal"/>
    <w:autoRedefine/>
    <w:uiPriority w:val="39"/>
    <w:unhideWhenUsed/>
    <w:rsid w:val="00b94aa9"/>
    <w:pPr>
      <w:spacing w:before="0" w:after="100"/>
      <w:ind w:left="1320" w:hanging="0"/>
      <w:jc w:val="left"/>
    </w:pPr>
    <w:rPr>
      <w:rFonts w:ascii="Calibri" w:hAnsi="Calibri" w:eastAsia="Times New Roman"/>
      <w:sz w:val="22"/>
      <w:szCs w:val="22"/>
      <w:lang w:eastAsia="ru-RU"/>
    </w:rPr>
  </w:style>
  <w:style w:type="paragraph" w:styleId="TOC8">
    <w:name w:val="TOC 8"/>
    <w:basedOn w:val="Normal"/>
    <w:next w:val="Normal"/>
    <w:autoRedefine/>
    <w:uiPriority w:val="39"/>
    <w:unhideWhenUsed/>
    <w:rsid w:val="00b94aa9"/>
    <w:pPr>
      <w:spacing w:before="0" w:after="100"/>
      <w:ind w:left="1540" w:hanging="0"/>
      <w:jc w:val="left"/>
    </w:pPr>
    <w:rPr>
      <w:rFonts w:ascii="Calibri" w:hAnsi="Calibri" w:eastAsia="Times New Roman"/>
      <w:sz w:val="22"/>
      <w:szCs w:val="22"/>
      <w:lang w:eastAsia="ru-RU"/>
    </w:rPr>
  </w:style>
  <w:style w:type="paragraph" w:styleId="DocumentMap">
    <w:name w:val="Document Map"/>
    <w:basedOn w:val="Normal"/>
    <w:link w:val="Style15"/>
    <w:uiPriority w:val="99"/>
    <w:unhideWhenUsed/>
    <w:qFormat/>
    <w:rsid w:val="00b94aa9"/>
    <w:pPr>
      <w:spacing w:lineRule="auto" w:line="240"/>
      <w:ind w:hanging="0"/>
      <w:jc w:val="left"/>
    </w:pPr>
    <w:rPr>
      <w:rFonts w:ascii="Tahoma" w:hAnsi="Tahoma" w:eastAsia="Times New Roman" w:cs="Tahoma"/>
      <w:sz w:val="16"/>
      <w:szCs w:val="16"/>
      <w:lang w:eastAsia="ru-RU"/>
    </w:rPr>
  </w:style>
  <w:style w:type="paragraph" w:styleId="115" w:customStyle="1">
    <w:name w:val="Знак1"/>
    <w:basedOn w:val="Normal"/>
    <w:qFormat/>
    <w:rsid w:val="00b94aa9"/>
    <w:pPr>
      <w:tabs>
        <w:tab w:val="clear" w:pos="708"/>
        <w:tab w:val="left" w:pos="720" w:leader="none"/>
      </w:tabs>
      <w:spacing w:lineRule="exact" w:line="240" w:before="0" w:after="160"/>
      <w:ind w:left="720" w:hanging="720"/>
    </w:pPr>
    <w:rPr>
      <w:rFonts w:ascii="Verdana" w:hAnsi="Verdana" w:eastAsia="Calibri" w:cs="Verdana"/>
      <w:sz w:val="20"/>
      <w:szCs w:val="20"/>
      <w:lang w:val="en-US"/>
    </w:rPr>
  </w:style>
  <w:style w:type="paragraph" w:styleId="Msonormalcxspmiddle" w:customStyle="1">
    <w:name w:val="msonormalcxspmiddle"/>
    <w:basedOn w:val="Normal"/>
    <w:qFormat/>
    <w:rsid w:val="00b94aa9"/>
    <w:pPr>
      <w:spacing w:lineRule="auto" w:line="240" w:beforeAutospacing="1" w:afterAutospacing="1"/>
      <w:ind w:hanging="0"/>
      <w:jc w:val="left"/>
    </w:pPr>
    <w:rPr>
      <w:rFonts w:eastAsia="Times New Roman"/>
      <w:sz w:val="24"/>
      <w:szCs w:val="24"/>
      <w:lang w:eastAsia="ru-RU"/>
    </w:rPr>
  </w:style>
  <w:style w:type="paragraph" w:styleId="43" w:customStyle="1">
    <w:name w:val="Указатель4"/>
    <w:basedOn w:val="Normal"/>
    <w:qFormat/>
    <w:rsid w:val="00b94aa9"/>
    <w:pPr>
      <w:suppressLineNumbers/>
    </w:pPr>
    <w:rPr>
      <w:rFonts w:eastAsia="Calibri" w:cs="Lohit Hindi"/>
      <w:lang w:eastAsia="zh-CN"/>
    </w:rPr>
  </w:style>
  <w:style w:type="paragraph" w:styleId="210" w:customStyle="1">
    <w:name w:val="Название объекта2"/>
    <w:basedOn w:val="Normal"/>
    <w:qFormat/>
    <w:rsid w:val="00b94aa9"/>
    <w:pPr>
      <w:suppressLineNumbers/>
      <w:spacing w:before="120" w:after="120"/>
    </w:pPr>
    <w:rPr>
      <w:rFonts w:eastAsia="Calibri" w:cs="Lohit Hindi"/>
      <w:i/>
      <w:iCs/>
      <w:sz w:val="24"/>
      <w:szCs w:val="24"/>
      <w:lang w:eastAsia="zh-CN"/>
    </w:rPr>
  </w:style>
  <w:style w:type="paragraph" w:styleId="38" w:customStyle="1">
    <w:name w:val="Указатель3"/>
    <w:basedOn w:val="Normal"/>
    <w:qFormat/>
    <w:rsid w:val="00b94aa9"/>
    <w:pPr>
      <w:suppressLineNumbers/>
    </w:pPr>
    <w:rPr>
      <w:rFonts w:eastAsia="Calibri" w:cs="Lohit Hindi"/>
      <w:lang w:eastAsia="zh-CN"/>
    </w:rPr>
  </w:style>
  <w:style w:type="paragraph" w:styleId="116" w:customStyle="1">
    <w:name w:val="Название объекта1"/>
    <w:basedOn w:val="Normal"/>
    <w:qFormat/>
    <w:rsid w:val="00b94aa9"/>
    <w:pPr>
      <w:suppressLineNumbers/>
      <w:spacing w:before="120" w:after="120"/>
    </w:pPr>
    <w:rPr>
      <w:rFonts w:eastAsia="Calibri" w:cs="Lohit Hindi"/>
      <w:i/>
      <w:iCs/>
      <w:sz w:val="24"/>
      <w:szCs w:val="24"/>
      <w:lang w:eastAsia="zh-CN"/>
    </w:rPr>
  </w:style>
  <w:style w:type="paragraph" w:styleId="211" w:customStyle="1">
    <w:name w:val="Указатель2"/>
    <w:basedOn w:val="Normal"/>
    <w:qFormat/>
    <w:rsid w:val="00b94aa9"/>
    <w:pPr>
      <w:suppressLineNumbers/>
    </w:pPr>
    <w:rPr>
      <w:rFonts w:eastAsia="Calibri" w:cs="Lohit Hindi"/>
      <w:lang w:eastAsia="zh-CN"/>
    </w:rPr>
  </w:style>
  <w:style w:type="paragraph" w:styleId="117" w:customStyle="1">
    <w:name w:val="Название1"/>
    <w:basedOn w:val="Normal"/>
    <w:qFormat/>
    <w:rsid w:val="00b94aa9"/>
    <w:pPr>
      <w:suppressLineNumbers/>
      <w:spacing w:before="120" w:after="120"/>
    </w:pPr>
    <w:rPr>
      <w:rFonts w:eastAsia="Calibri" w:cs="Lohit Hindi"/>
      <w:i/>
      <w:iCs/>
      <w:sz w:val="24"/>
      <w:szCs w:val="24"/>
      <w:lang w:eastAsia="zh-CN"/>
    </w:rPr>
  </w:style>
  <w:style w:type="paragraph" w:styleId="118" w:customStyle="1">
    <w:name w:val="Указатель1"/>
    <w:basedOn w:val="Normal"/>
    <w:qFormat/>
    <w:rsid w:val="00b94aa9"/>
    <w:pPr>
      <w:suppressLineNumbers/>
    </w:pPr>
    <w:rPr>
      <w:rFonts w:eastAsia="Calibri" w:cs="Lohit Hindi"/>
      <w:lang w:eastAsia="zh-CN"/>
    </w:rPr>
  </w:style>
  <w:style w:type="paragraph" w:styleId="119" w:customStyle="1">
    <w:name w:val="Обычный1"/>
    <w:qFormat/>
    <w:rsid w:val="00b94aa9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Calibri"/>
      <w:color w:val="000000"/>
      <w:kern w:val="0"/>
      <w:sz w:val="24"/>
      <w:szCs w:val="24"/>
      <w:lang w:val="ru-RU" w:eastAsia="zh-CN" w:bidi="ar-SA"/>
    </w:rPr>
  </w:style>
  <w:style w:type="paragraph" w:styleId="Style36" w:customStyle="1">
    <w:name w:val="Содержимое таблицы"/>
    <w:basedOn w:val="Normal"/>
    <w:qFormat/>
    <w:rsid w:val="00b94aa9"/>
    <w:pPr>
      <w:suppressLineNumbers/>
    </w:pPr>
    <w:rPr>
      <w:rFonts w:eastAsia="Calibri" w:cs="Calibri"/>
      <w:lang w:eastAsia="zh-CN"/>
    </w:rPr>
  </w:style>
  <w:style w:type="paragraph" w:styleId="Style37" w:customStyle="1">
    <w:name w:val="Заголовок таблицы"/>
    <w:basedOn w:val="Style36"/>
    <w:qFormat/>
    <w:rsid w:val="00b94aa9"/>
    <w:pPr>
      <w:jc w:val="center"/>
    </w:pPr>
    <w:rPr>
      <w:b/>
      <w:bCs/>
    </w:rPr>
  </w:style>
  <w:style w:type="paragraph" w:styleId="Style38" w:customStyle="1">
    <w:name w:val="Содержимое врезки"/>
    <w:basedOn w:val="BodyText"/>
    <w:qFormat/>
    <w:rsid w:val="00b94aa9"/>
    <w:pPr>
      <w:spacing w:lineRule="auto" w:line="276"/>
      <w:ind w:firstLine="709"/>
      <w:jc w:val="both"/>
    </w:pPr>
    <w:rPr>
      <w:rFonts w:eastAsia="Calibri" w:cs="Calibri"/>
      <w:lang w:val="ru-RU" w:eastAsia="zh-CN"/>
    </w:rPr>
  </w:style>
  <w:style w:type="paragraph" w:styleId="120" w:customStyle="1">
    <w:name w:val="Текст примечания1"/>
    <w:basedOn w:val="Normal"/>
    <w:qFormat/>
    <w:rsid w:val="00b94aa9"/>
    <w:pPr/>
    <w:rPr>
      <w:rFonts w:eastAsia="Calibri" w:cs="Calibri"/>
      <w:sz w:val="20"/>
      <w:szCs w:val="20"/>
      <w:lang w:eastAsia="zh-CN"/>
    </w:rPr>
  </w:style>
  <w:style w:type="paragraph" w:styleId="Style39" w:customStyle="1">
    <w:name w:val="Обычный+ без отступа"/>
    <w:basedOn w:val="Normal"/>
    <w:qFormat/>
    <w:rsid w:val="00b94aa9"/>
    <w:pPr>
      <w:spacing w:lineRule="auto" w:line="360" w:before="120" w:after="0"/>
      <w:ind w:hanging="0"/>
    </w:pPr>
    <w:rPr>
      <w:rFonts w:eastAsia="MS Mincho"/>
      <w:lang w:eastAsia="ru-RU"/>
    </w:rPr>
  </w:style>
  <w:style w:type="paragraph" w:styleId="Style40" w:customStyle="1">
    <w:name w:val="Таблица шапка"/>
    <w:basedOn w:val="Normal"/>
    <w:qFormat/>
    <w:rsid w:val="00b94aa9"/>
    <w:pPr>
      <w:keepNext w:val="true"/>
      <w:spacing w:lineRule="auto" w:line="240" w:before="40" w:after="40"/>
      <w:ind w:left="57" w:right="57" w:hanging="0"/>
      <w:jc w:val="left"/>
    </w:pPr>
    <w:rPr>
      <w:rFonts w:eastAsia="Times New Roman"/>
      <w:sz w:val="18"/>
      <w:szCs w:val="18"/>
      <w:lang w:eastAsia="ru-RU"/>
    </w:rPr>
  </w:style>
  <w:style w:type="paragraph" w:styleId="Style41" w:customStyle="1">
    <w:name w:val="Текст таблицы"/>
    <w:basedOn w:val="Normal"/>
    <w:qFormat/>
    <w:rsid w:val="00b94aa9"/>
    <w:pPr>
      <w:spacing w:lineRule="auto" w:line="240" w:before="40" w:after="40"/>
      <w:ind w:left="57" w:right="57" w:hanging="0"/>
      <w:jc w:val="left"/>
    </w:pPr>
    <w:rPr>
      <w:rFonts w:eastAsia="Times New Roman"/>
      <w:sz w:val="24"/>
      <w:szCs w:val="24"/>
      <w:lang w:eastAsia="ru-RU"/>
    </w:rPr>
  </w:style>
  <w:style w:type="paragraph" w:styleId="Style42" w:customStyle="1">
    <w:name w:val="Пункт Знак"/>
    <w:basedOn w:val="Normal"/>
    <w:qFormat/>
    <w:rsid w:val="00b94aa9"/>
    <w:pPr>
      <w:tabs>
        <w:tab w:val="clear" w:pos="708"/>
        <w:tab w:val="left" w:pos="851" w:leader="none"/>
        <w:tab w:val="left" w:pos="1134" w:leader="none"/>
        <w:tab w:val="left" w:pos="1844" w:leader="none"/>
      </w:tabs>
      <w:snapToGrid w:val="false"/>
      <w:spacing w:lineRule="auto" w:line="360"/>
      <w:ind w:left="1844" w:hanging="567"/>
    </w:pPr>
    <w:rPr>
      <w:rFonts w:eastAsia="Times New Roman"/>
      <w:b/>
      <w:szCs w:val="20"/>
      <w:lang w:eastAsia="ru-RU"/>
    </w:rPr>
  </w:style>
  <w:style w:type="paragraph" w:styleId="Style43" w:customStyle="1">
    <w:name w:val="Подподпункт"/>
    <w:basedOn w:val="Style29"/>
    <w:qFormat/>
    <w:rsid w:val="00b94aa9"/>
    <w:pPr>
      <w:tabs>
        <w:tab w:val="left" w:pos="851" w:leader="none"/>
        <w:tab w:val="left" w:pos="1134" w:leader="none"/>
        <w:tab w:val="left" w:pos="1277" w:leader="none"/>
        <w:tab w:val="left" w:pos="1418" w:leader="none"/>
      </w:tabs>
      <w:snapToGrid w:val="true"/>
      <w:ind w:left="1277" w:hanging="567"/>
    </w:pPr>
    <w:rPr>
      <w:b/>
      <w:lang w:val="ru-RU" w:eastAsia="ru-RU"/>
    </w:rPr>
  </w:style>
  <w:style w:type="paragraph" w:styleId="Style44" w:customStyle="1">
    <w:name w:val="Подподподпункт"/>
    <w:basedOn w:val="Normal"/>
    <w:qFormat/>
    <w:rsid w:val="00b94aa9"/>
    <w:pPr>
      <w:tabs>
        <w:tab w:val="clear" w:pos="708"/>
        <w:tab w:val="left" w:pos="1134" w:leader="none"/>
        <w:tab w:val="left" w:pos="1701" w:leader="none"/>
      </w:tabs>
      <w:snapToGrid w:val="false"/>
      <w:spacing w:lineRule="auto" w:line="360"/>
      <w:ind w:left="1718" w:hanging="1008"/>
    </w:pPr>
    <w:rPr>
      <w:rFonts w:eastAsia="Times New Roman"/>
      <w:szCs w:val="20"/>
      <w:lang w:eastAsia="ru-RU"/>
    </w:rPr>
  </w:style>
  <w:style w:type="paragraph" w:styleId="121" w:customStyle="1">
    <w:name w:val="Пункт1"/>
    <w:basedOn w:val="Normal"/>
    <w:qFormat/>
    <w:rsid w:val="00b94aa9"/>
    <w:pPr>
      <w:tabs>
        <w:tab w:val="clear" w:pos="708"/>
        <w:tab w:val="left" w:pos="567" w:leader="none"/>
      </w:tabs>
      <w:snapToGrid w:val="false"/>
      <w:spacing w:lineRule="auto" w:line="360" w:before="240" w:after="0"/>
      <w:ind w:left="567" w:hanging="279"/>
      <w:jc w:val="center"/>
    </w:pPr>
    <w:rPr>
      <w:rFonts w:ascii="Arial" w:hAnsi="Arial" w:eastAsia="Times New Roman"/>
      <w:b/>
      <w:lang w:eastAsia="ru-RU"/>
    </w:rPr>
  </w:style>
  <w:style w:type="paragraph" w:styleId="39" w:customStyle="1">
    <w:name w:val="Пункт_3"/>
    <w:basedOn w:val="Normal"/>
    <w:uiPriority w:val="99"/>
    <w:qFormat/>
    <w:rsid w:val="00b94aa9"/>
    <w:pPr>
      <w:tabs>
        <w:tab w:val="clear" w:pos="708"/>
        <w:tab w:val="left" w:pos="1134" w:leader="none"/>
      </w:tabs>
      <w:snapToGrid w:val="false"/>
      <w:spacing w:lineRule="auto" w:line="360"/>
      <w:ind w:left="1134" w:hanging="1133"/>
    </w:pPr>
    <w:rPr>
      <w:rFonts w:eastAsia="Times New Roman"/>
      <w:szCs w:val="20"/>
      <w:lang w:eastAsia="ru-RU"/>
    </w:rPr>
  </w:style>
  <w:style w:type="paragraph" w:styleId="212" w:customStyle="1">
    <w:name w:val="Абзац списка2"/>
    <w:basedOn w:val="Normal"/>
    <w:qFormat/>
    <w:rsid w:val="00b94aa9"/>
    <w:pPr>
      <w:spacing w:before="0" w:after="200"/>
      <w:ind w:left="720" w:hanging="0"/>
      <w:contextualSpacing/>
      <w:jc w:val="left"/>
    </w:pPr>
    <w:rPr>
      <w:rFonts w:ascii="Calibri" w:hAnsi="Calibri" w:eastAsia="Times New Roman"/>
      <w:sz w:val="22"/>
      <w:szCs w:val="22"/>
      <w:lang w:eastAsia="ru-RU"/>
    </w:rPr>
  </w:style>
  <w:style w:type="paragraph" w:styleId="213" w:customStyle="1">
    <w:name w:val="Стиль2"/>
    <w:basedOn w:val="Normal"/>
    <w:link w:val="25"/>
    <w:qFormat/>
    <w:rsid w:val="00b94aa9"/>
    <w:pPr>
      <w:spacing w:lineRule="exact" w:line="400" w:before="0" w:after="120"/>
      <w:ind w:left="792" w:hanging="432"/>
    </w:pPr>
    <w:rPr>
      <w:rFonts w:eastAsia="Times New Roman"/>
      <w:bCs/>
      <w:sz w:val="24"/>
      <w:szCs w:val="24"/>
      <w:lang w:eastAsia="ru-RU"/>
    </w:rPr>
  </w:style>
  <w:style w:type="paragraph" w:styleId="310" w:customStyle="1">
    <w:name w:val="Стиль3"/>
    <w:basedOn w:val="Normal"/>
    <w:link w:val="34"/>
    <w:qFormat/>
    <w:rsid w:val="00b94aa9"/>
    <w:pPr>
      <w:tabs>
        <w:tab w:val="clear" w:pos="708"/>
        <w:tab w:val="left" w:pos="420" w:leader="none"/>
      </w:tabs>
      <w:spacing w:lineRule="exact" w:line="400"/>
      <w:ind w:left="1224" w:hanging="504"/>
    </w:pPr>
    <w:rPr>
      <w:rFonts w:eastAsia="Times New Roman"/>
      <w:sz w:val="24"/>
      <w:szCs w:val="24"/>
      <w:lang w:eastAsia="ru-RU"/>
    </w:rPr>
  </w:style>
  <w:style w:type="paragraph" w:styleId="52" w:customStyle="1">
    <w:name w:val="Стиль5"/>
    <w:basedOn w:val="Normal"/>
    <w:link w:val="51"/>
    <w:qFormat/>
    <w:rsid w:val="00b94aa9"/>
    <w:pPr>
      <w:spacing w:lineRule="auto" w:line="240"/>
      <w:ind w:left="1783" w:hanging="648"/>
      <w:jc w:val="left"/>
    </w:pPr>
    <w:rPr>
      <w:rFonts w:eastAsia="Times New Roman"/>
      <w:lang w:eastAsia="ru-RU"/>
    </w:rPr>
  </w:style>
  <w:style w:type="paragraph" w:styleId="82" w:customStyle="1">
    <w:name w:val="Стиль8"/>
    <w:basedOn w:val="Normal"/>
    <w:link w:val="81"/>
    <w:qFormat/>
    <w:rsid w:val="00b94aa9"/>
    <w:pPr>
      <w:pageBreakBefore/>
      <w:tabs>
        <w:tab w:val="clear" w:pos="708"/>
        <w:tab w:val="left" w:pos="1260" w:leader="none"/>
      </w:tabs>
      <w:spacing w:lineRule="auto" w:line="240"/>
      <w:ind w:hanging="1077"/>
      <w:jc w:val="right"/>
    </w:pPr>
    <w:rPr>
      <w:rFonts w:eastAsia="Times New Roman"/>
      <w:sz w:val="24"/>
      <w:szCs w:val="22"/>
      <w:lang w:eastAsia="ru-RU"/>
    </w:rPr>
  </w:style>
  <w:style w:type="paragraph" w:styleId="Style61" w:customStyle="1">
    <w:name w:val="Style6"/>
    <w:basedOn w:val="Normal"/>
    <w:qFormat/>
    <w:rsid w:val="00b94aa9"/>
    <w:pPr>
      <w:widowControl w:val="false"/>
      <w:spacing w:lineRule="exact" w:line="263"/>
      <w:ind w:hanging="0"/>
    </w:pPr>
    <w:rPr>
      <w:rFonts w:eastAsia="Malgun Gothic"/>
      <w:sz w:val="24"/>
      <w:szCs w:val="24"/>
      <w:lang w:eastAsia="ru-RU"/>
    </w:rPr>
  </w:style>
  <w:style w:type="paragraph" w:styleId="Style71" w:customStyle="1">
    <w:name w:val="Style7"/>
    <w:basedOn w:val="Normal"/>
    <w:qFormat/>
    <w:rsid w:val="00b94aa9"/>
    <w:pPr>
      <w:widowControl w:val="false"/>
      <w:spacing w:lineRule="exact" w:line="262"/>
      <w:ind w:firstLine="288"/>
    </w:pPr>
    <w:rPr>
      <w:rFonts w:eastAsia="Malgun Gothic"/>
      <w:sz w:val="24"/>
      <w:szCs w:val="24"/>
      <w:lang w:eastAsia="ru-RU"/>
    </w:rPr>
  </w:style>
  <w:style w:type="paragraph" w:styleId="Style45" w:customStyle="1">
    <w:name w:val="Обычный список маркированный"/>
    <w:basedOn w:val="Normal"/>
    <w:link w:val="Style18"/>
    <w:qFormat/>
    <w:rsid w:val="00b94aa9"/>
    <w:pPr>
      <w:tabs>
        <w:tab w:val="clear" w:pos="708"/>
        <w:tab w:val="left" w:pos="0" w:leader="none"/>
      </w:tabs>
      <w:spacing w:lineRule="auto" w:line="240" w:before="0" w:after="240"/>
      <w:ind w:left="1429" w:hanging="360"/>
      <w:contextualSpacing/>
    </w:pPr>
    <w:rPr>
      <w:rFonts w:ascii="Arial" w:hAnsi="Arial" w:eastAsia="Times New Roman"/>
      <w:szCs w:val="22"/>
      <w:lang w:val="x-none"/>
    </w:rPr>
  </w:style>
  <w:style w:type="paragraph" w:styleId="Default" w:customStyle="1">
    <w:name w:val="Default"/>
    <w:qFormat/>
    <w:rsid w:val="00b94aa9"/>
    <w:pPr>
      <w:widowControl/>
      <w:suppressAutoHyphens w:val="true"/>
      <w:bidi w:val="0"/>
      <w:spacing w:before="0" w:after="0"/>
      <w:jc w:val="left"/>
    </w:pPr>
    <w:rPr>
      <w:rFonts w:ascii="Myriad Pro" w:hAnsi="Myriad Pro" w:eastAsia="Calibri" w:cs="Myriad Pro"/>
      <w:color w:val="000000"/>
      <w:kern w:val="0"/>
      <w:sz w:val="24"/>
      <w:szCs w:val="24"/>
      <w:lang w:val="ru-RU" w:eastAsia="ru-RU" w:bidi="ar-SA"/>
    </w:rPr>
  </w:style>
  <w:style w:type="paragraph" w:styleId="ConsPlusTitle" w:customStyle="1">
    <w:name w:val="ConsPlusTitle"/>
    <w:qFormat/>
    <w:rsid w:val="00b94aa9"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b/>
      <w:bCs/>
      <w:color w:val="auto"/>
      <w:kern w:val="0"/>
      <w:sz w:val="24"/>
      <w:szCs w:val="24"/>
      <w:lang w:val="ru-RU" w:eastAsia="ru-RU" w:bidi="ar-SA"/>
    </w:rPr>
  </w:style>
  <w:style w:type="paragraph" w:styleId="3TimesNewRoman12" w:customStyle="1">
    <w:name w:val="Стиль Заголовок 3 + Times New Roman 12 пт"/>
    <w:basedOn w:val="Normal"/>
    <w:qFormat/>
    <w:rsid w:val="00b94aa9"/>
    <w:pPr>
      <w:spacing w:lineRule="auto" w:line="240"/>
      <w:ind w:hanging="0"/>
      <w:jc w:val="left"/>
    </w:pPr>
    <w:rPr>
      <w:rFonts w:eastAsia="Times New Roman"/>
      <w:lang w:eastAsia="ru-RU"/>
    </w:rPr>
  </w:style>
  <w:style w:type="paragraph" w:styleId="214" w:customStyle="1">
    <w:name w:val="Обычный2"/>
    <w:qFormat/>
    <w:rsid w:val="00b94aa9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Calibri"/>
      <w:color w:val="000000"/>
      <w:kern w:val="0"/>
      <w:sz w:val="24"/>
      <w:szCs w:val="24"/>
      <w:lang w:val="ru-RU" w:eastAsia="zh-CN" w:bidi="ar-SA"/>
    </w:rPr>
  </w:style>
  <w:style w:type="paragraph" w:styleId="44" w:customStyle="1">
    <w:name w:val="Стиль4"/>
    <w:basedOn w:val="Normal"/>
    <w:link w:val="42"/>
    <w:qFormat/>
    <w:rsid w:val="00b94aa9"/>
    <w:pPr>
      <w:tabs>
        <w:tab w:val="clear" w:pos="708"/>
        <w:tab w:val="left" w:pos="420" w:leader="none"/>
      </w:tabs>
      <w:spacing w:lineRule="exact" w:line="400"/>
      <w:ind w:left="1080" w:hanging="0"/>
    </w:pPr>
    <w:rPr>
      <w:rFonts w:eastAsia="Times New Roman"/>
      <w:b/>
      <w:sz w:val="24"/>
      <w:szCs w:val="24"/>
      <w:lang w:eastAsia="ru-RU"/>
    </w:rPr>
  </w:style>
  <w:style w:type="paragraph" w:styleId="62" w:customStyle="1">
    <w:name w:val="Стиль6"/>
    <w:basedOn w:val="52"/>
    <w:link w:val="61"/>
    <w:qFormat/>
    <w:rsid w:val="00b94aa9"/>
    <w:pPr>
      <w:tabs>
        <w:tab w:val="clear" w:pos="708"/>
        <w:tab w:val="left" w:pos="1953" w:leader="none"/>
      </w:tabs>
      <w:ind w:left="1925" w:hanging="648"/>
    </w:pPr>
    <w:rPr/>
  </w:style>
  <w:style w:type="paragraph" w:styleId="72" w:customStyle="1">
    <w:name w:val="Стиль7"/>
    <w:basedOn w:val="62"/>
    <w:link w:val="71"/>
    <w:qFormat/>
    <w:rsid w:val="00b94aa9"/>
    <w:pPr/>
    <w:rPr>
      <w:sz w:val="24"/>
    </w:rPr>
  </w:style>
  <w:style w:type="paragraph" w:styleId="HTMLPreformatted">
    <w:name w:val="HTML Preformatted"/>
    <w:basedOn w:val="Normal"/>
    <w:link w:val="HTML"/>
    <w:uiPriority w:val="99"/>
    <w:unhideWhenUsed/>
    <w:qFormat/>
    <w:rsid w:val="00b94aa9"/>
    <w:pPr>
      <w:tabs>
        <w:tab w:val="clear" w:pos="708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spacing w:lineRule="auto" w:line="240"/>
      <w:ind w:hanging="0"/>
      <w:jc w:val="left"/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Headertext" w:customStyle="1">
    <w:name w:val="headertext"/>
    <w:basedOn w:val="Normal"/>
    <w:qFormat/>
    <w:rsid w:val="00ce7a4e"/>
    <w:pPr>
      <w:spacing w:lineRule="auto" w:line="240" w:beforeAutospacing="1" w:afterAutospacing="1"/>
      <w:ind w:hanging="0"/>
      <w:jc w:val="left"/>
    </w:pPr>
    <w:rPr>
      <w:rFonts w:eastAsia="Times New Roman"/>
      <w:sz w:val="24"/>
      <w:szCs w:val="24"/>
      <w:lang w:eastAsia="ru-RU"/>
    </w:rPr>
  </w:style>
  <w:style w:type="paragraph" w:styleId="Formattext" w:customStyle="1">
    <w:name w:val="formattext"/>
    <w:basedOn w:val="Normal"/>
    <w:qFormat/>
    <w:rsid w:val="00ce7a4e"/>
    <w:pPr>
      <w:spacing w:lineRule="auto" w:line="240" w:beforeAutospacing="1" w:afterAutospacing="1"/>
      <w:ind w:hanging="0"/>
      <w:jc w:val="left"/>
    </w:pPr>
    <w:rPr>
      <w:rFonts w:eastAsia="Times New Roman"/>
      <w:sz w:val="24"/>
      <w:szCs w:val="24"/>
      <w:lang w:eastAsia="ru-RU"/>
    </w:rPr>
  </w:style>
  <w:style w:type="paragraph" w:styleId="Style46" w:customStyle="1">
    <w:name w:val="Описание"/>
    <w:basedOn w:val="Normal"/>
    <w:qFormat/>
    <w:pPr>
      <w:spacing w:before="120" w:after="60"/>
      <w:ind w:left="431" w:hanging="0"/>
      <w:contextualSpacing/>
    </w:pPr>
    <w:rPr>
      <w:lang w:val="x-none" w:eastAsia="x-none"/>
    </w:rPr>
  </w:style>
  <w:style w:type="paragraph" w:styleId="Dt-p" w:customStyle="1">
    <w:name w:val="dt-p"/>
    <w:basedOn w:val="Normal"/>
    <w:qFormat/>
    <w:rsid w:val="00a95279"/>
    <w:pPr>
      <w:spacing w:lineRule="auto" w:line="240" w:before="280" w:after="280"/>
      <w:ind w:hanging="0"/>
      <w:jc w:val="left"/>
    </w:pPr>
    <w:rPr>
      <w:rFonts w:eastAsia="Times New Roman"/>
      <w:sz w:val="24"/>
      <w:szCs w:val="24"/>
      <w:lang w:eastAsia="ru-RU"/>
    </w:rPr>
  </w:style>
  <w:style w:type="paragraph" w:styleId="ConsPlusNonformat" w:customStyle="1">
    <w:name w:val="ConsPlusNonformat"/>
    <w:basedOn w:val="Normal"/>
    <w:qFormat/>
    <w:rsid w:val="00a95279"/>
    <w:pPr>
      <w:spacing w:lineRule="auto" w:line="240"/>
      <w:ind w:hanging="0"/>
      <w:jc w:val="left"/>
    </w:pPr>
    <w:rPr>
      <w:rFonts w:ascii="Courier New" w:hAnsi="Courier New" w:eastAsia="Calibri" w:cs="Courier New"/>
      <w:sz w:val="20"/>
      <w:szCs w:val="20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numbering" w:styleId="122" w:customStyle="1">
    <w:name w:val="Стиль1"/>
    <w:uiPriority w:val="99"/>
    <w:qFormat/>
    <w:rsid w:val="00b94aa9"/>
  </w:style>
  <w:style w:type="numbering" w:styleId="123" w:customStyle="1">
    <w:name w:val="Нет списка1"/>
    <w:uiPriority w:val="99"/>
    <w:semiHidden/>
    <w:unhideWhenUsed/>
    <w:qFormat/>
    <w:rsid w:val="00b94aa9"/>
  </w:style>
  <w:style w:type="numbering" w:styleId="1110" w:customStyle="1">
    <w:name w:val="Нет списка11"/>
    <w:uiPriority w:val="99"/>
    <w:semiHidden/>
    <w:unhideWhenUsed/>
    <w:qFormat/>
    <w:rsid w:val="00b94aa9"/>
  </w:style>
  <w:style w:type="numbering" w:styleId="215" w:customStyle="1">
    <w:name w:val="Нет списка2"/>
    <w:uiPriority w:val="99"/>
    <w:semiHidden/>
    <w:unhideWhenUsed/>
    <w:qFormat/>
    <w:rsid w:val="00b94aa9"/>
  </w:style>
  <w:style w:type="numbering" w:styleId="10149718451">
    <w:name w:val="10149718451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f5">
    <w:name w:val="Table Grid"/>
    <w:basedOn w:val="a1"/>
    <w:uiPriority w:val="59"/>
    <w:rsid w:val="00b94aa9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f8">
    <w:name w:val="Сетка таблицы1"/>
    <w:basedOn w:val="a1"/>
    <w:rsid w:val="00b94aa9"/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2">
    <w:name w:val="Сетка таблицы11"/>
    <w:basedOn w:val="a1"/>
    <w:rsid w:val="00b94aa9"/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f4">
    <w:name w:val="Сетка таблицы2"/>
    <w:basedOn w:val="a1"/>
    <w:uiPriority w:val="59"/>
    <w:rsid w:val="00b94aa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e">
    <w:name w:val="Сетка таблицы3"/>
    <w:basedOn w:val="a1"/>
    <w:rsid w:val="00b94aa9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11">
    <w:name w:val="Сетка таблицы111"/>
    <w:basedOn w:val="a1"/>
    <w:rsid w:val="00b94aa9"/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6">
    <w:name w:val="Сетка таблицы4"/>
    <w:basedOn w:val="a1"/>
    <w:rsid w:val="00b94aa9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4">
    <w:name w:val="Сетка таблицы5"/>
    <w:basedOn w:val="a1"/>
    <w:uiPriority w:val="39"/>
    <w:rsid w:val="0095544b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KozlovaES@lhp.ru" TargetMode="External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header" Target="header2.xml"/><Relationship Id="rId6" Type="http://schemas.openxmlformats.org/officeDocument/2006/relationships/header" Target="header3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header" Target="header4.xml"/><Relationship Id="rId10" Type="http://schemas.openxmlformats.org/officeDocument/2006/relationships/header" Target="header5.xml"/><Relationship Id="rId11" Type="http://schemas.openxmlformats.org/officeDocument/2006/relationships/footer" Target="footer4.xml"/><Relationship Id="rId12" Type="http://schemas.openxmlformats.org/officeDocument/2006/relationships/footer" Target="footer5.xml"/><Relationship Id="rId13" Type="http://schemas.openxmlformats.org/officeDocument/2006/relationships/numbering" Target="numbering.xml"/><Relationship Id="rId14" Type="http://schemas.openxmlformats.org/officeDocument/2006/relationships/fontTable" Target="fontTable.xml"/><Relationship Id="rId15" Type="http://schemas.openxmlformats.org/officeDocument/2006/relationships/settings" Target="settings.xml"/><Relationship Id="rId16" Type="http://schemas.openxmlformats.org/officeDocument/2006/relationships/theme" Target="theme/theme1.xml"/><Relationship Id="rId1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B46846-1DFB-4B23-9CB0-0DE20811A2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Application>AlterOffice/2025.3.0.0$Linux_X86_64 LibreOffice_project/4ba31b6a4271509a884f95065d0a726e9cb2bdbb</Application>
  <AppVersion>15.0000</AppVersion>
  <Pages>11</Pages>
  <Words>1759</Words>
  <Characters>12116</Characters>
  <CharactersWithSpaces>13629</CharactersWithSpaces>
  <Paragraphs>236</Paragraphs>
  <Company>Ленгидропроект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2026-08-24T08:08:00Z</dcterms:created>
  <dc:creator>Вавилова Анна Владиславовна</dc:creator>
  <dc:description/>
  <dc:language>ru-RU</dc:language>
  <cp:lastModifiedBy>kozlovaes</cp:lastModifiedBy>
  <dcterms:modified xsi:type="dcterms:W3CDTF">2026-09-30T16:51:51Z</dcterms:modified>
  <cp:revision>40</cp:revision>
  <dc:subject/>
  <dc:title>ТЗ Хук-Браун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