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_rels/document.xml.rels" ContentType="application/vnd.openxmlformats-package.relationships+xml"/>
  <Override PartName="/word/footer6.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header7.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left="720"/>
        <w:jc w:val="right"/>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keepNext w:val="true"/>
        <w:keepLines/>
        <w:shd w:val="clear" w:color="auto" w:fill="FFFFFF" w:themeFill="background1"/>
        <w:jc w:val="center"/>
        <w:rPr>
          <w:rFonts w:eastAsia="Calibri"/>
          <w:b/>
          <w:sz w:val="26"/>
          <w:szCs w:val="26"/>
        </w:rPr>
      </w:pPr>
      <w:r>
        <w:rPr>
          <w:rFonts w:eastAsia="Calibri"/>
          <w:b/>
          <w:sz w:val="26"/>
          <w:szCs w:val="26"/>
        </w:rPr>
        <w:t>Технические требования</w:t>
      </w:r>
    </w:p>
    <w:p>
      <w:pPr>
        <w:pStyle w:val="Normal"/>
        <w:keepNext w:val="true"/>
        <w:keepLines/>
        <w:shd w:val="clear" w:color="auto" w:fill="FFFFFF" w:themeFill="background1"/>
        <w:jc w:val="center"/>
        <w:rPr>
          <w:rFonts w:eastAsia="Calibri"/>
          <w:b/>
          <w:sz w:val="26"/>
          <w:szCs w:val="26"/>
        </w:rPr>
      </w:pPr>
      <w:r>
        <w:rPr>
          <w:rFonts w:eastAsia="Calibri"/>
          <w:b/>
          <w:sz w:val="26"/>
          <w:szCs w:val="26"/>
        </w:rPr>
      </w:r>
    </w:p>
    <w:p>
      <w:pPr>
        <w:pStyle w:val="Normal"/>
        <w:keepNext w:val="true"/>
        <w:keepLines/>
        <w:shd w:val="clear" w:color="auto" w:fill="FFFFFF" w:themeFill="background1"/>
        <w:jc w:val="center"/>
        <w:rPr>
          <w:rFonts w:eastAsia="Calibri"/>
          <w:b/>
          <w:bCs/>
          <w:sz w:val="26"/>
          <w:szCs w:val="26"/>
        </w:rPr>
      </w:pPr>
      <w:r>
        <w:rPr>
          <w:rFonts w:eastAsia="Calibri"/>
          <w:b/>
          <w:bCs/>
          <w:sz w:val="26"/>
          <w:szCs w:val="26"/>
        </w:rPr>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t>ОКПД2 27.12.10 Восстановление и поставка электротехнического оборудования в рамках реализации проекта достройки Загорской ГАЭС-2</w:t>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r>
    </w:p>
    <w:p>
      <w:pPr>
        <w:pStyle w:val="Normal"/>
        <w:keepNext w:val="true"/>
        <w:keepLines/>
        <w:shd w:val="clear" w:color="auto" w:fill="FFFFFF" w:themeFill="background1"/>
        <w:jc w:val="center"/>
        <w:rPr>
          <w:rFonts w:eastAsia="Calibri"/>
          <w:sz w:val="26"/>
          <w:szCs w:val="26"/>
        </w:rPr>
      </w:pPr>
      <w:r>
        <w:rPr>
          <w:rFonts w:eastAsia="Calibri"/>
          <w:sz w:val="26"/>
          <w:szCs w:val="26"/>
        </w:rPr>
        <w:t>Часть 4. Восстановление дизельных здания Водоприемника и здания ГАЭС</w:t>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1110"/>
        <w:numPr>
          <w:ilvl w:val="0"/>
          <w:numId w:val="0"/>
        </w:numPr>
        <w:shd w:val="clear" w:color="auto" w:fill="FFFFFF" w:themeFill="background1"/>
        <w:ind w:hanging="0" w:left="0"/>
        <w:jc w:val="center"/>
        <w:rPr>
          <w:caps/>
        </w:rPr>
      </w:pPr>
      <w:r>
        <w:rPr/>
        <w:t xml:space="preserve">1. </w:t>
      </w:r>
      <w:bookmarkStart w:id="0" w:name="_Toc51339692"/>
      <w:bookmarkStart w:id="1" w:name="_Toc54970174"/>
      <w:r>
        <w:rPr/>
        <w:t>Общие сведения</w:t>
      </w:r>
      <w:bookmarkEnd w:id="0"/>
      <w:bookmarkEnd w:id="1"/>
    </w:p>
    <w:p>
      <w:pPr>
        <w:pStyle w:val="411"/>
        <w:numPr>
          <w:ilvl w:val="1"/>
          <w:numId w:val="4"/>
        </w:numPr>
        <w:shd w:val="clear" w:color="auto" w:fill="FFFFFF" w:themeFill="background1"/>
        <w:rPr/>
      </w:pPr>
      <w:bookmarkStart w:id="2" w:name="_Toc54970175"/>
      <w:bookmarkStart w:id="3" w:name="_Toc46743505"/>
      <w:r>
        <w:rPr/>
        <w:t>Обозначения и сокращения</w:t>
      </w:r>
      <w:bookmarkEnd w:id="2"/>
      <w:bookmarkEnd w:id="3"/>
    </w:p>
    <w:p>
      <w:pPr>
        <w:pStyle w:val="Normal"/>
        <w:shd w:val="clear" w:color="auto" w:fill="FFFFFF" w:themeFill="background1"/>
        <w:rPr>
          <w:rStyle w:val="Style5"/>
          <w:b w:val="false"/>
          <w:sz w:val="24"/>
          <w:szCs w:val="24"/>
        </w:rPr>
      </w:pPr>
      <w:r>
        <w:rPr>
          <w:b w:val="false"/>
          <w:sz w:val="24"/>
          <w:szCs w:val="24"/>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акционерное общество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АИИС КУЭ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автоматизированная информационно-измерительная система коммерческого учёта электроэнергии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АРМ</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автоматизированное рабочее место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АСУТП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автоматизированная система управления технологическими процессами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АУП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автоматическая установка пожаротушения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ВУ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верхний уровень (для АСУ ТП)</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ВН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iCs/>
                <w:color w:val="111111"/>
              </w:rPr>
              <w:t>высокое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ГА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iCs/>
                <w:color w:val="111111"/>
              </w:rPr>
            </w:pPr>
            <w:r>
              <w:rPr>
                <w:iCs/>
                <w:color w:val="111111"/>
              </w:rPr>
              <w:t>гидроагрегат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ГАЭС</w:t>
            </w:r>
          </w:p>
        </w:tc>
        <w:tc>
          <w:tcPr>
            <w:tcW w:w="7997" w:type="dxa"/>
            <w:tcBorders>
              <w:top w:val="single" w:sz="4" w:space="0" w:color="000000"/>
              <w:left w:val="single" w:sz="4" w:space="0" w:color="000000"/>
              <w:bottom w:val="single" w:sz="4" w:space="0" w:color="000000"/>
              <w:right w:val="single" w:sz="4" w:space="0" w:color="000000"/>
            </w:tcBorders>
          </w:tcPr>
          <w:p>
            <w:pPr>
              <w:pStyle w:val="Normal"/>
              <w:rPr>
                <w:color w:val="000000"/>
              </w:rPr>
            </w:pPr>
            <w:r>
              <w:rPr>
                <w:color w:val="000000"/>
              </w:rPr>
              <w:t>гидроаккумулирующая электростанция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ГД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iCs/>
                <w:color w:val="111111"/>
              </w:rPr>
            </w:pPr>
            <w:r>
              <w:rPr>
                <w:iCs/>
                <w:color w:val="111111"/>
              </w:rPr>
              <w:t>генератор-двигатель</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ГОСТ</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государственный стандарт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rPr/>
            </w:pPr>
            <w:r>
              <w:rPr/>
              <w:t>Заказчик</w:t>
            </w:r>
          </w:p>
        </w:tc>
        <w:tc>
          <w:tcPr>
            <w:tcW w:w="7997" w:type="dxa"/>
            <w:tcBorders>
              <w:top w:val="single" w:sz="4" w:space="0" w:color="000000"/>
              <w:left w:val="single" w:sz="4" w:space="0" w:color="000000"/>
              <w:bottom w:val="single" w:sz="4" w:space="0" w:color="000000"/>
              <w:right w:val="single" w:sz="4" w:space="0" w:color="000000"/>
            </w:tcBorders>
          </w:tcPr>
          <w:p>
            <w:pPr>
              <w:pStyle w:val="Normal"/>
              <w:rPr/>
            </w:pPr>
            <w:r>
              <w:rPr/>
              <w:t>АО «Загорская ГАЭС-2»</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ЗИП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запасные части, инструменты, принадлежности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ИЭ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инструкция по монтажу и эксплуатации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ИТТ</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измерительный трансформатор тока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ИТН</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измерительный трансформатор напряжения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iCs/>
                <w:lang w:eastAsia="x-none"/>
              </w:rPr>
            </w:pPr>
            <w:r>
              <w:rPr>
                <w:iCs/>
                <w:lang w:eastAsia="x-none"/>
              </w:rPr>
              <w:t>КД</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t>конструкторск</w:t>
            </w:r>
            <w:r>
              <w:rPr>
                <w:lang w:val="en-US"/>
              </w:rPr>
              <w:t>ая</w:t>
            </w:r>
            <w:r>
              <w:rPr/>
              <w:t xml:space="preserve"> документ</w:t>
            </w:r>
            <w:r>
              <w:rPr>
                <w:lang w:val="en-US"/>
              </w:rPr>
              <w:t>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iCs/>
                <w:lang w:eastAsia="x-none"/>
              </w:rPr>
            </w:pPr>
            <w:r>
              <w:rPr>
                <w:iCs/>
                <w:lang w:eastAsia="x-none"/>
              </w:rPr>
              <w:t>КИП</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t>контрольно-измерительный прибор</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МО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механическое оборудование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НТД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нормативно-техническая документация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НН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низкое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Объект / Объект строительства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Загорская ГАЭС-2</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ОПН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t xml:space="preserve"> </w:t>
            </w:r>
            <w:r>
              <w:rPr/>
              <w:t>ограничитель перенапряжений нелинейный</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противоаварийная автоматика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ПАО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публичное акционерное общество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ПБВ</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переключение без возбуждения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ПМ</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программа и методика заводских испытаний</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ПОР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проект организации работ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ППР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проект производства работ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rFonts w:eastAsia="Calibri"/>
                <w:color w:val="000000"/>
              </w:rPr>
            </w:pPr>
            <w:r>
              <w:rPr>
                <w:rFonts w:eastAsia="Calibri"/>
                <w:color w:val="000000"/>
              </w:rPr>
              <w:t>Продукция</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t>оборудование электротехническое, включая изготовление, поставку на объект, восстановление, шефмонтаж, шефналадку, разработку конструкторской и эксплуатационной документации, поставку ЗИП, техническое консультирование эксплуатационного персонала, участие в приемо-сдаточных испытаниях</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rFonts w:eastAsia="Calibri"/>
                <w:color w:val="000000"/>
              </w:rPr>
            </w:pPr>
            <w:r>
              <w:rPr>
                <w:rFonts w:eastAsia="Calibri"/>
                <w:color w:val="000000"/>
              </w:rPr>
              <w:t>ПТК</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iCs/>
                <w:lang w:eastAsia="x-none"/>
              </w:rPr>
              <w:t>программно-технический комплекс</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ПУ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пульт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правила устройства электроустановок</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руководящий документ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РЗА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релейная защита и автоматика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РФ</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Российская Федерация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САУ ГА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система автоматического управления гидроагрегатом</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t>СИ</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pPr>
            <w:r>
              <w:rPr/>
              <w:t>средства измерения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среднее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СТО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стандарт организации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ТЗ</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техническое задание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ТР ТС</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технический регламент Таможенного союза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ТСПД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технологическая сеть передачи данных</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ТСН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t>трансформатор собственных нужд</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ТТ</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технические условия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ФЕР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Федеральные единичные расценки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ФНП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Федеральные нормы и правила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ЦПУ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центральный пульт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ШУ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шкаф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ЩСН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rPr>
            </w:pPr>
            <w:r>
              <w:rPr>
                <w:color w:val="000000"/>
              </w:rPr>
              <w:t>щит собственных нужд</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ЭТО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rPr>
            </w:pPr>
            <w:r>
              <w:rPr>
                <w:color w:val="000000"/>
              </w:rPr>
              <w:t>электротехническое оборудование</w:t>
            </w:r>
          </w:p>
        </w:tc>
      </w:tr>
    </w:tbl>
    <w:p>
      <w:pPr>
        <w:pStyle w:val="411"/>
        <w:numPr>
          <w:ilvl w:val="1"/>
          <w:numId w:val="4"/>
        </w:numPr>
        <w:shd w:val="clear" w:color="auto" w:fill="FFFFFF" w:themeFill="background1"/>
        <w:rPr/>
      </w:pPr>
      <w:bookmarkStart w:id="4" w:name="_Toc54970176"/>
      <w:bookmarkStart w:id="5" w:name="_Toc46743506"/>
      <w:r>
        <w:rPr/>
        <w:t>Наименование закупаемой продукции</w:t>
      </w:r>
      <w:bookmarkEnd w:id="4"/>
      <w:bookmarkEnd w:id="5"/>
    </w:p>
    <w:p>
      <w:pPr>
        <w:pStyle w:val="Normal"/>
        <w:shd w:val="clear" w:color="auto" w:fill="FFFFFF" w:themeFill="background1"/>
        <w:tabs>
          <w:tab w:val="clear" w:pos="720"/>
          <w:tab w:val="left" w:pos="426" w:leader="none"/>
        </w:tabs>
        <w:spacing w:before="120" w:after="120"/>
        <w:jc w:val="both"/>
        <w:rPr>
          <w:rStyle w:val="Style5"/>
          <w:rFonts w:eastAsia="Calibri"/>
          <w:b w:val="false"/>
          <w:bCs w:val="false"/>
          <w:i w:val="false"/>
          <w:i w:val="false"/>
          <w:iCs w:val="false"/>
          <w:sz w:val="24"/>
          <w:szCs w:val="24"/>
          <w:shd w:fill="auto" w:val="clear"/>
        </w:rPr>
      </w:pPr>
      <w:r>
        <w:rPr>
          <w:rStyle w:val="Style5"/>
          <w:rFonts w:eastAsia="Calibri"/>
          <w:b w:val="false"/>
          <w:bCs w:val="false"/>
          <w:i w:val="false"/>
          <w:iCs w:val="false"/>
          <w:sz w:val="24"/>
          <w:szCs w:val="24"/>
          <w:shd w:fill="auto" w:val="clear"/>
        </w:rPr>
        <w:t xml:space="preserve">«ОКПД2 27.12.10 </w:t>
      </w:r>
      <w:r>
        <w:rPr>
          <w:rFonts w:eastAsia="Calibri"/>
          <w:color w:val="000000"/>
          <w:sz w:val="24"/>
          <w:szCs w:val="24"/>
        </w:rPr>
        <w:t>Восстановление и поставка электротехнического оборудования в рамках реализации проекта достройки Загорской ГАЭС-2</w:t>
      </w:r>
      <w:r>
        <w:rPr>
          <w:rStyle w:val="Style5"/>
          <w:rFonts w:eastAsia="Calibri"/>
          <w:b w:val="false"/>
          <w:bCs w:val="false"/>
          <w:i w:val="false"/>
          <w:iCs w:val="false"/>
          <w:sz w:val="24"/>
          <w:szCs w:val="24"/>
          <w:shd w:fill="auto" w:val="clear"/>
        </w:rPr>
        <w:t>»</w:t>
      </w:r>
    </w:p>
    <w:p>
      <w:pPr>
        <w:pStyle w:val="411"/>
        <w:numPr>
          <w:ilvl w:val="1"/>
          <w:numId w:val="4"/>
        </w:numPr>
        <w:shd w:val="clear" w:color="auto" w:fill="FFFFFF" w:themeFill="background1"/>
        <w:rPr/>
      </w:pPr>
      <w:bookmarkStart w:id="6" w:name="_Toc54970177"/>
      <w:bookmarkStart w:id="7" w:name="_Toc46743507"/>
      <w:r>
        <w:rPr/>
        <w:t>Цель использования закупаемой продукции</w:t>
      </w:r>
      <w:bookmarkEnd w:id="7"/>
      <w:r>
        <w:rPr/>
        <w:t xml:space="preserve"> </w:t>
      </w:r>
      <w:bookmarkEnd w:id="6"/>
    </w:p>
    <w:p>
      <w:pPr>
        <w:pStyle w:val="Normal"/>
        <w:shd w:val="clear" w:color="auto" w:fill="FFFFFF" w:themeFill="background1"/>
        <w:tabs>
          <w:tab w:val="clear" w:pos="720"/>
          <w:tab w:val="left" w:pos="426" w:leader="none"/>
        </w:tabs>
        <w:spacing w:before="120" w:after="240"/>
        <w:ind w:firstLine="426"/>
        <w:jc w:val="both"/>
        <w:rPr>
          <w:sz w:val="24"/>
          <w:szCs w:val="24"/>
        </w:rPr>
      </w:pPr>
      <w:r>
        <w:rPr>
          <w:sz w:val="24"/>
          <w:szCs w:val="24"/>
        </w:rPr>
        <w:t xml:space="preserve">Целью поставки электротехнического оборудования, включая ЗИП (далее – ЭТО),  выполнение работ по восстановлению ранее поставленного оборудования, </w:t>
      </w:r>
      <w:r>
        <w:rPr>
          <w:rStyle w:val="Style5"/>
          <w:rFonts w:eastAsia="Calibri"/>
          <w:b w:val="false"/>
          <w:bCs w:val="false"/>
          <w:i w:val="false"/>
          <w:sz w:val="24"/>
          <w:szCs w:val="24"/>
          <w:shd w:fill="auto" w:val="clear"/>
        </w:rPr>
        <w:t xml:space="preserve">оказанию услуг по шефмонтажу и шефналадке, </w:t>
      </w:r>
      <w:r>
        <w:rPr>
          <w:sz w:val="24"/>
          <w:szCs w:val="24"/>
        </w:rPr>
        <w:t xml:space="preserve">является восстановление комплектности и работоспособности электротехнического оборудования до гарантированных заводских параметров в соответствии с заводской конструкторской документацией и требованиями настоящих ТТ, для обеспечения ввода в эксплуатацию. </w:t>
      </w:r>
    </w:p>
    <w:p>
      <w:pPr>
        <w:pStyle w:val="Normal"/>
        <w:shd w:val="clear" w:color="auto" w:fill="FFFFFF" w:themeFill="background1"/>
        <w:tabs>
          <w:tab w:val="clear" w:pos="720"/>
          <w:tab w:val="left" w:pos="426" w:leader="none"/>
        </w:tabs>
        <w:ind w:firstLine="425"/>
        <w:jc w:val="both"/>
        <w:rPr>
          <w:sz w:val="24"/>
          <w:szCs w:val="24"/>
        </w:rPr>
      </w:pPr>
      <w:r>
        <w:rPr>
          <w:sz w:val="24"/>
          <w:szCs w:val="24"/>
        </w:rPr>
        <w:t>Для достижения цели использования закупаемой продукции Исполнитель обязан выполнить следующие задачи:</w:t>
      </w:r>
    </w:p>
    <w:p>
      <w:pPr>
        <w:pStyle w:val="Normal"/>
        <w:shd w:val="clear" w:color="auto" w:fill="FFFFFF" w:themeFill="background1"/>
        <w:tabs>
          <w:tab w:val="clear" w:pos="720"/>
          <w:tab w:val="left" w:pos="426" w:leader="none"/>
        </w:tabs>
        <w:ind w:firstLine="425"/>
        <w:jc w:val="both"/>
        <w:rPr>
          <w:sz w:val="24"/>
          <w:szCs w:val="24"/>
        </w:rPr>
      </w:pPr>
      <w:r>
        <w:rPr>
          <w:sz w:val="24"/>
          <w:szCs w:val="24"/>
        </w:rPr>
        <w:t>- разработка конструкторской и эксплуатационной документации на поставляемое и восстанавливаемое оборудование, согласование документации с Заказчиком;</w:t>
      </w:r>
    </w:p>
    <w:p>
      <w:pPr>
        <w:pStyle w:val="Normal"/>
        <w:shd w:val="clear" w:color="auto" w:fill="FFFFFF" w:themeFill="background1"/>
        <w:tabs>
          <w:tab w:val="clear" w:pos="720"/>
          <w:tab w:val="left" w:pos="426" w:leader="none"/>
        </w:tabs>
        <w:ind w:firstLine="425"/>
        <w:jc w:val="both"/>
        <w:rPr>
          <w:sz w:val="24"/>
          <w:szCs w:val="24"/>
        </w:rPr>
      </w:pPr>
      <w:r>
        <w:rPr>
          <w:sz w:val="24"/>
          <w:szCs w:val="24"/>
        </w:rPr>
        <w:t>- изготовление и комплексная поставка оборудования 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(delivered duty paid) в терминологии Инкотермс 2020);</w:t>
      </w:r>
    </w:p>
    <w:p>
      <w:pPr>
        <w:pStyle w:val="Normal"/>
        <w:shd w:val="clear" w:color="auto" w:fill="FFFFFF" w:themeFill="background1"/>
        <w:tabs>
          <w:tab w:val="clear" w:pos="720"/>
          <w:tab w:val="left" w:pos="426" w:leader="none"/>
        </w:tabs>
        <w:ind w:firstLine="425"/>
        <w:jc w:val="both"/>
        <w:rPr>
          <w:sz w:val="24"/>
          <w:szCs w:val="24"/>
        </w:rPr>
      </w:pPr>
      <w:r>
        <w:rPr>
          <w:sz w:val="24"/>
          <w:szCs w:val="24"/>
        </w:rPr>
        <w:t>-  растаможивание (при необходимости);</w:t>
      </w:r>
    </w:p>
    <w:p>
      <w:pPr>
        <w:pStyle w:val="Normal"/>
        <w:shd w:val="clear" w:color="auto" w:fill="FFFFFF" w:themeFill="background1"/>
        <w:tabs>
          <w:tab w:val="clear" w:pos="720"/>
          <w:tab w:val="left" w:pos="426" w:leader="none"/>
        </w:tabs>
        <w:ind w:firstLine="425"/>
        <w:jc w:val="both"/>
        <w:rPr>
          <w:sz w:val="24"/>
          <w:szCs w:val="24"/>
        </w:rPr>
      </w:pPr>
      <w:r>
        <w:rPr>
          <w:sz w:val="24"/>
          <w:szCs w:val="24"/>
        </w:rPr>
        <w:t>- восстановление оборудования до гарантированных заводских параметров, с проведением заводских испытаний отдельных элементов;</w:t>
      </w:r>
    </w:p>
    <w:p>
      <w:pPr>
        <w:pStyle w:val="Normal"/>
        <w:shd w:val="clear" w:color="auto" w:fill="FFFFFF" w:themeFill="background1"/>
        <w:tabs>
          <w:tab w:val="clear" w:pos="720"/>
          <w:tab w:val="left" w:pos="426" w:leader="none"/>
        </w:tabs>
        <w:ind w:firstLine="425"/>
        <w:jc w:val="both"/>
        <w:rPr>
          <w:sz w:val="24"/>
          <w:szCs w:val="24"/>
        </w:rPr>
      </w:pPr>
      <w:r>
        <w:rPr>
          <w:sz w:val="24"/>
          <w:szCs w:val="24"/>
        </w:rPr>
        <w:t xml:space="preserve">- </w:t>
      </w:r>
      <w:r>
        <w:rPr>
          <w:color w:val="000000"/>
          <w:sz w:val="24"/>
          <w:szCs w:val="24"/>
        </w:rPr>
        <w:t>комплексные заводские испытания одной единицы каждого вида оборудования в присутствии представителей Заказчика;</w:t>
      </w:r>
    </w:p>
    <w:p>
      <w:pPr>
        <w:pStyle w:val="Normal"/>
        <w:shd w:val="clear" w:color="auto" w:fill="FFFFFF" w:themeFill="background1"/>
        <w:tabs>
          <w:tab w:val="clear" w:pos="720"/>
          <w:tab w:val="left" w:pos="426" w:leader="none"/>
        </w:tabs>
        <w:ind w:firstLine="425"/>
        <w:jc w:val="both"/>
        <w:rPr>
          <w:sz w:val="24"/>
          <w:szCs w:val="24"/>
        </w:rPr>
      </w:pPr>
      <w:r>
        <w:rPr>
          <w:sz w:val="24"/>
          <w:szCs w:val="24"/>
        </w:rPr>
        <w:t>- шефмонтаж и шефналадка для контроля за ходом выполнения монтажных и пусконаладочных работ, общее руководство монтажом и наладкой;</w:t>
      </w:r>
    </w:p>
    <w:p>
      <w:pPr>
        <w:pStyle w:val="Normal"/>
        <w:shd w:val="clear" w:color="auto" w:fill="FFFFFF" w:themeFill="background1"/>
        <w:tabs>
          <w:tab w:val="clear" w:pos="720"/>
          <w:tab w:val="left" w:pos="426" w:leader="none"/>
        </w:tabs>
        <w:ind w:firstLine="425"/>
        <w:jc w:val="both"/>
        <w:rPr>
          <w:sz w:val="24"/>
          <w:szCs w:val="24"/>
        </w:rPr>
      </w:pPr>
      <w:r>
        <w:rPr>
          <w:sz w:val="24"/>
          <w:szCs w:val="24"/>
        </w:rPr>
        <w:t>- разработка индивидуальной программы приёмо-сдаточных испытаний, ее согласование с Заказчиком, участие в проведении приёмо-сдаточных испытаний и наладки на месте монтажа;</w:t>
      </w:r>
    </w:p>
    <w:p>
      <w:pPr>
        <w:pStyle w:val="Normal"/>
        <w:shd w:val="clear" w:color="auto" w:fill="FFFFFF" w:themeFill="background1"/>
        <w:tabs>
          <w:tab w:val="clear" w:pos="720"/>
          <w:tab w:val="left" w:pos="426" w:leader="none"/>
        </w:tabs>
        <w:ind w:firstLine="425"/>
        <w:jc w:val="both"/>
        <w:rPr>
          <w:sz w:val="24"/>
          <w:szCs w:val="24"/>
        </w:rPr>
      </w:pPr>
      <w:r>
        <w:rPr>
          <w:sz w:val="24"/>
          <w:szCs w:val="24"/>
        </w:rPr>
        <w:t>- техническое консультирование персонала Заказчика для эксплуатации оборудования в объеме требований настоящих ТТ;</w:t>
      </w:r>
    </w:p>
    <w:p>
      <w:pPr>
        <w:pStyle w:val="Normal"/>
        <w:shd w:val="clear" w:color="auto" w:fill="FFFFFF" w:themeFill="background1"/>
        <w:tabs>
          <w:tab w:val="clear" w:pos="720"/>
          <w:tab w:val="left" w:pos="426" w:leader="none"/>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pPr>
        <w:pStyle w:val="Normal"/>
        <w:shd w:val="clear" w:color="auto" w:fill="FFFFFF" w:themeFill="background1"/>
        <w:tabs>
          <w:tab w:val="clear" w:pos="720"/>
          <w:tab w:val="left" w:pos="426" w:leader="none"/>
        </w:tabs>
        <w:spacing w:before="120" w:after="0"/>
        <w:ind w:firstLine="426"/>
        <w:jc w:val="both"/>
        <w:rPr>
          <w:sz w:val="24"/>
          <w:szCs w:val="24"/>
        </w:rPr>
      </w:pPr>
      <w:r>
        <w:rPr>
          <w:sz w:val="24"/>
          <w:szCs w:val="24"/>
        </w:rPr>
        <w:t>1.3.1. Общие данные об объекте.</w:t>
      </w:r>
    </w:p>
    <w:p>
      <w:pPr>
        <w:pStyle w:val="Style32"/>
        <w:widowControl/>
        <w:numPr>
          <w:ilvl w:val="1"/>
          <w:numId w:val="3"/>
        </w:numPr>
        <w:tabs>
          <w:tab w:val="left" w:pos="720" w:leader="none"/>
          <w:tab w:val="left" w:pos="1260" w:leader="none"/>
        </w:tabs>
        <w:overflowPunct w:val="true"/>
        <w:spacing w:before="0" w:after="120"/>
        <w:ind w:firstLine="426"/>
        <w:rPr>
          <w:szCs w:val="24"/>
        </w:rPr>
      </w:pPr>
      <w:r>
        <w:rPr>
          <w:szCs w:val="24"/>
        </w:rPr>
        <w:t>Загорская ГАЭС-2 расположена в Московской области в 100 км от г.Москва и в 20 км от г. Сергиев Посад.</w:t>
      </w:r>
    </w:p>
    <w:p>
      <w:pPr>
        <w:pStyle w:val="Style32"/>
        <w:widowControl/>
        <w:numPr>
          <w:ilvl w:val="1"/>
          <w:numId w:val="3"/>
        </w:numPr>
        <w:tabs>
          <w:tab w:val="left" w:pos="720" w:leader="none"/>
          <w:tab w:val="left" w:pos="1260" w:leader="none"/>
        </w:tabs>
        <w:overflowPunct w:val="true"/>
        <w:ind w:firstLine="426"/>
        <w:rPr>
          <w:szCs w:val="24"/>
        </w:rPr>
      </w:pPr>
      <w:r>
        <w:rPr>
          <w:szCs w:val="24"/>
        </w:rPr>
        <w:t>Загорская ГАЭС-2 сооружается в непосредственной близости от находящейся в эксплуатации Загорской ГАЭС; расстояние между осями сооружений ЗаГАЭС и ЗаГАЭС-2 около 900 м к югу от существующей станции. Верховой бассейн ЗаГАЭС-2 примыкает к верховому бассейну ЗаГАЭС и образован ограждающими напорными дамбами. Низовой бассейн, общий с ЗаГАЭС, располагается в долине р.Куньи и образован низовой плотиной по течению реки.</w:t>
      </w:r>
    </w:p>
    <w:p>
      <w:pPr>
        <w:pStyle w:val="Style37"/>
        <w:ind w:left="0"/>
        <w:jc w:val="left"/>
        <w:rPr>
          <w:b/>
        </w:rPr>
      </w:pPr>
      <w:bookmarkStart w:id="8" w:name="_Toc237337348"/>
      <w:r>
        <w:rPr>
          <w:b/>
        </w:rPr>
        <w:t>Таблица 1 – Климатические характеристики района расположения Объекта.</w:t>
      </w:r>
      <w:bookmarkEnd w:id="8"/>
    </w:p>
    <w:tbl>
      <w:tblPr>
        <w:tblStyle w:val="91"/>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5244"/>
        <w:gridCol w:w="4111"/>
      </w:tblGrid>
      <w:tr>
        <w:trPr>
          <w:tblHeader w:val="true"/>
          <w:trHeight w:val="454" w:hRule="atLeast"/>
          <w:cantSplit w:val="true"/>
        </w:trPr>
        <w:tc>
          <w:tcPr>
            <w:tcW w:w="5244" w:type="dxa"/>
            <w:tcBorders/>
            <w:vAlign w:val="center"/>
          </w:tcPr>
          <w:p>
            <w:pPr>
              <w:pStyle w:val="Normal"/>
              <w:suppressAutoHyphens w:val="false"/>
              <w:spacing w:before="0" w:after="0"/>
              <w:ind w:hanging="665" w:left="561" w:right="-109"/>
              <w:jc w:val="center"/>
              <w:rPr>
                <w:rFonts w:ascii="Times New Roman" w:hAnsi="Times New Roman" w:eastAsia="Calibri" w:cs="Times New Roman"/>
                <w:bCs/>
                <w:sz w:val="20"/>
                <w:szCs w:val="20"/>
              </w:rPr>
            </w:pPr>
            <w:r>
              <w:rPr>
                <w:rFonts w:eastAsia="Calibri" w:cs="Times New Roman"/>
                <w:bCs/>
                <w:kern w:val="0"/>
                <w:sz w:val="20"/>
                <w:szCs w:val="20"/>
                <w:lang w:val="ru-RU" w:eastAsia="en-US" w:bidi="ar-SA"/>
              </w:rPr>
              <w:t>Наименование</w:t>
            </w:r>
          </w:p>
        </w:tc>
        <w:tc>
          <w:tcPr>
            <w:tcW w:w="4111" w:type="dxa"/>
            <w:tcBorders/>
            <w:vAlign w:val="center"/>
          </w:tcPr>
          <w:p>
            <w:pPr>
              <w:pStyle w:val="Normal"/>
              <w:suppressAutoHyphens w:val="false"/>
              <w:spacing w:before="0" w:after="0"/>
              <w:ind w:hanging="283" w:left="175" w:right="-104"/>
              <w:jc w:val="center"/>
              <w:rPr>
                <w:rFonts w:ascii="Times New Roman" w:hAnsi="Times New Roman" w:eastAsia="Calibri" w:cs="Times New Roman"/>
                <w:bCs/>
                <w:sz w:val="20"/>
                <w:szCs w:val="20"/>
              </w:rPr>
            </w:pPr>
            <w:r>
              <w:rPr>
                <w:rFonts w:eastAsia="Calibri" w:cs="Times New Roman"/>
                <w:bCs/>
                <w:kern w:val="0"/>
                <w:sz w:val="20"/>
                <w:szCs w:val="20"/>
                <w:lang w:val="ru-RU" w:eastAsia="en-US" w:bidi="ar-SA"/>
              </w:rPr>
              <w:t>Параметр</w:t>
            </w:r>
          </w:p>
        </w:tc>
      </w:tr>
      <w:tr>
        <w:trPr>
          <w:tblHeader w:val="true"/>
          <w:trHeight w:val="454" w:hRule="atLeast"/>
          <w:cantSplit w:val="true"/>
        </w:trPr>
        <w:tc>
          <w:tcPr>
            <w:tcW w:w="5244" w:type="dxa"/>
            <w:tcBorders>
              <w:bottom w:val="double" w:sz="4" w:space="0" w:color="000000"/>
            </w:tcBorders>
          </w:tcPr>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1</w:t>
            </w:r>
          </w:p>
        </w:tc>
        <w:tc>
          <w:tcPr>
            <w:tcW w:w="4111" w:type="dxa"/>
            <w:tcBorders>
              <w:bottom w:val="double" w:sz="4" w:space="0" w:color="000000"/>
            </w:tcBorders>
          </w:tcPr>
          <w:p>
            <w:pPr>
              <w:pStyle w:val="Normal"/>
              <w:suppressAutoHyphens w:val="false"/>
              <w:spacing w:before="0" w:after="0"/>
              <w:ind w:left="175"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2</w:t>
            </w:r>
          </w:p>
        </w:tc>
      </w:tr>
      <w:tr>
        <w:trPr>
          <w:trHeight w:val="2165" w:hRule="atLeast"/>
          <w:cantSplit w:val="true"/>
        </w:trPr>
        <w:tc>
          <w:tcPr>
            <w:tcW w:w="5244" w:type="dxa"/>
            <w:tcBorders>
              <w:top w:val="double" w:sz="4" w:space="0" w:color="000000"/>
            </w:tcBorders>
          </w:tcPr>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Температура воздуха, °С:</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xml:space="preserve">- среднегодовая </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среднемесячная самого холодного месяца (январь)</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среднемесячная самого теплого месяца (июль)</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абсолютный минимум за весь период наблюдений</w:t>
            </w:r>
          </w:p>
          <w:p>
            <w:pPr>
              <w:pStyle w:val="Normal"/>
              <w:suppressAutoHyphens w:val="false"/>
              <w:spacing w:before="0" w:after="0"/>
              <w:ind w:right="249"/>
              <w:jc w:val="left"/>
              <w:rPr>
                <w:rFonts w:ascii="Times New Roman" w:hAnsi="Times New Roman" w:eastAsia="Calibri" w:cs="Times New Roman"/>
                <w:sz w:val="20"/>
                <w:szCs w:val="20"/>
                <w:highlight w:val="yellow"/>
              </w:rPr>
            </w:pPr>
            <w:r>
              <w:rPr>
                <w:rFonts w:eastAsia="Calibri" w:cs="Times New Roman"/>
                <w:kern w:val="0"/>
                <w:sz w:val="20"/>
                <w:szCs w:val="20"/>
                <w:lang w:val="ru-RU" w:eastAsia="en-US" w:bidi="ar-SA"/>
              </w:rPr>
              <w:t>- абсолютный максимум за весь период наблюдений</w:t>
            </w:r>
          </w:p>
        </w:tc>
        <w:tc>
          <w:tcPr>
            <w:tcW w:w="4111" w:type="dxa"/>
            <w:tcBorders>
              <w:top w:val="double" w:sz="4" w:space="0" w:color="000000"/>
            </w:tcBorders>
          </w:tcPr>
          <w:p>
            <w:pPr>
              <w:pStyle w:val="Normal"/>
              <w:suppressAutoHyphens w:val="false"/>
              <w:spacing w:before="0" w:after="0"/>
              <w:ind w:left="175" w:right="249"/>
              <w:jc w:val="left"/>
              <w:rPr>
                <w:rFonts w:ascii="Times New Roman" w:hAnsi="Times New Roman" w:eastAsia="Calibri" w:cs="Times New Roman"/>
                <w:sz w:val="20"/>
                <w:szCs w:val="20"/>
                <w:highlight w:val="yellow"/>
              </w:rPr>
            </w:pPr>
            <w:r>
              <w:rPr>
                <w:rFonts w:eastAsia="Calibri" w:cs="Times New Roman"/>
                <w:kern w:val="0"/>
                <w:sz w:val="20"/>
                <w:szCs w:val="20"/>
                <w:highlight w:val="yellow"/>
                <w:lang w:val="ru-RU" w:eastAsia="en-US" w:bidi="ar-SA"/>
              </w:rPr>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2,7</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Минус 11,3</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17</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Минус 48</w:t>
            </w:r>
          </w:p>
          <w:p>
            <w:pPr>
              <w:pStyle w:val="Normal"/>
              <w:suppressAutoHyphens w:val="false"/>
              <w:spacing w:before="0" w:after="0"/>
              <w:ind w:right="249"/>
              <w:jc w:val="center"/>
              <w:rPr>
                <w:rFonts w:ascii="Times New Roman" w:hAnsi="Times New Roman" w:eastAsia="Calibri" w:cs="Times New Roman"/>
                <w:sz w:val="20"/>
                <w:szCs w:val="20"/>
                <w:highlight w:val="yellow"/>
              </w:rPr>
            </w:pPr>
            <w:r>
              <w:rPr>
                <w:rFonts w:eastAsia="Calibri" w:cs="Times New Roman"/>
                <w:kern w:val="0"/>
                <w:sz w:val="20"/>
                <w:szCs w:val="20"/>
                <w:lang w:val="ru-RU" w:eastAsia="en-US" w:bidi="ar-SA"/>
              </w:rPr>
              <w:t>36,0</w:t>
            </w:r>
          </w:p>
        </w:tc>
      </w:tr>
      <w:tr>
        <w:trPr>
          <w:trHeight w:val="454" w:hRule="atLeast"/>
          <w:cantSplit w:val="true"/>
        </w:trPr>
        <w:tc>
          <w:tcPr>
            <w:tcW w:w="5244" w:type="dxa"/>
            <w:tcBorders/>
          </w:tcPr>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Среднегодовая скорость ветра, м/с</w:t>
            </w:r>
          </w:p>
        </w:tc>
        <w:tc>
          <w:tcPr>
            <w:tcW w:w="4111" w:type="dxa"/>
            <w:tcBorders/>
          </w:tcPr>
          <w:p>
            <w:pPr>
              <w:pStyle w:val="Normal"/>
              <w:suppressAutoHyphens w:val="false"/>
              <w:spacing w:before="0" w:after="0"/>
              <w:ind w:left="175"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3,4…4,1</w:t>
            </w:r>
          </w:p>
        </w:tc>
      </w:tr>
      <w:tr>
        <w:trPr>
          <w:trHeight w:val="454" w:hRule="atLeast"/>
          <w:cantSplit w:val="true"/>
        </w:trPr>
        <w:tc>
          <w:tcPr>
            <w:tcW w:w="5244" w:type="dxa"/>
            <w:tcBorders/>
          </w:tcPr>
          <w:p>
            <w:pPr>
              <w:pStyle w:val="Normal"/>
              <w:suppressAutoHyphens w:val="false"/>
              <w:spacing w:before="0" w:after="0"/>
              <w:ind w:right="249"/>
              <w:jc w:val="left"/>
              <w:rPr>
                <w:rFonts w:ascii="Times New Roman" w:hAnsi="Times New Roman" w:cs="Times New Roman"/>
                <w:sz w:val="20"/>
                <w:szCs w:val="20"/>
              </w:rPr>
            </w:pPr>
            <w:r>
              <w:rPr>
                <w:rFonts w:eastAsia="Calibri" w:cs="" w:ascii="Calibri" w:hAnsi="Calibri"/>
                <w:kern w:val="0"/>
                <w:sz w:val="22"/>
                <w:szCs w:val="22"/>
                <w:lang w:val="ru-RU" w:eastAsia="en-US" w:bidi="ar-SA"/>
              </w:rPr>
              <w:t>Содержание взвешенных частиц в воде, г/м</w:t>
            </w:r>
            <w:r>
              <w:rPr>
                <w:rFonts w:eastAsia="Calibri" w:cs="" w:ascii="Calibri" w:hAnsi="Calibri"/>
                <w:kern w:val="0"/>
                <w:sz w:val="22"/>
                <w:szCs w:val="22"/>
                <w:vertAlign w:val="superscript"/>
                <w:lang w:val="ru-RU" w:eastAsia="en-US" w:bidi="ar-SA"/>
              </w:rPr>
              <w:t>3</w:t>
            </w:r>
          </w:p>
        </w:tc>
        <w:tc>
          <w:tcPr>
            <w:tcW w:w="4111" w:type="dxa"/>
            <w:tcBorders/>
          </w:tcPr>
          <w:p>
            <w:pPr>
              <w:pStyle w:val="Normal"/>
              <w:suppressAutoHyphens w:val="false"/>
              <w:spacing w:before="0" w:after="0"/>
              <w:ind w:left="175" w:right="249"/>
              <w:jc w:val="center"/>
              <w:rPr>
                <w:rFonts w:ascii="Times New Roman" w:hAnsi="Times New Roman" w:cs="Times New Roman"/>
                <w:sz w:val="20"/>
                <w:szCs w:val="20"/>
              </w:rPr>
            </w:pPr>
            <w:r>
              <w:rPr>
                <w:rFonts w:eastAsia="Calibri" w:cs="Times New Roman"/>
                <w:kern w:val="0"/>
                <w:sz w:val="20"/>
                <w:szCs w:val="20"/>
                <w:lang w:val="ru-RU" w:eastAsia="en-US" w:bidi="ar-SA"/>
              </w:rPr>
              <w:t>до 500…1000</w:t>
            </w:r>
          </w:p>
        </w:tc>
      </w:tr>
      <w:tr>
        <w:trPr>
          <w:trHeight w:val="1905" w:hRule="atLeast"/>
          <w:cantSplit w:val="true"/>
        </w:trPr>
        <w:tc>
          <w:tcPr>
            <w:tcW w:w="5244" w:type="dxa"/>
            <w:tcBorders/>
          </w:tcPr>
          <w:p>
            <w:pPr>
              <w:pStyle w:val="Normal"/>
              <w:suppressAutoHyphens w:val="false"/>
              <w:spacing w:before="0" w:after="0"/>
              <w:ind w:right="249"/>
              <w:jc w:val="left"/>
              <w:rPr>
                <w:rFonts w:ascii="Times New Roman" w:hAnsi="Times New Roman" w:cs="Times New Roman"/>
                <w:sz w:val="20"/>
                <w:szCs w:val="20"/>
              </w:rPr>
            </w:pPr>
            <w:r>
              <w:rPr>
                <w:rFonts w:eastAsia="Calibri" w:cs="Times New Roman"/>
                <w:kern w:val="0"/>
                <w:sz w:val="20"/>
                <w:szCs w:val="20"/>
                <w:lang w:val="ru-RU" w:eastAsia="en-US" w:bidi="ar-SA"/>
              </w:rPr>
              <w:t>Гранулометрический состав взвешенных наносов, % по массе:</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размеры фракций ˃0,1 мм</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размеры фракций 0,1-0,05 мм</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размеры фракций 0,05-0,01 мм</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размеры фракций 0,01-0,005 мм</w:t>
            </w:r>
          </w:p>
          <w:p>
            <w:pPr>
              <w:pStyle w:val="Normal"/>
              <w:suppressAutoHyphens w:val="false"/>
              <w:spacing w:before="0" w:after="0"/>
              <w:ind w:right="249"/>
              <w:jc w:val="left"/>
              <w:rPr>
                <w:rFonts w:ascii="Times New Roman" w:hAnsi="Times New Roman" w:eastAsia="Calibri" w:cs="Times New Roman"/>
                <w:sz w:val="20"/>
                <w:szCs w:val="20"/>
              </w:rPr>
            </w:pPr>
            <w:r>
              <w:rPr>
                <w:rFonts w:eastAsia="Calibri" w:cs="Times New Roman"/>
                <w:kern w:val="0"/>
                <w:sz w:val="20"/>
                <w:szCs w:val="20"/>
                <w:lang w:val="ru-RU" w:eastAsia="en-US" w:bidi="ar-SA"/>
              </w:rPr>
              <w:t>- размеры фракций &lt;0,005 мм</w:t>
            </w:r>
          </w:p>
          <w:p>
            <w:pPr>
              <w:pStyle w:val="Normal"/>
              <w:suppressAutoHyphens w:val="false"/>
              <w:spacing w:before="0" w:after="0"/>
              <w:ind w:right="249"/>
              <w:jc w:val="left"/>
              <w:rPr>
                <w:rFonts w:ascii="Times New Roman" w:hAnsi="Times New Roman" w:cs="Times New Roman"/>
                <w:sz w:val="20"/>
                <w:szCs w:val="20"/>
                <w:highlight w:val="yellow"/>
              </w:rPr>
            </w:pPr>
            <w:r>
              <w:rPr>
                <w:rFonts w:eastAsia="Calibri" w:cs="Times New Roman"/>
                <w:kern w:val="0"/>
                <w:sz w:val="20"/>
                <w:szCs w:val="20"/>
                <w:lang w:val="ru-RU" w:eastAsia="en-US" w:bidi="ar-SA"/>
              </w:rPr>
              <w:t>- твердость, единиц по шкале Мооса</w:t>
            </w:r>
          </w:p>
        </w:tc>
        <w:tc>
          <w:tcPr>
            <w:tcW w:w="4111" w:type="dxa"/>
            <w:tcBorders/>
          </w:tcPr>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4,5</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15,3</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41,2</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14,2</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24,8</w:t>
            </w:r>
          </w:p>
          <w:p>
            <w:pPr>
              <w:pStyle w:val="Normal"/>
              <w:suppressAutoHyphens w:val="false"/>
              <w:spacing w:before="0" w:after="0"/>
              <w:ind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7</w:t>
            </w:r>
          </w:p>
        </w:tc>
      </w:tr>
      <w:tr>
        <w:trPr>
          <w:trHeight w:val="454" w:hRule="atLeast"/>
          <w:cantSplit w:val="true"/>
        </w:trPr>
        <w:tc>
          <w:tcPr>
            <w:tcW w:w="5244" w:type="dxa"/>
            <w:tcBorders/>
          </w:tcPr>
          <w:p>
            <w:pPr>
              <w:pStyle w:val="Normal"/>
              <w:suppressAutoHyphens w:val="false"/>
              <w:spacing w:before="0" w:after="0"/>
              <w:ind w:right="249"/>
              <w:jc w:val="left"/>
              <w:rPr>
                <w:rFonts w:ascii="Times New Roman" w:hAnsi="Times New Roman" w:eastAsia="Calibri" w:cs="Times New Roman"/>
                <w:sz w:val="20"/>
                <w:szCs w:val="20"/>
              </w:rPr>
            </w:pPr>
            <w:r>
              <w:rPr>
                <w:rFonts w:eastAsia="Calibri" w:cs="" w:ascii="Calibri" w:hAnsi="Calibri"/>
                <w:kern w:val="0"/>
                <w:sz w:val="22"/>
                <w:szCs w:val="22"/>
                <w:lang w:val="ru-RU" w:eastAsia="en-US" w:bidi="ar-SA"/>
              </w:rPr>
              <w:t xml:space="preserve">Расчетная сейсмичность ПЗ района строительства ГЭС по шкале </w:t>
            </w:r>
            <w:r>
              <w:rPr>
                <w:rFonts w:eastAsia="Calibri" w:cs="" w:ascii="Calibri" w:hAnsi="Calibri"/>
                <w:kern w:val="0"/>
                <w:sz w:val="22"/>
                <w:szCs w:val="22"/>
                <w:lang w:val="en-US" w:eastAsia="en-US" w:bidi="ar-SA"/>
              </w:rPr>
              <w:t>MSK</w:t>
            </w:r>
            <w:r>
              <w:rPr>
                <w:rFonts w:eastAsia="Calibri" w:cs="" w:ascii="Calibri" w:hAnsi="Calibri"/>
                <w:kern w:val="0"/>
                <w:sz w:val="22"/>
                <w:szCs w:val="22"/>
                <w:lang w:val="ru-RU" w:eastAsia="en-US" w:bidi="ar-SA"/>
              </w:rPr>
              <w:t>-64, баллов</w:t>
            </w:r>
          </w:p>
        </w:tc>
        <w:tc>
          <w:tcPr>
            <w:tcW w:w="4111" w:type="dxa"/>
            <w:tcBorders/>
          </w:tcPr>
          <w:p>
            <w:pPr>
              <w:pStyle w:val="Normal"/>
              <w:suppressAutoHyphens w:val="false"/>
              <w:spacing w:before="0" w:after="0"/>
              <w:ind w:left="175"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r>
          </w:p>
          <w:p>
            <w:pPr>
              <w:pStyle w:val="Normal"/>
              <w:suppressAutoHyphens w:val="false"/>
              <w:spacing w:before="0" w:after="0"/>
              <w:ind w:left="175" w:right="249"/>
              <w:jc w:val="center"/>
              <w:rPr>
                <w:rFonts w:ascii="Times New Roman" w:hAnsi="Times New Roman" w:eastAsia="Calibri" w:cs="Times New Roman"/>
                <w:sz w:val="20"/>
                <w:szCs w:val="20"/>
              </w:rPr>
            </w:pPr>
            <w:r>
              <w:rPr>
                <w:rFonts w:eastAsia="Calibri" w:cs="Times New Roman"/>
                <w:kern w:val="0"/>
                <w:sz w:val="20"/>
                <w:szCs w:val="20"/>
                <w:lang w:val="ru-RU" w:eastAsia="en-US" w:bidi="ar-SA"/>
              </w:rPr>
              <w:t>5</w:t>
            </w:r>
          </w:p>
        </w:tc>
      </w:tr>
    </w:tbl>
    <w:p>
      <w:pPr>
        <w:pStyle w:val="Style32"/>
        <w:ind w:firstLine="426"/>
        <w:rPr>
          <w:szCs w:val="24"/>
        </w:rPr>
      </w:pPr>
      <w:r>
        <w:rPr>
          <w:szCs w:val="24"/>
        </w:rPr>
      </w:r>
    </w:p>
    <w:p>
      <w:pPr>
        <w:pStyle w:val="BodyTextIndent"/>
        <w:ind w:firstLine="426" w:left="0"/>
        <w:rPr>
          <w:sz w:val="24"/>
          <w:szCs w:val="24"/>
        </w:rPr>
      </w:pPr>
      <w:r>
        <w:rPr>
          <w:sz w:val="24"/>
          <w:szCs w:val="24"/>
        </w:rPr>
        <w:t>Ледяной покров в верховом и низовом бассейнах толщиной до 0,7</w:t>
      </w:r>
      <w:r>
        <w:rPr>
          <w:rFonts w:eastAsia="Symbol" w:cs="Symbol" w:ascii="Symbol" w:hAnsi="Symbol"/>
          <w:sz w:val="24"/>
          <w:szCs w:val="24"/>
        </w:rPr>
        <w:sym w:font="Symbol" w:char="f0b8"/>
      </w:r>
      <w:r>
        <w:rPr>
          <w:sz w:val="24"/>
          <w:szCs w:val="24"/>
        </w:rPr>
        <w:t xml:space="preserve">0,9 м возникает после устойчивого перехода среднесуточных температур к отрицательным значениям. </w:t>
      </w:r>
    </w:p>
    <w:p>
      <w:pPr>
        <w:pStyle w:val="411"/>
        <w:numPr>
          <w:ilvl w:val="1"/>
          <w:numId w:val="4"/>
        </w:numPr>
        <w:shd w:val="clear" w:color="auto" w:fill="FFFFFF" w:themeFill="background1"/>
        <w:rPr/>
      </w:pPr>
      <w:bookmarkStart w:id="9" w:name="_Toc237337335"/>
      <w:r>
        <w:rPr/>
        <w:t>Существующее положение</w:t>
      </w:r>
      <w:bookmarkEnd w:id="9"/>
    </w:p>
    <w:p>
      <w:pPr>
        <w:pStyle w:val="Normal"/>
        <w:tabs>
          <w:tab w:val="clear" w:pos="720"/>
          <w:tab w:val="left" w:pos="426" w:leader="none"/>
        </w:tabs>
        <w:ind w:firstLine="425"/>
        <w:jc w:val="both"/>
        <w:rPr>
          <w:sz w:val="24"/>
          <w:szCs w:val="24"/>
        </w:rPr>
      </w:pPr>
      <w:r>
        <w:rPr>
          <w:sz w:val="24"/>
          <w:szCs w:val="24"/>
        </w:rPr>
        <w:t>Загорская ГАЭС-2 сооружается в Сергиево-Посадском районе Московской области в 900 м выше по течению реки Куньи от находящейся в эксплуатации Загорской ГАЭС, на которой установлены 6 гидроагрегатов.</w:t>
      </w:r>
    </w:p>
    <w:p>
      <w:pPr>
        <w:pStyle w:val="Normal"/>
        <w:tabs>
          <w:tab w:val="clear" w:pos="720"/>
          <w:tab w:val="left" w:pos="426" w:leader="none"/>
        </w:tabs>
        <w:ind w:firstLine="425"/>
        <w:jc w:val="both"/>
        <w:rPr>
          <w:sz w:val="24"/>
          <w:szCs w:val="24"/>
        </w:rPr>
      </w:pPr>
      <w:r>
        <w:rPr>
          <w:sz w:val="24"/>
          <w:szCs w:val="24"/>
        </w:rPr>
        <w:t xml:space="preserve">Энергия, вырабатываемая Загорской ГАЭС-2, а также заряд станции будет выполняться через шины объединенного элегазового распределительного устройства КРУЭ500 кВ Загорской ГАЭС и Загорской ГАЭС-2 по существующим линиям 500 кВ на ПС 500 кВ Трубино и на Костромскую ГРЭС, а также по вновь сооружаемым двум ВЛ 500кВ на подстанцию Ярцево. </w:t>
      </w:r>
    </w:p>
    <w:p>
      <w:pPr>
        <w:pStyle w:val="Normal"/>
        <w:tabs>
          <w:tab w:val="clear" w:pos="720"/>
          <w:tab w:val="left" w:pos="426" w:leader="none"/>
        </w:tabs>
        <w:ind w:firstLine="425"/>
        <w:jc w:val="both"/>
        <w:rPr>
          <w:sz w:val="24"/>
          <w:szCs w:val="24"/>
        </w:rPr>
      </w:pPr>
      <w:r>
        <w:rPr>
          <w:sz w:val="24"/>
          <w:szCs w:val="24"/>
        </w:rPr>
        <w:t>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кВ (далее блоки Б3 и Б4).</w:t>
      </w:r>
    </w:p>
    <w:p>
      <w:pPr>
        <w:pStyle w:val="Normal"/>
        <w:tabs>
          <w:tab w:val="clear" w:pos="720"/>
          <w:tab w:val="left" w:pos="426" w:leader="none"/>
        </w:tabs>
        <w:ind w:firstLine="425"/>
        <w:jc w:val="both"/>
        <w:rPr>
          <w:sz w:val="24"/>
          <w:szCs w:val="24"/>
        </w:rPr>
      </w:pPr>
      <w:r>
        <w:rPr>
          <w:sz w:val="24"/>
          <w:szCs w:val="24"/>
        </w:rPr>
        <w:t>Загорская ГАЭС присоединена к КРУЭ 500 кВ двумя объединенными электрическими блоками, состоящими каждый из трех одиночных блоков генератор-двигатель/трансформатор (далее блоки Б1 и Б2).</w:t>
      </w:r>
    </w:p>
    <w:p>
      <w:pPr>
        <w:pStyle w:val="Normal"/>
        <w:tabs>
          <w:tab w:val="clear" w:pos="720"/>
          <w:tab w:val="left" w:pos="426" w:leader="none"/>
        </w:tabs>
        <w:ind w:firstLine="425"/>
        <w:jc w:val="both"/>
        <w:rPr>
          <w:sz w:val="24"/>
          <w:szCs w:val="24"/>
        </w:rPr>
      </w:pPr>
      <w:r>
        <w:rPr>
          <w:sz w:val="24"/>
          <w:szCs w:val="24"/>
        </w:rPr>
        <w:t>На Загорской ГАЭС-2 предусматривается к установке четыре обратимых агрегата. Мощность агрегата в генераторном режиме составляет 223,5 МВт, в насосном – 250 МВт. Напряжение генераторов – двигателей принято 15,75 кВ, значения коэффициента мощности cosφ=0,85 для генераторного режима и cosφ=0,95 для режима двигателя.</w:t>
      </w:r>
    </w:p>
    <w:p>
      <w:pPr>
        <w:pStyle w:val="Normal"/>
        <w:widowControl/>
        <w:suppressAutoHyphens w:val="false"/>
        <w:ind w:firstLine="425"/>
        <w:rPr>
          <w:color w:val="000000"/>
          <w:sz w:val="23"/>
          <w:szCs w:val="23"/>
        </w:rPr>
      </w:pPr>
      <w:r>
        <w:rPr>
          <w:color w:val="000000"/>
          <w:sz w:val="23"/>
          <w:szCs w:val="23"/>
        </w:rPr>
        <w:t xml:space="preserve">В цепях блоков генератор/двигатель – трансформатор устанавливаются трехфазные силовые масляные трансформаторы, с системой охлаждения ДЦ (принудительная циркуляция воздуха и масла). Мощность трансформатора 265МВА, номинальное напряжение 525/15,75кВ. </w:t>
      </w:r>
    </w:p>
    <w:p>
      <w:pPr>
        <w:pStyle w:val="Normal"/>
        <w:tabs>
          <w:tab w:val="clear" w:pos="720"/>
          <w:tab w:val="left" w:pos="426" w:leader="none"/>
        </w:tabs>
        <w:ind w:firstLine="425"/>
        <w:jc w:val="both"/>
        <w:rPr>
          <w:sz w:val="24"/>
          <w:szCs w:val="24"/>
        </w:rPr>
      </w:pPr>
      <w:r>
        <w:rPr>
          <w:color w:val="000000"/>
          <w:sz w:val="23"/>
          <w:szCs w:val="23"/>
        </w:rPr>
        <w:t>Между генератором-двигателем и блочным трансформатором устанавливаются элегазовые выключатели для генераторного и насосного режимов. Реверс фаз при переходе из генераторного режима в двигательный и обратно осуществляется разъединителями, установленными со стороны генератора.</w:t>
      </w:r>
    </w:p>
    <w:p>
      <w:pPr>
        <w:pStyle w:val="Normal"/>
        <w:tabs>
          <w:tab w:val="clear" w:pos="720"/>
          <w:tab w:val="left" w:pos="426" w:leader="none"/>
        </w:tabs>
        <w:ind w:firstLine="425"/>
        <w:jc w:val="both"/>
        <w:rPr>
          <w:sz w:val="24"/>
          <w:szCs w:val="24"/>
        </w:rPr>
      </w:pPr>
      <w:r>
        <w:rPr>
          <w:sz w:val="24"/>
          <w:szCs w:val="24"/>
        </w:rPr>
      </w:r>
    </w:p>
    <w:p>
      <w:pPr>
        <w:pStyle w:val="Normal"/>
        <w:tabs>
          <w:tab w:val="clear" w:pos="720"/>
          <w:tab w:val="left" w:pos="426" w:leader="none"/>
        </w:tabs>
        <w:ind w:firstLine="425"/>
        <w:jc w:val="both"/>
        <w:rPr>
          <w:sz w:val="24"/>
          <w:szCs w:val="24"/>
        </w:rPr>
      </w:pPr>
      <w:r>
        <w:rPr>
          <w:sz w:val="24"/>
          <w:szCs w:val="24"/>
        </w:rPr>
        <w:t>По договорам поставки электротехнического оборудования, в период 2010-2013 комплектно партиями, на площадку Заказчика была осуществлена поставка ЭТО для обеспечения ввода Загорской ГАЭС-2 в эксплуатацию.</w:t>
      </w:r>
    </w:p>
    <w:p>
      <w:pPr>
        <w:pStyle w:val="Normal"/>
        <w:tabs>
          <w:tab w:val="clear" w:pos="720"/>
          <w:tab w:val="left" w:pos="426" w:leader="none"/>
        </w:tabs>
        <w:ind w:firstLine="425"/>
        <w:jc w:val="both"/>
        <w:rPr>
          <w:sz w:val="24"/>
          <w:szCs w:val="24"/>
        </w:rPr>
      </w:pPr>
      <w:r>
        <w:rPr>
          <w:sz w:val="24"/>
          <w:szCs w:val="24"/>
        </w:rPr>
        <w:t>В результате инцидента 2013 года произошло подтопление здания ГАЭС, приведшее к длительному нахождению под водой ранее смонтированного оборудования в объеме первого блока и, частично, оборудования для обеспечения пуска второго блока.</w:t>
      </w:r>
    </w:p>
    <w:p>
      <w:pPr>
        <w:pStyle w:val="Normal"/>
        <w:tabs>
          <w:tab w:val="clear" w:pos="720"/>
          <w:tab w:val="left" w:pos="426" w:leader="none"/>
        </w:tabs>
        <w:jc w:val="both"/>
        <w:rPr>
          <w:sz w:val="24"/>
          <w:szCs w:val="24"/>
        </w:rPr>
      </w:pPr>
      <w:bookmarkStart w:id="10" w:name="_Toc54970180"/>
      <w:bookmarkStart w:id="11" w:name="_Toc46743509"/>
      <w:bookmarkStart w:id="12" w:name="_Hlk49857604"/>
      <w:r>
        <w:rPr>
          <w:sz w:val="24"/>
          <w:szCs w:val="24"/>
        </w:rPr>
        <w:tab/>
        <w:t>В рамках проведенной в 2025-2026 технической экспертизы ЭТО, часть оборудования была признана непригодной для использования и монтажа и требует замены, часть оборудования признана пригодной с учетом выполнения работ по восстановлению.</w:t>
      </w:r>
    </w:p>
    <w:p>
      <w:pPr>
        <w:pStyle w:val="Normal"/>
        <w:tabs>
          <w:tab w:val="clear" w:pos="720"/>
          <w:tab w:val="left" w:pos="426" w:leader="none"/>
        </w:tabs>
        <w:ind w:firstLine="425"/>
        <w:jc w:val="both"/>
        <w:rPr>
          <w:sz w:val="24"/>
          <w:szCs w:val="24"/>
        </w:rPr>
      </w:pPr>
      <w:r>
        <w:rPr>
          <w:sz w:val="24"/>
          <w:szCs w:val="24"/>
        </w:rPr>
        <w:tab/>
        <w:t>Для резервирования электроснабжения систем жизнеобеспечения сооружений гидроузла при аварии в энергосистеме и при потере основных источников питания СН предусматривается установка дизель-генераторов (далее – ДГУ). В соответствии с территориальным расположением предусматривается установка двух дизель-генераторов с запасом топлива у каждого, обеспечивающим работу с номинальной мощностью в течение 24 часов:</w:t>
      </w:r>
    </w:p>
    <w:p>
      <w:pPr>
        <w:pStyle w:val="Normal"/>
        <w:tabs>
          <w:tab w:val="clear" w:pos="720"/>
          <w:tab w:val="left" w:pos="426" w:leader="none"/>
        </w:tabs>
        <w:ind w:firstLine="425"/>
        <w:jc w:val="both"/>
        <w:rPr>
          <w:sz w:val="24"/>
          <w:szCs w:val="24"/>
        </w:rPr>
      </w:pPr>
      <w:r>
        <w:rPr>
          <w:sz w:val="24"/>
          <w:szCs w:val="24"/>
        </w:rPr>
        <w:t>- стационарный дизель/генератор BMA-MJ, мощностью 1000 кВт, напряжением 0.4кВ для потребителей зданий ГАЭС и СПК; устанавливается в отдельном здании, расположенном на пристанционной площадке на незатапливаемой отметке 166.40;</w:t>
      </w:r>
    </w:p>
    <w:p>
      <w:pPr>
        <w:pStyle w:val="Normal"/>
        <w:tabs>
          <w:tab w:val="clear" w:pos="720"/>
          <w:tab w:val="left" w:pos="426" w:leader="none"/>
        </w:tabs>
        <w:ind w:firstLine="425"/>
        <w:jc w:val="both"/>
        <w:rPr>
          <w:sz w:val="24"/>
          <w:szCs w:val="24"/>
        </w:rPr>
      </w:pPr>
      <w:r>
        <w:rPr>
          <w:sz w:val="24"/>
          <w:szCs w:val="24"/>
        </w:rPr>
        <w:t>- дизель/генератор BMC-MJ контейнерного типа мощностью 246ºкВт, напряжением 0.4 кВ для потребителей водоприемника располагается на берме дамбы верхнего бассейна, отм.239,00.</w:t>
      </w:r>
    </w:p>
    <w:p>
      <w:pPr>
        <w:pStyle w:val="Normal"/>
        <w:tabs>
          <w:tab w:val="clear" w:pos="720"/>
          <w:tab w:val="left" w:pos="426" w:leader="none"/>
        </w:tabs>
        <w:ind w:firstLine="425"/>
        <w:jc w:val="both"/>
        <w:rPr>
          <w:sz w:val="24"/>
          <w:szCs w:val="24"/>
        </w:rPr>
      </w:pPr>
      <w:r>
        <w:rPr>
          <w:sz w:val="24"/>
          <w:szCs w:val="24"/>
        </w:rPr>
        <w:tab/>
        <w:t>В шкафах управления дизелями, которые входят в состав дизельных станций, предусматривается необходимая пусковая аппаратура, аппаратура автоматики, защиты, измерения и сигнализация. Сигнализация аварий и неисправностей дизеля отображается на шкафу управления дизелем и поступает в АСУ ТП.</w:t>
      </w:r>
    </w:p>
    <w:p>
      <w:pPr>
        <w:pStyle w:val="411"/>
        <w:numPr>
          <w:ilvl w:val="1"/>
          <w:numId w:val="4"/>
        </w:numPr>
        <w:shd w:val="clear" w:color="auto" w:fill="FFFFFF" w:themeFill="background1"/>
        <w:rPr/>
      </w:pPr>
      <w:bookmarkStart w:id="13" w:name="_Toc46743509"/>
      <w:bookmarkStart w:id="14" w:name="_Hlk49857604"/>
      <w:r>
        <w:rPr/>
        <w:t>Информация, предоставляемая Заказчиком на этапе исполнения Договора</w:t>
      </w:r>
      <w:bookmarkEnd w:id="13"/>
      <w:bookmarkEnd w:id="14"/>
      <w:r>
        <w:rPr/>
        <w:t xml:space="preserve"> </w:t>
      </w:r>
      <w:bookmarkEnd w:id="10"/>
      <w:r>
        <w:rPr>
          <w:bCs w:val="false"/>
          <w:i/>
          <w:iCs/>
        </w:rPr>
        <w:t xml:space="preserve"> </w:t>
      </w:r>
    </w:p>
    <w:p>
      <w:pPr>
        <w:pStyle w:val="411"/>
        <w:numPr>
          <w:ilvl w:val="0"/>
        </w:numPr>
        <w:shd w:val="clear" w:color="auto" w:fill="FFFFFF" w:themeFill="background1"/>
        <w:tabs>
          <w:tab w:val="clear" w:pos="0"/>
        </w:tabs>
        <w:ind w:hanging="0" w:left="0"/>
        <w:jc w:val="both"/>
        <w:rPr/>
      </w:pPr>
      <w:bookmarkStart w:id="15" w:name="__RefHeading___Toc12882_1369258210"/>
      <w:bookmarkStart w:id="16" w:name="_Toc54646401"/>
      <w:bookmarkEnd w:id="15"/>
      <w:bookmarkEnd w:id="16"/>
      <w:r>
        <w:rPr>
          <w:rStyle w:val="Style5"/>
          <w:b/>
          <w:i w:val="false"/>
          <w:shd w:fill="auto" w:val="clear"/>
        </w:rPr>
        <w:tab/>
      </w:r>
      <w:r>
        <w:rPr>
          <w:rStyle w:val="Style5"/>
          <w:b/>
          <w:i w:val="false"/>
          <w:color w:val="000000"/>
          <w:shd w:fill="auto" w:val="clear"/>
        </w:rPr>
        <w:t>Заказчик предоставит Исполнителю имеющуюся в наличии техническую или иную документацию</w:t>
      </w:r>
      <w:r>
        <w:rPr>
          <w:rStyle w:val="Annotationreference"/>
          <w:rFonts w:eastAsia="Times New Roman"/>
          <w:b w:val="false"/>
          <w:bCs w:val="false"/>
          <w:sz w:val="24"/>
          <w:szCs w:val="24"/>
        </w:rPr>
        <w:t xml:space="preserve">, в том числе проектную документацию, </w:t>
      </w:r>
      <w:r>
        <w:rPr>
          <w:rStyle w:val="Style5"/>
          <w:b/>
          <w:i w:val="false"/>
          <w:color w:val="000000"/>
          <w:shd w:fill="auto" w:val="clear"/>
        </w:rPr>
        <w:t>необходимую Исполнителю для выполнения обязательств по Договору, включая, при необходимости, отчеты о техническом обследовании электротехнического оборудования Загорской ГАЭС-2.</w:t>
      </w:r>
      <w:bookmarkStart w:id="17" w:name="_Hlk48209761"/>
    </w:p>
    <w:p>
      <w:pPr>
        <w:pStyle w:val="411"/>
        <w:numPr>
          <w:ilvl w:val="1"/>
          <w:numId w:val="4"/>
        </w:numPr>
        <w:shd w:val="clear" w:color="auto" w:fill="FFFFFF" w:themeFill="background1"/>
        <w:rPr/>
      </w:pPr>
      <w:bookmarkStart w:id="18" w:name="_Toc54970181"/>
      <w:bookmarkStart w:id="19" w:name="_Toc46743510"/>
      <w:bookmarkStart w:id="20" w:name="_Toc50125126"/>
      <w:bookmarkEnd w:id="17"/>
      <w:bookmarkEnd w:id="19"/>
      <w:bookmarkEnd w:id="20"/>
      <w:r>
        <w:rPr/>
        <w:t>Иные требования и сведения общего характера</w:t>
      </w:r>
      <w:bookmarkEnd w:id="18"/>
    </w:p>
    <w:p>
      <w:pPr>
        <w:pStyle w:val="Normal"/>
        <w:shd w:val="clear" w:color="auto" w:fill="FFFFFF" w:themeFill="background1"/>
        <w:ind w:firstLine="737"/>
        <w:jc w:val="both"/>
        <w:rPr>
          <w:sz w:val="24"/>
          <w:szCs w:val="24"/>
        </w:rPr>
      </w:pPr>
      <w:r>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pPr>
        <w:pStyle w:val="Normal"/>
        <w:shd w:val="clear" w:color="auto" w:fill="FFFFFF" w:themeFill="background1"/>
        <w:ind w:firstLine="737"/>
        <w:jc w:val="both"/>
        <w:rPr>
          <w:sz w:val="24"/>
          <w:szCs w:val="24"/>
        </w:rPr>
      </w:pPr>
      <w:r>
        <w:rPr>
          <w:sz w:val="24"/>
          <w:szCs w:val="24"/>
        </w:rPr>
        <w:t>Продукция должна иметь паспорта и сертификаты соответствия системы сертификации, действующей ГОСТ РФ. Для подтверждения указанного требования Исполнитель на этапе поставки продукции должен представить сертификаты и/или декларации соответствия ГОСТ РФ.</w:t>
      </w:r>
    </w:p>
    <w:p>
      <w:pPr>
        <w:pStyle w:val="Normal"/>
        <w:shd w:val="clear" w:color="auto" w:fill="FFFFFF" w:themeFill="background1"/>
        <w:ind w:firstLine="737"/>
        <w:jc w:val="both"/>
        <w:rPr/>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pPr>
        <w:pStyle w:val="Normal"/>
        <w:shd w:val="clear" w:color="auto" w:fill="FFFFFF" w:themeFill="background1"/>
        <w:ind w:firstLine="737"/>
        <w:jc w:val="both"/>
        <w:rPr/>
      </w:pPr>
      <w:r>
        <w:rPr>
          <w:sz w:val="24"/>
          <w:szCs w:val="24"/>
        </w:rPr>
        <w:t>Исполнитель обязан соблюдать требования природоохранного законодательства при оказании услуг на территории Заказчика.</w:t>
      </w:r>
    </w:p>
    <w:p>
      <w:pPr>
        <w:pStyle w:val="Normal"/>
        <w:shd w:val="clear" w:color="auto" w:fill="FFFFFF" w:themeFill="background1"/>
        <w:ind w:firstLine="737"/>
        <w:jc w:val="both"/>
        <w:rPr/>
      </w:pPr>
      <w:r>
        <w:rPr>
          <w:rStyle w:val="Style5"/>
          <w:b w:val="false"/>
          <w:i w:val="false"/>
          <w:sz w:val="24"/>
          <w:szCs w:val="24"/>
          <w:shd w:fill="auto" w:val="clear"/>
        </w:rPr>
        <w:t>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Style5"/>
          <w:b w:val="false"/>
          <w:sz w:val="24"/>
          <w:szCs w:val="24"/>
          <w:shd w:fill="auto" w:val="clear"/>
        </w:rPr>
        <w:t>.</w:t>
      </w:r>
    </w:p>
    <w:p>
      <w:pPr>
        <w:pStyle w:val="1110"/>
        <w:numPr>
          <w:ilvl w:val="0"/>
          <w:numId w:val="0"/>
        </w:numPr>
        <w:shd w:val="clear" w:color="auto" w:fill="FFFFFF" w:themeFill="background1"/>
        <w:ind w:hanging="0" w:left="0"/>
        <w:jc w:val="center"/>
        <w:rPr>
          <w:sz w:val="24"/>
          <w:szCs w:val="24"/>
        </w:rPr>
      </w:pPr>
      <w:r>
        <w:rPr>
          <w:sz w:val="24"/>
          <w:szCs w:val="24"/>
        </w:rPr>
        <w:t xml:space="preserve">2. </w:t>
      </w:r>
      <w:bookmarkStart w:id="21" w:name="_Toc51339693"/>
      <w:bookmarkStart w:id="22" w:name="_Toc54970182"/>
      <w:r>
        <w:rPr>
          <w:sz w:val="24"/>
          <w:szCs w:val="24"/>
        </w:rPr>
        <w:t xml:space="preserve">Требования к </w:t>
      </w:r>
      <w:bookmarkEnd w:id="21"/>
      <w:bookmarkEnd w:id="22"/>
      <w:r>
        <w:rPr>
          <w:sz w:val="24"/>
          <w:szCs w:val="24"/>
        </w:rPr>
        <w:t>продукции</w:t>
      </w:r>
    </w:p>
    <w:p>
      <w:pPr>
        <w:pStyle w:val="ListParagraph"/>
        <w:keepNext w:val="true"/>
        <w:numPr>
          <w:ilvl w:val="0"/>
          <w:numId w:val="4"/>
        </w:numPr>
        <w:shd w:val="clear" w:color="auto" w:fill="FFFFFF" w:themeFill="background1"/>
        <w:tabs>
          <w:tab w:val="clear" w:pos="720"/>
          <w:tab w:val="left" w:pos="0" w:leader="none"/>
        </w:tabs>
        <w:spacing w:before="120" w:after="60"/>
        <w:contextualSpacing w:val="false"/>
        <w:jc w:val="center"/>
        <w:outlineLvl w:val="3"/>
        <w:rPr>
          <w:rFonts w:eastAsia="Calibri"/>
          <w:b/>
          <w:bCs/>
          <w:vanish/>
          <w:sz w:val="24"/>
          <w:szCs w:val="24"/>
        </w:rPr>
      </w:pPr>
      <w:r>
        <w:rPr>
          <w:rFonts w:eastAsia="Calibri"/>
          <w:b/>
          <w:bCs/>
          <w:vanish/>
          <w:sz w:val="24"/>
          <w:szCs w:val="24"/>
        </w:rPr>
        <w:t>Требования к продукции</w:t>
      </w:r>
    </w:p>
    <w:p>
      <w:pPr>
        <w:pStyle w:val="411"/>
        <w:numPr>
          <w:ilvl w:val="1"/>
          <w:numId w:val="4"/>
        </w:numPr>
        <w:shd w:val="clear" w:color="auto" w:fill="FFFFFF" w:themeFill="background1"/>
        <w:rPr/>
      </w:pPr>
      <w:r>
        <w:rPr/>
        <w:t>Требования к восстанавливаемому оборудованию</w:t>
      </w:r>
    </w:p>
    <w:p>
      <w:pPr>
        <w:pStyle w:val="Normal"/>
        <w:tabs>
          <w:tab w:val="clear" w:pos="720"/>
          <w:tab w:val="left" w:pos="426" w:leader="none"/>
        </w:tabs>
        <w:spacing w:before="120" w:after="120"/>
        <w:jc w:val="both"/>
        <w:rPr>
          <w:sz w:val="24"/>
          <w:szCs w:val="24"/>
        </w:rPr>
      </w:pPr>
      <w:r>
        <w:rPr>
          <w:sz w:val="24"/>
          <w:szCs w:val="24"/>
        </w:rPr>
        <w:tab/>
        <w:t xml:space="preserve">Исполнитель должен обеспечить восстановление оборудования Заказчика, </w:t>
      </w:r>
      <w:r>
        <w:rPr>
          <w:color w:val="000000"/>
          <w:sz w:val="24"/>
          <w:szCs w:val="24"/>
        </w:rPr>
        <w:t>в соответствии с выводами проведенного обследования (на основании отчета по обследованию электротехнического оборудования Загорской ГАЭС-2),</w:t>
      </w:r>
      <w:r>
        <w:rPr>
          <w:sz w:val="24"/>
          <w:szCs w:val="24"/>
        </w:rPr>
        <w:t xml:space="preserve"> до гарантированных заводских параметров и включить в объем поставки всё, что необходимо для восстановления работоспособности и обеспечения последующей нормальной эксплуатации оборудования, даже если это специально не оговорено в данных технических требованиях. </w:t>
      </w:r>
    </w:p>
    <w:p>
      <w:pPr>
        <w:pStyle w:val="Normal"/>
        <w:tabs>
          <w:tab w:val="clear" w:pos="720"/>
          <w:tab w:val="left" w:pos="426" w:leader="none"/>
        </w:tabs>
        <w:ind w:firstLine="425"/>
        <w:jc w:val="both"/>
        <w:rPr>
          <w:sz w:val="24"/>
          <w:szCs w:val="24"/>
        </w:rPr>
      </w:pPr>
      <w:r>
        <w:rPr>
          <w:sz w:val="24"/>
          <w:szCs w:val="24"/>
        </w:rPr>
        <w:t>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pPr>
        <w:pStyle w:val="Normal"/>
        <w:tabs>
          <w:tab w:val="clear" w:pos="720"/>
          <w:tab w:val="left" w:pos="426" w:leader="none"/>
        </w:tabs>
        <w:ind w:firstLine="425"/>
        <w:jc w:val="both"/>
        <w:rPr>
          <w:sz w:val="24"/>
          <w:szCs w:val="24"/>
        </w:rPr>
      </w:pPr>
      <w:r>
        <w:rPr>
          <w:sz w:val="24"/>
          <w:szCs w:val="24"/>
        </w:rPr>
        <w:t>В период проведения шеф-монтажных и шеф-наладочных работ подготовить к работе с восстанавливаемым Оборудованием эксплуатационный персонал на Объекте Заказчика, согласно условиям настоящих ТТ и Договора.</w:t>
      </w:r>
    </w:p>
    <w:p>
      <w:pPr>
        <w:pStyle w:val="411"/>
        <w:numPr>
          <w:ilvl w:val="1"/>
          <w:numId w:val="4"/>
        </w:numPr>
        <w:shd w:val="clear" w:color="auto" w:fill="FFFFFF" w:themeFill="background1"/>
        <w:rPr/>
      </w:pPr>
      <w:r>
        <w:rPr/>
        <w:t>Требования к закупаемым материально-техническим ресурсам</w:t>
      </w:r>
    </w:p>
    <w:p>
      <w:pPr>
        <w:pStyle w:val="Normal"/>
        <w:tabs>
          <w:tab w:val="clear" w:pos="720"/>
          <w:tab w:val="left" w:pos="426" w:leader="none"/>
        </w:tabs>
        <w:ind w:firstLine="425"/>
        <w:jc w:val="both"/>
        <w:rPr>
          <w:sz w:val="24"/>
          <w:szCs w:val="24"/>
        </w:rPr>
      </w:pPr>
      <w:r>
        <w:rPr>
          <w:sz w:val="24"/>
          <w:szCs w:val="24"/>
        </w:rPr>
        <w:t>Материально-технические ресурсы (МТР), должны быть новыми, ранее не использованными и соответствовать техническим требованиям Заказчика. Под новыми следует понимать МТР, которое не были в употреблении, не проходили ремонт, в том числе восстановление, замену составных частей, восстановление потребительских свойств.</w:t>
      </w:r>
    </w:p>
    <w:p>
      <w:pPr>
        <w:pStyle w:val="-4"/>
        <w:shd w:val="clear" w:color="auto" w:fill="FFFFFF" w:themeFill="background1"/>
        <w:tabs>
          <w:tab w:val="clear" w:pos="9354"/>
          <w:tab w:val="left" w:pos="0" w:leader="none"/>
          <w:tab w:val="left" w:pos="1418" w:leader="none"/>
        </w:tabs>
        <w:ind w:firstLine="426" w:left="0"/>
        <w:rPr>
          <w:sz w:val="24"/>
          <w:szCs w:val="24"/>
        </w:rPr>
      </w:pPr>
      <w:r>
        <w:rPr>
          <w:sz w:val="24"/>
          <w:szCs w:val="24"/>
        </w:rPr>
        <w:t>Все работы по разработке конструкторской документации, изготовлению, поставке, заводские испытания оборудования должны проводиться в соответствии с требованиями данной документации.</w:t>
      </w:r>
    </w:p>
    <w:p>
      <w:pPr>
        <w:pStyle w:val="Normal"/>
        <w:tabs>
          <w:tab w:val="clear" w:pos="720"/>
          <w:tab w:val="left" w:pos="426" w:leader="none"/>
        </w:tabs>
        <w:ind w:firstLine="425"/>
        <w:jc w:val="both"/>
        <w:rPr>
          <w:sz w:val="24"/>
          <w:szCs w:val="24"/>
        </w:rPr>
      </w:pPr>
      <w:r>
        <w:rPr>
          <w:sz w:val="24"/>
          <w:szCs w:val="24"/>
        </w:rPr>
        <w:t>В поставку МТР, в том числе для выполнения работ по восстановлению Оборудования, должны входить все вспомогательные устройства, приборы и аппаратура, необходимые для его надежной и безотказной работы.</w:t>
      </w:r>
    </w:p>
    <w:p>
      <w:pPr>
        <w:pStyle w:val="411"/>
        <w:numPr>
          <w:ilvl w:val="1"/>
          <w:numId w:val="4"/>
        </w:numPr>
        <w:shd w:val="clear" w:color="auto" w:fill="FFFFFF" w:themeFill="background1"/>
        <w:rPr/>
      </w:pPr>
      <w:bookmarkStart w:id="23" w:name="_Toc54970183"/>
      <w:r>
        <w:rPr/>
        <w:t>Требования по объемам и срокам</w:t>
      </w:r>
      <w:bookmarkEnd w:id="23"/>
      <w:r>
        <w:rPr/>
        <w:t xml:space="preserve"> </w:t>
      </w:r>
    </w:p>
    <w:p>
      <w:pPr>
        <w:pStyle w:val="411"/>
        <w:numPr>
          <w:ilvl w:val="2"/>
          <w:numId w:val="4"/>
        </w:numPr>
        <w:shd w:val="clear" w:color="auto" w:fill="FFFFFF" w:themeFill="background1"/>
        <w:rPr/>
      </w:pPr>
      <w:bookmarkStart w:id="24" w:name="_Toc237337342"/>
      <w:r>
        <w:rPr/>
        <w:t>Перечень и объем закупаемой продукции</w:t>
      </w:r>
      <w:bookmarkEnd w:id="24"/>
    </w:p>
    <w:p>
      <w:pPr>
        <w:pStyle w:val="Normal"/>
        <w:ind w:firstLine="426"/>
        <w:jc w:val="both"/>
        <w:rPr>
          <w:sz w:val="24"/>
          <w:szCs w:val="24"/>
        </w:rPr>
      </w:pPr>
      <w:r>
        <w:rPr>
          <w:sz w:val="24"/>
          <w:szCs w:val="24"/>
        </w:rPr>
        <w:t>В соответствии с данным техническим заданием Исполнитель обеспечивает поставку МТР и выполнение работ для восстановления работоспособности ДГУ.</w:t>
      </w:r>
    </w:p>
    <w:p>
      <w:pPr>
        <w:pStyle w:val="Normal"/>
        <w:ind w:firstLine="357"/>
        <w:jc w:val="both"/>
        <w:rPr>
          <w:color w:val="000000"/>
          <w:sz w:val="24"/>
        </w:rPr>
      </w:pPr>
      <w:r>
        <w:rPr>
          <w:sz w:val="24"/>
        </w:rPr>
        <w:t>Поставка МТР осуществляется</w:t>
      </w:r>
      <w:r>
        <w:rPr>
          <w:color w:val="000000"/>
          <w:sz w:val="24"/>
        </w:rPr>
        <w:t xml:space="preserve"> в такой комплектации, а работа выполняется в таком объеме, который позволяет восстановить работоспособность оборудования без закупки дополнительных объемов оборудования и услуг, и позволяет ввести оборудование в эксплуатацию.</w:t>
      </w:r>
    </w:p>
    <w:p>
      <w:pPr>
        <w:pStyle w:val="Style37"/>
        <w:ind w:left="0"/>
        <w:jc w:val="left"/>
        <w:rPr>
          <w:b/>
        </w:rPr>
      </w:pPr>
      <w:r>
        <w:rPr>
          <w:b/>
        </w:rPr>
      </w:r>
      <w:bookmarkStart w:id="25" w:name="_Toc237337349"/>
      <w:bookmarkStart w:id="26" w:name="_Toc237337349"/>
      <w:bookmarkEnd w:id="26"/>
    </w:p>
    <w:p>
      <w:pPr>
        <w:pStyle w:val="Style37"/>
        <w:ind w:left="0"/>
        <w:jc w:val="left"/>
        <w:rPr>
          <w:b/>
        </w:rPr>
      </w:pPr>
      <w:r>
        <w:rPr>
          <w:b/>
        </w:rPr>
      </w:r>
    </w:p>
    <w:p>
      <w:pPr>
        <w:pStyle w:val="Style37"/>
        <w:ind w:left="0"/>
        <w:jc w:val="left"/>
        <w:rPr>
          <w:b/>
        </w:rPr>
      </w:pPr>
      <w:r>
        <w:rPr>
          <w:b/>
        </w:rPr>
      </w:r>
    </w:p>
    <w:p>
      <w:pPr>
        <w:sectPr>
          <w:headerReference w:type="default" r:id="rId2"/>
          <w:footerReference w:type="default" r:id="rId3"/>
          <w:type w:val="nextPage"/>
          <w:pgSz w:w="11906" w:h="16838"/>
          <w:pgMar w:left="1418" w:right="851" w:gutter="0" w:header="709" w:top="1134" w:footer="709" w:bottom="851"/>
          <w:pgNumType w:fmt="decimal"/>
          <w:formProt w:val="false"/>
          <w:textDirection w:val="lrTb"/>
          <w:docGrid w:type="default" w:linePitch="360" w:charSpace="106496"/>
        </w:sectPr>
        <w:pStyle w:val="Style37"/>
        <w:ind w:left="0"/>
        <w:jc w:val="left"/>
        <w:rPr>
          <w:b/>
        </w:rPr>
      </w:pPr>
      <w:r>
        <w:rPr>
          <w:b/>
        </w:rPr>
      </w:r>
    </w:p>
    <w:p>
      <w:pPr>
        <w:pStyle w:val="Style37"/>
        <w:ind w:left="0"/>
        <w:jc w:val="left"/>
        <w:rPr>
          <w:b/>
        </w:rPr>
      </w:pPr>
      <w:r>
        <w:rPr>
          <w:b/>
        </w:rPr>
        <w:t>Таблица 2.1. Перечень и объем восстанавливаемого оборудования</w:t>
      </w:r>
    </w:p>
    <w:tbl>
      <w:tblPr>
        <w:tblW w:w="10348" w:type="dxa"/>
        <w:jc w:val="left"/>
        <w:tblInd w:w="-572" w:type="dxa"/>
        <w:tblLayout w:type="fixed"/>
        <w:tblCellMar>
          <w:top w:w="0" w:type="dxa"/>
          <w:left w:w="108" w:type="dxa"/>
          <w:bottom w:w="0" w:type="dxa"/>
          <w:right w:w="108" w:type="dxa"/>
        </w:tblCellMar>
        <w:tblLook w:val="0000" w:noHBand="0" w:noVBand="0" w:firstColumn="0" w:lastRow="0" w:lastColumn="0" w:firstRow="0"/>
      </w:tblPr>
      <w:tblGrid>
        <w:gridCol w:w="709"/>
        <w:gridCol w:w="5387"/>
        <w:gridCol w:w="1416"/>
        <w:gridCol w:w="1843"/>
        <w:gridCol w:w="993"/>
      </w:tblGrid>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w:t>
            </w:r>
          </w:p>
          <w:p>
            <w:pPr>
              <w:pStyle w:val="Normal"/>
              <w:jc w:val="center"/>
              <w:rPr/>
            </w:pPr>
            <w:r>
              <w:rPr/>
              <w:t>п/п</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pPr>
            <w:r>
              <w:rPr/>
              <w:t>Наименование оборудования</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pPr>
            <w:r>
              <w:rPr/>
              <w:t>Кол-во/ ед.изм.</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rPr/>
            </w:pPr>
            <w:r>
              <w:rPr/>
              <w:t>Кол-во оборудования, подлежащего восстановлению</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Инвентарный номер</w:t>
            </w:r>
          </w:p>
        </w:tc>
      </w:tr>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4</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6</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7</w:t>
            </w:r>
          </w:p>
        </w:tc>
      </w:tr>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rPr/>
            </w:pPr>
            <w:r>
              <w:rPr/>
              <w:t>Дизель-электрический агрегат GMU-405EW</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 комплект</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 комплект</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004259</w:t>
            </w:r>
          </w:p>
        </w:tc>
      </w:tr>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2</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rPr/>
            </w:pPr>
            <w:r>
              <w:rPr/>
              <w:t xml:space="preserve">Микропроцессорный щит с приборами и аппаратурой для контроля и управления дизельной станцией </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 комплект</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 комплект</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004264</w:t>
            </w:r>
          </w:p>
        </w:tc>
      </w:tr>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3</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rPr/>
            </w:pPr>
            <w:r>
              <w:rPr/>
              <w:t xml:space="preserve">Дизель-электрический агрегат GMU-1260EW мощностью 1250/1000 кВА/кВт </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 комплект</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 комплект</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004250</w:t>
            </w:r>
          </w:p>
        </w:tc>
      </w:tr>
      <w:tr>
        <w:trPr>
          <w:trHeight w:val="20"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4</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rPr/>
            </w:pPr>
            <w:r>
              <w:rPr/>
              <w:t>Микропроцессорный щит с приборами и аппаратурой для контроля и управления дизельной станцией для дизеля здания ГАЭС и СПК</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1 комплект</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 комплект</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t>004249</w:t>
            </w:r>
          </w:p>
        </w:tc>
      </w:tr>
    </w:tbl>
    <w:p>
      <w:pPr>
        <w:pStyle w:val="Normal"/>
        <w:rPr>
          <w:lang w:eastAsia="en-US"/>
        </w:rPr>
      </w:pPr>
      <w:r>
        <w:rPr>
          <w:lang w:eastAsia="en-US"/>
        </w:rPr>
      </w:r>
    </w:p>
    <w:p>
      <w:pPr>
        <w:pStyle w:val="Normal"/>
        <w:ind w:firstLine="567"/>
        <w:jc w:val="both"/>
        <w:rPr>
          <w:sz w:val="24"/>
          <w:szCs w:val="24"/>
        </w:rPr>
      </w:pPr>
      <w:r>
        <w:rPr>
          <w:sz w:val="24"/>
          <w:szCs w:val="24"/>
        </w:rPr>
        <w:t>Объем работ по восстановлению оборудования, приведенного в Таблице 2, разрабатывается Исполнителем и согласовывается с Заказчиком на этапе исполнения договора.</w:t>
      </w:r>
    </w:p>
    <w:p>
      <w:pPr>
        <w:pStyle w:val="Normal"/>
        <w:ind w:firstLine="567"/>
        <w:jc w:val="both"/>
        <w:rPr>
          <w:sz w:val="24"/>
          <w:szCs w:val="24"/>
        </w:rPr>
      </w:pPr>
      <w:r>
        <w:rPr>
          <w:sz w:val="24"/>
          <w:szCs w:val="24"/>
        </w:rPr>
        <w:t>Работы по восстановлению распределительных щитов силовых 0,4 кВ, для дизель-электрического агрегата здания ГАЭС и СПК, с автоматическими выключателями на ток 250А-2000А (7 комплектов) и с автоматическими выключателями на ток 16А-63А (1 комплект) предусмотрены в разделе технических требований по восстановлению оборудования СОПТ и СН.</w:t>
      </w:r>
    </w:p>
    <w:p>
      <w:pPr>
        <w:pStyle w:val="Normal"/>
        <w:ind w:firstLine="567"/>
        <w:jc w:val="both"/>
        <w:rPr>
          <w:sz w:val="24"/>
          <w:szCs w:val="24"/>
        </w:rPr>
      </w:pPr>
      <w:r>
        <w:rPr>
          <w:sz w:val="24"/>
          <w:szCs w:val="24"/>
        </w:rPr>
        <w:t xml:space="preserve">Исполнитель должен обеспечить комплектность ДГУ, по результату восстановительных работ, и включить в объем поставки и работ по восстановлению все, что необходимо для восстановления работоспособности и обеспечения их последующей нормальной эксплуатации, даже если это специально не оговорено в данных технических требованиях. </w:t>
      </w:r>
    </w:p>
    <w:p>
      <w:pPr>
        <w:pStyle w:val="Normal"/>
        <w:ind w:firstLine="567"/>
        <w:jc w:val="both"/>
        <w:rPr>
          <w:sz w:val="24"/>
          <w:szCs w:val="24"/>
        </w:rPr>
      </w:pPr>
      <w:r>
        <w:rPr>
          <w:sz w:val="24"/>
          <w:szCs w:val="24"/>
        </w:rPr>
        <w:t>Исполнитель обязан использовать комплексную и эффективную систему обеспечения качества, обязательную для всей группы участвующих в проекте компаний и включающую в себя вопросы разработки, проектирования, производства и монтажа оборудования в соответствии со стандартом обеспечения качества ISO 9001:2026.</w:t>
      </w:r>
    </w:p>
    <w:p>
      <w:pPr>
        <w:sectPr>
          <w:headerReference w:type="default" r:id="rId4"/>
          <w:headerReference w:type="first" r:id="rId5"/>
          <w:footerReference w:type="default" r:id="rId6"/>
          <w:footerReference w:type="first" r:id="rId7"/>
          <w:type w:val="nextPage"/>
          <w:pgSz w:w="11906" w:h="16838"/>
          <w:pgMar w:left="1418" w:right="851" w:gutter="0" w:header="709" w:top="1134" w:footer="709" w:bottom="851"/>
          <w:pgNumType w:fmt="decimal"/>
          <w:formProt w:val="false"/>
          <w:textDirection w:val="lrTb"/>
          <w:docGrid w:type="default" w:linePitch="360" w:charSpace="106496"/>
        </w:sectPr>
        <w:pStyle w:val="Normal"/>
        <w:ind w:firstLine="567"/>
        <w:jc w:val="both"/>
        <w:rPr>
          <w:sz w:val="24"/>
          <w:szCs w:val="24"/>
        </w:rPr>
      </w:pPr>
      <w:r>
        <w:rPr>
          <w:sz w:val="24"/>
          <w:szCs w:val="24"/>
        </w:rPr>
      </w:r>
    </w:p>
    <w:p>
      <w:pPr>
        <w:pStyle w:val="Style37"/>
        <w:ind w:left="0"/>
        <w:rPr>
          <w:b/>
        </w:rPr>
      </w:pPr>
      <w:bookmarkStart w:id="27" w:name="_Toc237337350"/>
      <w:bookmarkStart w:id="28" w:name="_Toc75446577"/>
      <w:r>
        <w:rPr>
          <w:b/>
        </w:rPr>
        <w:t>Таблица 2.2 Перечень и объем закупаемых работ и сопутствующих услуг</w:t>
      </w:r>
      <w:bookmarkEnd w:id="27"/>
      <w:bookmarkEnd w:id="28"/>
    </w:p>
    <w:tbl>
      <w:tblPr>
        <w:tblW w:w="978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850"/>
        <w:gridCol w:w="5812"/>
        <w:gridCol w:w="1699"/>
        <w:gridCol w:w="1419"/>
      </w:tblGrid>
      <w:tr>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2"/>
                <w:szCs w:val="22"/>
              </w:rPr>
            </w:pPr>
            <w:r>
              <w:rPr>
                <w:sz w:val="22"/>
                <w:szCs w:val="22"/>
              </w:rPr>
              <w:t>№</w:t>
            </w:r>
          </w:p>
          <w:p>
            <w:pPr>
              <w:pStyle w:val="Normal"/>
              <w:keepNext w:val="true"/>
              <w:jc w:val="center"/>
              <w:rPr>
                <w:sz w:val="22"/>
                <w:szCs w:val="22"/>
              </w:rPr>
            </w:pPr>
            <w:r>
              <w:rPr>
                <w:sz w:val="22"/>
                <w:szCs w:val="22"/>
              </w:rPr>
              <w:t>п/п</w:t>
            </w:r>
          </w:p>
        </w:tc>
        <w:tc>
          <w:tcPr>
            <w:tcW w:w="5812"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2"/>
                <w:szCs w:val="22"/>
              </w:rPr>
            </w:pPr>
            <w:r>
              <w:rPr>
                <w:sz w:val="22"/>
                <w:szCs w:val="22"/>
              </w:rPr>
              <w:t>Наименование услуг</w:t>
            </w:r>
          </w:p>
        </w:tc>
        <w:tc>
          <w:tcPr>
            <w:tcW w:w="169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2"/>
                <w:szCs w:val="22"/>
              </w:rPr>
            </w:pPr>
            <w:r>
              <w:rPr>
                <w:sz w:val="22"/>
                <w:szCs w:val="22"/>
              </w:rPr>
              <w:t>Единица измерения</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2"/>
                <w:szCs w:val="22"/>
              </w:rPr>
            </w:pPr>
            <w:r>
              <w:rPr>
                <w:sz w:val="22"/>
                <w:szCs w:val="22"/>
              </w:rPr>
              <w:t>Количество</w:t>
            </w:r>
          </w:p>
        </w:tc>
      </w:tr>
      <w:tr>
        <w:trPr/>
        <w:tc>
          <w:tcPr>
            <w:tcW w:w="850" w:type="dxa"/>
            <w:tcBorders>
              <w:top w:val="single" w:sz="4" w:space="0" w:color="000000"/>
              <w:left w:val="single" w:sz="4" w:space="0" w:color="000000"/>
              <w:bottom w:val="single" w:sz="4" w:space="0" w:color="000000"/>
              <w:right w:val="single" w:sz="4" w:space="0" w:color="000000"/>
            </w:tcBorders>
          </w:tcPr>
          <w:p>
            <w:pPr>
              <w:pStyle w:val="Normal"/>
              <w:widowControl/>
              <w:spacing w:before="0" w:after="0"/>
              <w:contextualSpacing/>
              <w:rPr>
                <w:rFonts w:eastAsia="Calibri"/>
                <w:b/>
                <w:sz w:val="22"/>
                <w:szCs w:val="22"/>
              </w:rPr>
            </w:pPr>
            <w:r>
              <w:rPr>
                <w:rFonts w:eastAsia="Calibri"/>
                <w:b/>
                <w:sz w:val="22"/>
                <w:szCs w:val="22"/>
              </w:rPr>
              <w:t>1.</w:t>
            </w:r>
          </w:p>
        </w:tc>
        <w:tc>
          <w:tcPr>
            <w:tcW w:w="5812" w:type="dxa"/>
            <w:tcBorders>
              <w:top w:val="single" w:sz="4" w:space="0" w:color="000000"/>
              <w:left w:val="single" w:sz="4" w:space="0" w:color="000000"/>
              <w:bottom w:val="single" w:sz="4" w:space="0" w:color="000000"/>
              <w:right w:val="single" w:sz="4" w:space="0" w:color="000000"/>
            </w:tcBorders>
          </w:tcPr>
          <w:p>
            <w:pPr>
              <w:pStyle w:val="Normal"/>
              <w:rPr>
                <w:b/>
                <w:iCs/>
                <w:sz w:val="22"/>
                <w:szCs w:val="22"/>
              </w:rPr>
            </w:pPr>
            <w:r>
              <w:rPr>
                <w:b/>
                <w:iCs/>
                <w:sz w:val="22"/>
                <w:szCs w:val="22"/>
              </w:rPr>
              <w:t>Работы по восстановлению Оборудования, в том числе:</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iCs/>
                <w:sz w:val="22"/>
                <w:szCs w:val="22"/>
              </w:rPr>
              <w:t>Условная единица</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iCs/>
                <w:sz w:val="22"/>
                <w:szCs w:val="22"/>
              </w:rPr>
              <w:t>1</w:t>
            </w:r>
          </w:p>
        </w:tc>
      </w:tr>
      <w:tr>
        <w:trPr/>
        <w:tc>
          <w:tcPr>
            <w:tcW w:w="850" w:type="dxa"/>
            <w:tcBorders>
              <w:top w:val="single" w:sz="4" w:space="0" w:color="000000"/>
              <w:left w:val="single" w:sz="4" w:space="0" w:color="000000"/>
              <w:bottom w:val="single" w:sz="4" w:space="0" w:color="000000"/>
              <w:right w:val="single" w:sz="4" w:space="0" w:color="000000"/>
            </w:tcBorders>
          </w:tcPr>
          <w:p>
            <w:pPr>
              <w:pStyle w:val="Normal"/>
              <w:widowControl/>
              <w:numPr>
                <w:ilvl w:val="1"/>
                <w:numId w:val="6"/>
              </w:numPr>
              <w:spacing w:before="0" w:after="0"/>
              <w:ind w:hanging="0"/>
              <w:contextualSpacing/>
              <w:rPr>
                <w:rFonts w:eastAsia="Calibri"/>
                <w:b/>
                <w:sz w:val="22"/>
                <w:szCs w:val="22"/>
              </w:rPr>
            </w:pPr>
            <w:r>
              <w:rPr>
                <w:rFonts w:eastAsia="Calibri"/>
                <w:b/>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Восстановительный ремонт дизель-электрического агрегата GMU-405EW</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b/>
                <w:iCs/>
                <w:sz w:val="22"/>
                <w:szCs w:val="22"/>
              </w:rPr>
            </w:pPr>
            <w:r>
              <w:rPr>
                <w:b/>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b/>
                <w:iCs/>
                <w:sz w:val="22"/>
                <w:szCs w:val="22"/>
              </w:rPr>
            </w:pPr>
            <w:r>
              <w:rPr>
                <w:b/>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Подготовка блока цилиндров (Зачистка наружных поверхностей, удаление следов коррозии, зачистка зарубашечного пространства, шлифовка привалочной поверхности под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Запрессовка гильз цилиндров с новыми уплотнительными кольцами</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Зачистка поршней, установка новых поршневых колец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поршней с шатунами</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форсунок охлаждения поршней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Установка переднего и заднего сальников коленвала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масляного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масляного поддона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демпфера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маховика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Ревизия ГБЦ (зачистка, притирка клапанов, сборка с заменой уплотнений)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распредвалов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ГРМ (блоки коромысел)</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Регулировка тепловых зазоров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Проверка тайминга распредвала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блока термостатов с заменой термостатов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маслоохладителя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масляного модуля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масляной системы</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топливных форсунок</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ТНВД</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топливоподкачивающего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топливных фильтров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топливной системы</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крышек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блока шестерен</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привода вентилятора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выхлопного коллектора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турбокомпрессоров и их маслопроводов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воздуха наддува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впускного коллектора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нового водяного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системы охлаждения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системы вентиляции картера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жгута проводов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зарядного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стартера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электронного блока управления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дополнительного оборудования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Техническое обслуживание силового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Замена подшипника силового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ДВС и генератора на раму и их стыковка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радиатора и вентилятора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щита управления ДГУ</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Заправка ДГУ маслом и ОЖ</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Покраска ДВС</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hanging="0"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color w:val="000000"/>
                <w:sz w:val="22"/>
                <w:szCs w:val="22"/>
              </w:rPr>
            </w:pPr>
            <w:r>
              <w:rPr>
                <w:color w:val="000000"/>
                <w:sz w:val="22"/>
                <w:szCs w:val="22"/>
              </w:rPr>
              <w:t>Испытания ДГУ под нагрузкой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1"/>
                <w:numId w:val="11"/>
              </w:numPr>
              <w:ind w:hanging="0" w:left="720"/>
              <w:rPr>
                <w:b/>
                <w:sz w:val="22"/>
                <w:szCs w:val="22"/>
              </w:rPr>
            </w:pPr>
            <w:r>
              <w:rPr>
                <w:b/>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Восстановительный ремонт дизель-электрического агрегата агрегат GMU-1260EW мощностью 1250/1000 кВА/кВт</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b/>
                <w:sz w:val="22"/>
                <w:szCs w:val="22"/>
              </w:rPr>
            </w:pPr>
            <w:r>
              <w:rPr>
                <w:b/>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Подготовка блока цилиндров (Зачистка наружных  поверхностей, удаление следов коррозии, зачистка зарубашечного пространства, шлифовка привалочной поверхности под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Запрессовка гильз цилиндров с новыми уплотнительными кольцами</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Зачистка поршней, установка новых поршневых колец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поршней с шатунами</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форсунок охлаждения поршней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Установка переднего и заднего сальников коленвала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масляного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масляного поддона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демпфера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маховика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Ревизия ГБЦ (зачистка, притирка клапанов, сборка с заменой уплотнений)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повторителей распредвала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ГРМ (штанги, блоки коромысел)</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Регулировка тепловых зазоров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Подготовка блока цилиндров (Зачистка наружных  поверхностей, удаление следов коррозии, зачистка зарубашечного пространства, шлифовка привалочной поверхности под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Проверка тайминга распредвала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блока термостатов с заменой термостатов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маслоохладителя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масляных фильтров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масляной системы</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топливных форсунок</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ТНВД</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топливоподкачивающего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топливных фильтров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топливной системы</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крышек ГБЦ</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18</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блока шестерен</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привода вентилятора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выхлопного коллектора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турбокомпрессоров и их маслопроводов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2</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color w:val="000000"/>
                <w:sz w:val="22"/>
                <w:szCs w:val="22"/>
              </w:rPr>
              <w:t>шт.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выхлопного колена ТКР</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воздуха наддува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впускного коллектора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водяного насоса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трубопроводов системы охлаждения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системы вентиляции картера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жгута проводов</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зарядного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стартера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электронного блока управления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дополнительного оборудования</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Техническое обслуживание силового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Замена подшипника силового генератора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ДВС и генератора на раму и их стыковка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радиатора и вентилятора</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Монтаж щита управления ДГУ</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Заправка ДГУ маслом и ОЖ</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i/>
                <w:i/>
                <w:sz w:val="22"/>
                <w:szCs w:val="22"/>
              </w:rPr>
            </w:pPr>
            <w:r>
              <w:rPr>
                <w:color w:val="000000"/>
                <w:sz w:val="22"/>
                <w:szCs w:val="22"/>
              </w:rPr>
              <w:t>Покраска ДВС</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
                <w:i/>
                <w:sz w:val="22"/>
                <w:szCs w:val="22"/>
              </w:rPr>
            </w:pPr>
            <w:r>
              <w:rPr>
                <w:iCs/>
                <w:sz w:val="22"/>
                <w:szCs w:val="22"/>
              </w:rPr>
              <w:t>комплект</w:t>
            </w:r>
          </w:p>
        </w:tc>
      </w:tr>
      <w:tr>
        <w:trPr/>
        <w:tc>
          <w:tcPr>
            <w:tcW w:w="850" w:type="dxa"/>
            <w:tcBorders>
              <w:top w:val="single" w:sz="4" w:space="0" w:color="000000"/>
              <w:left w:val="single" w:sz="4" w:space="0" w:color="000000"/>
              <w:bottom w:val="single" w:sz="4" w:space="0" w:color="000000"/>
              <w:right w:val="single" w:sz="4" w:space="0" w:color="000000"/>
            </w:tcBorders>
          </w:tcPr>
          <w:p>
            <w:pPr>
              <w:pStyle w:val="ListParagraph"/>
              <w:widowControl/>
              <w:numPr>
                <w:ilvl w:val="2"/>
                <w:numId w:val="11"/>
              </w:numPr>
              <w:ind w:firstLine="37" w:left="720"/>
              <w:rPr>
                <w:sz w:val="22"/>
                <w:szCs w:val="22"/>
              </w:rPr>
            </w:pPr>
            <w:r>
              <w:rPr>
                <w:sz w:val="22"/>
                <w:szCs w:val="22"/>
              </w:rPr>
            </w:r>
          </w:p>
        </w:tc>
        <w:tc>
          <w:tcPr>
            <w:tcW w:w="5812" w:type="dxa"/>
            <w:tcBorders>
              <w:top w:val="single" w:sz="4" w:space="0" w:color="000000"/>
              <w:left w:val="single" w:sz="4" w:space="0" w:color="000000"/>
              <w:bottom w:val="single" w:sz="4" w:space="0" w:color="000000"/>
              <w:right w:val="single" w:sz="4" w:space="0" w:color="000000"/>
            </w:tcBorders>
          </w:tcPr>
          <w:p>
            <w:pPr>
              <w:pStyle w:val="Normal"/>
              <w:rPr>
                <w:color w:val="000000"/>
                <w:sz w:val="22"/>
                <w:szCs w:val="22"/>
              </w:rPr>
            </w:pPr>
            <w:r>
              <w:rPr>
                <w:color w:val="000000"/>
                <w:sz w:val="22"/>
                <w:szCs w:val="22"/>
              </w:rPr>
              <w:t>Испытания ДГУ под нагрузкой</w:t>
            </w:r>
          </w:p>
        </w:tc>
        <w:tc>
          <w:tcPr>
            <w:tcW w:w="169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1</w:t>
            </w:r>
          </w:p>
        </w:tc>
        <w:tc>
          <w:tcPr>
            <w:tcW w:w="1419" w:type="dxa"/>
            <w:tcBorders>
              <w:top w:val="single" w:sz="4" w:space="0" w:color="000000"/>
              <w:left w:val="single" w:sz="4" w:space="0" w:color="000000"/>
              <w:bottom w:val="single" w:sz="4" w:space="0" w:color="000000"/>
              <w:right w:val="single" w:sz="4" w:space="0" w:color="000000"/>
            </w:tcBorders>
          </w:tcPr>
          <w:p>
            <w:pPr>
              <w:pStyle w:val="Normal"/>
              <w:jc w:val="center"/>
              <w:rPr>
                <w:iCs/>
                <w:sz w:val="22"/>
                <w:szCs w:val="22"/>
              </w:rPr>
            </w:pPr>
            <w:r>
              <w:rPr>
                <w:iCs/>
                <w:sz w:val="22"/>
                <w:szCs w:val="22"/>
              </w:rPr>
              <w:t>комплект</w:t>
            </w:r>
          </w:p>
        </w:tc>
      </w:tr>
    </w:tbl>
    <w:p>
      <w:pPr>
        <w:pStyle w:val="Normal"/>
        <w:rPr>
          <w:sz w:val="24"/>
          <w:szCs w:val="24"/>
        </w:rPr>
      </w:pPr>
      <w:r>
        <w:rPr>
          <w:sz w:val="24"/>
          <w:szCs w:val="24"/>
        </w:rPr>
      </w:r>
      <w:bookmarkStart w:id="29" w:name="_Toc127455427"/>
      <w:bookmarkStart w:id="30" w:name="_Toc127455427"/>
      <w:bookmarkEnd w:id="30"/>
    </w:p>
    <w:p>
      <w:pPr>
        <w:pStyle w:val="Normal"/>
        <w:jc w:val="both"/>
        <w:rPr>
          <w:sz w:val="24"/>
          <w:szCs w:val="24"/>
        </w:rPr>
      </w:pPr>
      <w:r>
        <w:rPr>
          <w:sz w:val="24"/>
          <w:szCs w:val="24"/>
        </w:rPr>
        <w:t>Объем работ по восстановлению оборудования, приведенного в Таблицах 2.1, 2.2, сформирован по результатам (рекомендациям) проведенного обследования ДГУ, разрабатывается Исполнителем и согласовывается с Заказчиком на этапе исполнения договора.</w:t>
      </w:r>
    </w:p>
    <w:p>
      <w:pPr>
        <w:pStyle w:val="Normal"/>
        <w:rPr>
          <w:sz w:val="24"/>
          <w:szCs w:val="24"/>
        </w:rPr>
      </w:pPr>
      <w:r>
        <w:rPr>
          <w:sz w:val="24"/>
          <w:szCs w:val="24"/>
        </w:rPr>
      </w:r>
    </w:p>
    <w:p>
      <w:pPr>
        <w:pStyle w:val="411"/>
        <w:numPr>
          <w:ilvl w:val="2"/>
          <w:numId w:val="4"/>
        </w:numPr>
        <w:shd w:val="clear" w:color="auto" w:fill="FFFFFF" w:themeFill="background1"/>
        <w:rPr/>
      </w:pPr>
      <w:bookmarkStart w:id="31" w:name="_Toc237337343"/>
      <w:bookmarkStart w:id="32" w:name="_Toc51339696"/>
      <w:bookmarkStart w:id="33" w:name="_Toc127455449"/>
      <w:bookmarkStart w:id="34" w:name="_Toc127455444"/>
      <w:bookmarkStart w:id="35" w:name="_Toc127455439"/>
      <w:bookmarkStart w:id="36" w:name="_Toc127455434"/>
      <w:bookmarkStart w:id="37" w:name="_Toc127455429"/>
      <w:bookmarkEnd w:id="33"/>
      <w:bookmarkEnd w:id="34"/>
      <w:bookmarkEnd w:id="35"/>
      <w:bookmarkEnd w:id="36"/>
      <w:bookmarkEnd w:id="37"/>
      <w:r>
        <w:rPr/>
        <w:t xml:space="preserve">Требования </w:t>
      </w:r>
      <w:bookmarkEnd w:id="32"/>
      <w:r>
        <w:rPr/>
        <w:t>к срокам поставки продукции и оказания сопутствующих услуг</w:t>
      </w:r>
      <w:bookmarkEnd w:id="31"/>
    </w:p>
    <w:p>
      <w:pPr>
        <w:pStyle w:val="Style37"/>
        <w:ind w:left="0"/>
        <w:jc w:val="left"/>
        <w:rPr>
          <w:b/>
        </w:rPr>
      </w:pPr>
      <w:bookmarkStart w:id="38" w:name="_Toc237337351"/>
      <w:bookmarkStart w:id="39" w:name="_Toc50125127"/>
      <w:bookmarkStart w:id="40" w:name="_Toc51339697"/>
      <w:r>
        <w:rPr>
          <w:b/>
        </w:rPr>
        <w:t xml:space="preserve">Таблица 2.3 </w:t>
      </w:r>
      <w:bookmarkStart w:id="41" w:name="_Hlk50465284"/>
      <w:r>
        <w:rPr>
          <w:b/>
        </w:rPr>
        <w:t xml:space="preserve">Требования по срокам </w:t>
      </w:r>
      <w:bookmarkEnd w:id="39"/>
      <w:bookmarkEnd w:id="40"/>
      <w:bookmarkEnd w:id="41"/>
      <w:r>
        <w:rPr>
          <w:b/>
        </w:rPr>
        <w:t>поставки продукции</w:t>
      </w:r>
      <w:bookmarkEnd w:id="38"/>
      <w:r>
        <w:rPr>
          <w:b/>
        </w:rPr>
        <w:t xml:space="preserve"> </w:t>
      </w:r>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88"/>
        <w:gridCol w:w="2696"/>
        <w:gridCol w:w="2976"/>
        <w:gridCol w:w="3115"/>
      </w:tblGrid>
      <w:tr>
        <w:trPr/>
        <w:tc>
          <w:tcPr>
            <w:tcW w:w="988"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 xml:space="preserve">№ </w:t>
            </w:r>
            <w:r>
              <w:rPr>
                <w:sz w:val="24"/>
                <w:szCs w:val="24"/>
              </w:rPr>
              <w:t>п/п</w:t>
            </w:r>
          </w:p>
        </w:tc>
        <w:tc>
          <w:tcPr>
            <w:tcW w:w="2696"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Наименование продукции / партии продукции</w:t>
            </w:r>
          </w:p>
        </w:tc>
        <w:tc>
          <w:tcPr>
            <w:tcW w:w="2976" w:type="dxa"/>
            <w:tcBorders>
              <w:top w:val="single" w:sz="4" w:space="0" w:color="00000A"/>
              <w:left w:val="single" w:sz="4" w:space="0" w:color="00000A"/>
              <w:bottom w:val="single" w:sz="4" w:space="0" w:color="00000A"/>
              <w:right w:val="single" w:sz="4" w:space="0" w:color="00000A"/>
            </w:tcBorders>
          </w:tcPr>
          <w:p>
            <w:pPr>
              <w:pStyle w:val="Normal"/>
              <w:jc w:val="center"/>
              <w:rPr>
                <w:sz w:val="24"/>
                <w:szCs w:val="24"/>
              </w:rPr>
            </w:pPr>
            <w:r>
              <w:rPr>
                <w:sz w:val="24"/>
                <w:szCs w:val="24"/>
              </w:rPr>
              <w:t>Требования к началу срока поставки продукции</w:t>
            </w:r>
          </w:p>
        </w:tc>
        <w:tc>
          <w:tcPr>
            <w:tcW w:w="3115"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Требования к окончанию срока поставки продукции</w:t>
            </w:r>
          </w:p>
        </w:tc>
      </w:tr>
      <w:tr>
        <w:trPr/>
        <w:tc>
          <w:tcPr>
            <w:tcW w:w="988" w:type="dxa"/>
            <w:tcBorders>
              <w:top w:val="single" w:sz="4" w:space="0" w:color="00000A"/>
              <w:left w:val="single" w:sz="4" w:space="0" w:color="00000A"/>
              <w:bottom w:val="single" w:sz="4" w:space="0" w:color="00000A"/>
              <w:right w:val="single" w:sz="4" w:space="0" w:color="00000A"/>
            </w:tcBorders>
          </w:tcPr>
          <w:p>
            <w:pPr>
              <w:pStyle w:val="ListParagraph"/>
              <w:widowControl/>
              <w:numPr>
                <w:ilvl w:val="0"/>
                <w:numId w:val="5"/>
              </w:numPr>
              <w:rPr/>
            </w:pPr>
            <w:r>
              <w:rPr/>
            </w:r>
          </w:p>
        </w:tc>
        <w:tc>
          <w:tcPr>
            <w:tcW w:w="269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Поставка МТР для восстановительного ремонта</w:t>
            </w:r>
          </w:p>
        </w:tc>
        <w:tc>
          <w:tcPr>
            <w:tcW w:w="297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 даты, следующей за датой подписания Договора</w:t>
            </w:r>
          </w:p>
        </w:tc>
        <w:tc>
          <w:tcPr>
            <w:tcW w:w="3115"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160 календарных дней с даты, следующей за датой подписания Договора</w:t>
            </w:r>
          </w:p>
        </w:tc>
      </w:tr>
      <w:tr>
        <w:trPr/>
        <w:tc>
          <w:tcPr>
            <w:tcW w:w="988" w:type="dxa"/>
            <w:tcBorders>
              <w:top w:val="single" w:sz="4" w:space="0" w:color="00000A"/>
              <w:left w:val="single" w:sz="4" w:space="0" w:color="00000A"/>
              <w:bottom w:val="single" w:sz="4" w:space="0" w:color="00000A"/>
              <w:right w:val="single" w:sz="4" w:space="0" w:color="00000A"/>
            </w:tcBorders>
          </w:tcPr>
          <w:p>
            <w:pPr>
              <w:pStyle w:val="ListParagraph"/>
              <w:widowControl/>
              <w:numPr>
                <w:ilvl w:val="0"/>
                <w:numId w:val="5"/>
              </w:numPr>
              <w:rPr/>
            </w:pPr>
            <w:r>
              <w:rPr/>
            </w:r>
          </w:p>
        </w:tc>
        <w:tc>
          <w:tcPr>
            <w:tcW w:w="269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iCs/>
                <w:sz w:val="24"/>
                <w:szCs w:val="24"/>
              </w:rPr>
              <w:t>Работы по восстановлению оборудования</w:t>
            </w:r>
          </w:p>
        </w:tc>
        <w:tc>
          <w:tcPr>
            <w:tcW w:w="297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 даты, следующей за датой подписания Договора</w:t>
            </w:r>
          </w:p>
        </w:tc>
        <w:tc>
          <w:tcPr>
            <w:tcW w:w="3115"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200 календарных дней с даты, следующей за датой подписания Договора</w:t>
            </w:r>
          </w:p>
        </w:tc>
      </w:tr>
      <w:tr>
        <w:trPr/>
        <w:tc>
          <w:tcPr>
            <w:tcW w:w="988"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5"/>
              </w:numPr>
              <w:ind w:hanging="22" w:left="22"/>
              <w:rPr/>
            </w:pPr>
            <w:r>
              <w:rPr/>
            </w:r>
          </w:p>
        </w:tc>
        <w:tc>
          <w:tcPr>
            <w:tcW w:w="2696" w:type="dxa"/>
            <w:tcBorders>
              <w:top w:val="single" w:sz="4" w:space="0" w:color="00000A"/>
              <w:left w:val="single" w:sz="4" w:space="0" w:color="00000A"/>
              <w:bottom w:val="single" w:sz="4" w:space="0" w:color="00000A"/>
              <w:right w:val="single" w:sz="4" w:space="0" w:color="00000A"/>
            </w:tcBorders>
          </w:tcPr>
          <w:p>
            <w:pPr>
              <w:pStyle w:val="Normal"/>
              <w:rPr>
                <w:iCs/>
                <w:sz w:val="24"/>
                <w:szCs w:val="24"/>
              </w:rPr>
            </w:pPr>
            <w:r>
              <w:rPr>
                <w:iCs/>
                <w:sz w:val="24"/>
                <w:szCs w:val="24"/>
              </w:rPr>
              <w:t>Проведение испытаний</w:t>
            </w:r>
          </w:p>
        </w:tc>
        <w:tc>
          <w:tcPr>
            <w:tcW w:w="297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 даты окончания работ по восстановлению</w:t>
            </w:r>
          </w:p>
        </w:tc>
        <w:tc>
          <w:tcPr>
            <w:tcW w:w="3115"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В соответствии с НТД</w:t>
            </w:r>
          </w:p>
        </w:tc>
      </w:tr>
    </w:tbl>
    <w:p>
      <w:pPr>
        <w:pStyle w:val="Normal"/>
        <w:jc w:val="center"/>
        <w:rPr/>
      </w:pPr>
      <w:r>
        <w:rPr/>
      </w:r>
    </w:p>
    <w:p>
      <w:pPr>
        <w:sectPr>
          <w:headerReference w:type="default" r:id="rId8"/>
          <w:headerReference w:type="first" r:id="rId9"/>
          <w:footerReference w:type="default" r:id="rId10"/>
          <w:footerReference w:type="first" r:id="rId11"/>
          <w:type w:val="nextPage"/>
          <w:pgSz w:w="11906" w:h="16838"/>
          <w:pgMar w:left="1418" w:right="851" w:gutter="0" w:header="709" w:top="1134" w:footer="709" w:bottom="851"/>
          <w:pgNumType w:fmt="decimal"/>
          <w:formProt w:val="false"/>
          <w:textDirection w:val="lrTb"/>
          <w:docGrid w:type="default" w:linePitch="360" w:charSpace="106496"/>
        </w:sectPr>
        <w:pStyle w:val="Normal"/>
        <w:rPr/>
      </w:pPr>
      <w:r>
        <w:rPr/>
      </w:r>
      <w:r>
        <w:br w:type="page"/>
      </w:r>
    </w:p>
    <w:p>
      <w:pPr>
        <w:pStyle w:val="411"/>
        <w:numPr>
          <w:ilvl w:val="1"/>
          <w:numId w:val="4"/>
        </w:numPr>
        <w:shd w:val="clear" w:color="auto" w:fill="FFFFFF" w:themeFill="background1"/>
        <w:rPr>
          <w:bCs w:val="false"/>
          <w:iCs/>
        </w:rPr>
      </w:pPr>
      <w:bookmarkStart w:id="42" w:name="_Toc54970191"/>
      <w:bookmarkStart w:id="43" w:name="_Toc54970190"/>
      <w:bookmarkStart w:id="44" w:name="_Toc46743511_Копия_1"/>
      <w:bookmarkEnd w:id="44"/>
      <w:r>
        <w:rPr>
          <w:bCs w:val="false"/>
          <w:iCs/>
        </w:rPr>
        <w:t xml:space="preserve">Требования к качеству </w:t>
      </w:r>
      <w:bookmarkEnd w:id="43"/>
      <w:r>
        <w:rPr>
          <w:bCs w:val="false"/>
          <w:iCs/>
        </w:rPr>
        <w:t>продукции</w:t>
      </w:r>
      <w:bookmarkEnd w:id="42"/>
    </w:p>
    <w:p>
      <w:pPr>
        <w:pStyle w:val="411"/>
        <w:numPr>
          <w:ilvl w:val="2"/>
          <w:numId w:val="4"/>
        </w:numPr>
        <w:shd w:val="clear" w:color="auto" w:fill="FFFFFF" w:themeFill="background1"/>
        <w:rPr>
          <w:bCs w:val="false"/>
          <w:iCs/>
        </w:rPr>
      </w:pPr>
      <w:r>
        <w:rPr>
          <w:bCs w:val="false"/>
          <w:iCs/>
        </w:rPr>
        <w:t>Требования к выполнению работ/ оказанию услуг</w:t>
      </w:r>
    </w:p>
    <w:p>
      <w:pPr>
        <w:pStyle w:val="411"/>
        <w:numPr>
          <w:ilvl w:val="0"/>
        </w:numPr>
        <w:shd w:val="clear" w:color="auto" w:fill="FFFFFF" w:themeFill="background1"/>
        <w:ind w:hanging="0" w:left="1224"/>
        <w:rPr>
          <w:lang w:eastAsia="en-US"/>
        </w:rPr>
      </w:pPr>
      <w:r>
        <w:rPr>
          <w:iCs/>
        </w:rPr>
        <w:t xml:space="preserve">Таблица 2.4 </w:t>
      </w:r>
      <w:r>
        <w:rPr>
          <w:bCs w:val="false"/>
          <w:iCs/>
        </w:rPr>
        <w:t>Требования к выполнению работ/ оказанию услуг</w:t>
      </w:r>
    </w:p>
    <w:tbl>
      <w:tblPr>
        <w:tblW w:w="15304" w:type="dxa"/>
        <w:jc w:val="left"/>
        <w:tblInd w:w="0" w:type="dxa"/>
        <w:tblLayout w:type="fixed"/>
        <w:tblCellMar>
          <w:top w:w="55" w:type="dxa"/>
          <w:left w:w="108" w:type="dxa"/>
          <w:bottom w:w="55" w:type="dxa"/>
          <w:right w:w="108" w:type="dxa"/>
        </w:tblCellMar>
        <w:tblLook w:val="04a0" w:noHBand="0" w:noVBand="1" w:firstColumn="1" w:lastRow="0" w:lastColumn="0" w:firstRow="1"/>
      </w:tblPr>
      <w:tblGrid>
        <w:gridCol w:w="797"/>
        <w:gridCol w:w="2317"/>
        <w:gridCol w:w="1024"/>
        <w:gridCol w:w="5070"/>
        <w:gridCol w:w="1985"/>
        <w:gridCol w:w="2268"/>
        <w:gridCol w:w="1842"/>
      </w:tblGrid>
      <w:tr>
        <w:trPr>
          <w:tblHeader w:val="true"/>
          <w:trHeight w:val="276" w:hRule="atLeast"/>
        </w:trPr>
        <w:tc>
          <w:tcPr>
            <w:tcW w:w="797" w:type="dxa"/>
            <w:vMerge w:val="restart"/>
            <w:tcBorders>
              <w:top w:val="single" w:sz="4" w:space="0" w:color="000000"/>
              <w:left w:val="single" w:sz="4" w:space="0" w:color="000000"/>
              <w:bottom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п/п</w:t>
            </w:r>
          </w:p>
        </w:tc>
        <w:tc>
          <w:tcPr>
            <w:tcW w:w="2317" w:type="dxa"/>
            <w:vMerge w:val="restart"/>
            <w:tcBorders>
              <w:top w:val="single" w:sz="4" w:space="0" w:color="000000"/>
              <w:left w:val="single" w:sz="4" w:space="0" w:color="000000"/>
              <w:bottom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Наименование параметра</w:t>
            </w:r>
          </w:p>
        </w:tc>
        <w:tc>
          <w:tcPr>
            <w:tcW w:w="6094"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Требование Заказчика</w:t>
            </w:r>
          </w:p>
        </w:tc>
        <w:tc>
          <w:tcPr>
            <w:tcW w:w="4253" w:type="dxa"/>
            <w:gridSpan w:val="2"/>
            <w:tcBorders>
              <w:top w:val="single" w:sz="4" w:space="0" w:color="000000"/>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Способ подтверждения участником соответствия требованиям</w:t>
            </w:r>
          </w:p>
        </w:tc>
        <w:tc>
          <w:tcPr>
            <w:tcW w:w="1842" w:type="dxa"/>
            <w:vMerge w:val="restart"/>
            <w:tcBorders>
              <w:top w:val="single" w:sz="4" w:space="0" w:color="000000"/>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Предложение участника по характеристикам и параметрам</w:t>
            </w:r>
          </w:p>
        </w:tc>
      </w:tr>
      <w:tr>
        <w:trPr>
          <w:trHeight w:val="276" w:hRule="atLeast"/>
        </w:trPr>
        <w:tc>
          <w:tcPr>
            <w:tcW w:w="797" w:type="dxa"/>
            <w:vMerge w:val="continue"/>
            <w:tcBorders>
              <w:left w:val="single" w:sz="4" w:space="0" w:color="000000"/>
              <w:bottom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c>
          <w:tcPr>
            <w:tcW w:w="2317" w:type="dxa"/>
            <w:vMerge w:val="continue"/>
            <w:tcBorders>
              <w:left w:val="single" w:sz="4" w:space="0" w:color="000000"/>
              <w:bottom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c>
          <w:tcPr>
            <w:tcW w:w="6094" w:type="dxa"/>
            <w:gridSpan w:val="2"/>
            <w:vMerge w:val="continue"/>
            <w:tcBorders>
              <w:left w:val="single" w:sz="4" w:space="0" w:color="000000"/>
              <w:bottom w:val="single" w:sz="4" w:space="0" w:color="000000"/>
              <w:right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sz w:val="24"/>
                <w:szCs w:val="24"/>
                <w:shd w:fill="auto" w:val="clear"/>
              </w:rPr>
            </w:pPr>
            <w:r>
              <w:rPr/>
              <w:t>Согласие с требованием/ указание характеристик</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sz w:val="24"/>
                <w:szCs w:val="24"/>
                <w:shd w:fill="auto" w:val="clear"/>
              </w:rPr>
            </w:pPr>
            <w:r>
              <w:rPr/>
              <w:t>Предоставление подтверждающего документа или иной способ подтверждения</w:t>
            </w:r>
          </w:p>
        </w:tc>
        <w:tc>
          <w:tcPr>
            <w:tcW w:w="1842" w:type="dxa"/>
            <w:vMerge w:val="continue"/>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r>
      <w:tr>
        <w:trPr/>
        <w:tc>
          <w:tcPr>
            <w:tcW w:w="797" w:type="dxa"/>
            <w:tcBorders>
              <w:left w:val="single" w:sz="4" w:space="0" w:color="000000"/>
              <w:bottom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1</w:t>
            </w:r>
          </w:p>
        </w:tc>
        <w:tc>
          <w:tcPr>
            <w:tcW w:w="2317" w:type="dxa"/>
            <w:tcBorders>
              <w:left w:val="single" w:sz="4" w:space="0" w:color="000000"/>
              <w:bottom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2</w:t>
            </w:r>
          </w:p>
        </w:tc>
        <w:tc>
          <w:tcPr>
            <w:tcW w:w="6094" w:type="dxa"/>
            <w:gridSpan w:val="2"/>
            <w:tcBorders>
              <w:left w:val="single" w:sz="4" w:space="0" w:color="000000"/>
              <w:bottom w:val="single" w:sz="4" w:space="0" w:color="000000"/>
              <w:right w:val="single" w:sz="4" w:space="0" w:color="000000"/>
            </w:tcBorders>
            <w:vAlign w:val="center"/>
          </w:tcPr>
          <w:p>
            <w:pPr>
              <w:pStyle w:val="Normal"/>
              <w:shd w:val="clear" w:color="auto" w:fill="FFFFFF" w:themeFill="background1"/>
              <w:jc w:val="center"/>
              <w:rPr>
                <w:sz w:val="24"/>
                <w:szCs w:val="24"/>
              </w:rPr>
            </w:pPr>
            <w:r>
              <w:rPr>
                <w:rStyle w:val="Style5"/>
                <w:b w:val="false"/>
                <w:i w:val="false"/>
                <w:color w:val="000000"/>
                <w:sz w:val="24"/>
                <w:szCs w:val="24"/>
                <w:shd w:fill="auto" w:val="clear"/>
              </w:rPr>
              <w:t>3</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4</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5</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6</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rPr>
                <w:rStyle w:val="Style5"/>
                <w:color w:val="000000"/>
                <w:sz w:val="24"/>
                <w:szCs w:val="24"/>
                <w:shd w:fill="auto" w:val="clear"/>
              </w:rPr>
            </w:pPr>
            <w:r>
              <w:rPr>
                <w:rStyle w:val="Style5"/>
                <w:b w:val="false"/>
                <w:i w:val="false"/>
                <w:color w:val="000000"/>
                <w:sz w:val="24"/>
                <w:szCs w:val="24"/>
                <w:shd w:fill="auto" w:val="clear"/>
              </w:rPr>
              <w:t>1.</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выполнению Работ/оказанию Услуг</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rPr>
                <w:rStyle w:val="Style5"/>
                <w:color w:val="000000"/>
                <w:sz w:val="24"/>
                <w:szCs w:val="24"/>
                <w:shd w:fill="auto" w:val="clear"/>
              </w:rPr>
            </w:pPr>
            <w:r>
              <w:rPr>
                <w:rStyle w:val="Style5"/>
                <w:b w:val="false"/>
                <w:i w:val="false"/>
                <w:color w:val="000000"/>
                <w:sz w:val="24"/>
                <w:szCs w:val="24"/>
                <w:shd w:fill="auto" w:val="clear"/>
              </w:rPr>
              <w:t>1.1.</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Общие требования к выполнению Работ / оказанию Услуг</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tcPr>
          <w:p>
            <w:pPr>
              <w:pStyle w:val="ListParagraph"/>
              <w:shd w:val="clear" w:color="auto" w:fill="FFFFFF" w:themeFill="background1"/>
              <w:spacing w:before="60" w:after="60"/>
              <w:ind w:left="0"/>
              <w:contextualSpacing/>
              <w:rPr>
                <w:sz w:val="24"/>
                <w:szCs w:val="24"/>
              </w:rPr>
            </w:pPr>
            <w:r>
              <w:rPr>
                <w:rStyle w:val="Style5"/>
                <w:b w:val="false"/>
                <w:i w:val="false"/>
                <w:color w:val="000000"/>
                <w:sz w:val="24"/>
                <w:szCs w:val="24"/>
                <w:shd w:fill="auto" w:val="clear"/>
              </w:rPr>
              <w:t>1.1.1.</w:t>
            </w:r>
          </w:p>
        </w:tc>
        <w:tc>
          <w:tcPr>
            <w:tcW w:w="2317" w:type="dxa"/>
            <w:tcBorders>
              <w:left w:val="single" w:sz="4" w:space="0" w:color="000000"/>
              <w:bottom w:val="single" w:sz="4" w:space="0" w:color="000000"/>
            </w:tcBorders>
          </w:tcPr>
          <w:p>
            <w:pPr>
              <w:pStyle w:val="Normal"/>
              <w:shd w:val="clear" w:color="auto" w:fill="FFFFFF" w:themeFill="background1"/>
              <w:rPr>
                <w:sz w:val="24"/>
                <w:szCs w:val="24"/>
              </w:rPr>
            </w:pPr>
            <w:r>
              <w:rPr>
                <w:rStyle w:val="Style5"/>
                <w:b w:val="false"/>
                <w:i w:val="false"/>
                <w:color w:val="000000"/>
                <w:sz w:val="24"/>
                <w:szCs w:val="24"/>
                <w:shd w:fill="auto" w:val="clear"/>
              </w:rPr>
              <w:t>Соблюдение требований, норм и правил нормативно-технических документов</w:t>
            </w:r>
          </w:p>
        </w:tc>
        <w:tc>
          <w:tcPr>
            <w:tcW w:w="6094" w:type="dxa"/>
            <w:gridSpan w:val="2"/>
            <w:tcBorders>
              <w:left w:val="single" w:sz="4" w:space="0" w:color="000000"/>
              <w:bottom w:val="single" w:sz="4" w:space="0" w:color="000000"/>
              <w:right w:val="single" w:sz="4" w:space="0" w:color="000000"/>
            </w:tcBorders>
          </w:tcPr>
          <w:p>
            <w:pPr>
              <w:pStyle w:val="Normal"/>
              <w:jc w:val="both"/>
              <w:rPr>
                <w:rFonts w:eastAsia="Calibri"/>
                <w:sz w:val="24"/>
                <w:szCs w:val="24"/>
                <w:lang w:eastAsia="x-none"/>
              </w:rPr>
            </w:pPr>
            <w:r>
              <w:rPr>
                <w:sz w:val="24"/>
                <w:szCs w:val="24"/>
              </w:rPr>
              <w:t>При оказании Услуг, Исполнителем должны быть выполнены все операции и соблюдены все требования, предусмотрен</w:t>
            </w:r>
            <w:r>
              <w:rPr>
                <w:rFonts w:eastAsia="Calibri"/>
                <w:sz w:val="24"/>
                <w:szCs w:val="24"/>
                <w:lang w:eastAsia="x-none"/>
              </w:rPr>
              <w:t>ные:</w:t>
            </w:r>
          </w:p>
          <w:p>
            <w:pPr>
              <w:pStyle w:val="Normal"/>
              <w:jc w:val="both"/>
              <w:rPr>
                <w:rFonts w:eastAsia="Calibri"/>
                <w:sz w:val="24"/>
                <w:szCs w:val="24"/>
                <w:lang w:val="en-US" w:eastAsia="x-none"/>
              </w:rPr>
            </w:pPr>
            <w:r>
              <w:rPr>
                <w:rFonts w:eastAsia="Calibri"/>
                <w:sz w:val="24"/>
                <w:szCs w:val="24"/>
                <w:lang w:val="en-US" w:eastAsia="x-none"/>
              </w:rPr>
              <w:t xml:space="preserve">- </w:t>
            </w:r>
            <w:r>
              <w:rPr>
                <w:rFonts w:eastAsia="Calibri"/>
                <w:sz w:val="24"/>
                <w:szCs w:val="24"/>
                <w:lang w:eastAsia="x-none"/>
              </w:rPr>
              <w:t>Руководством</w:t>
            </w:r>
            <w:r>
              <w:rPr>
                <w:rFonts w:eastAsia="Calibri"/>
                <w:sz w:val="24"/>
                <w:szCs w:val="24"/>
                <w:lang w:val="en-US" w:eastAsia="x-none"/>
              </w:rPr>
              <w:t xml:space="preserve"> </w:t>
            </w:r>
            <w:r>
              <w:rPr>
                <w:rFonts w:eastAsia="Calibri"/>
                <w:sz w:val="24"/>
                <w:szCs w:val="24"/>
                <w:lang w:eastAsia="x-none"/>
              </w:rPr>
              <w:t>по</w:t>
            </w:r>
            <w:r>
              <w:rPr>
                <w:rFonts w:eastAsia="Calibri"/>
                <w:sz w:val="24"/>
                <w:szCs w:val="24"/>
                <w:lang w:val="en-US" w:eastAsia="x-none"/>
              </w:rPr>
              <w:t xml:space="preserve"> </w:t>
            </w:r>
            <w:r>
              <w:rPr>
                <w:rFonts w:eastAsia="Calibri"/>
                <w:sz w:val="24"/>
                <w:szCs w:val="24"/>
                <w:lang w:eastAsia="x-none"/>
              </w:rPr>
              <w:t>ремонту</w:t>
            </w:r>
            <w:r>
              <w:rPr>
                <w:rFonts w:eastAsia="Calibri"/>
                <w:sz w:val="24"/>
                <w:szCs w:val="24"/>
                <w:lang w:val="en-US" w:eastAsia="x-none"/>
              </w:rPr>
              <w:t xml:space="preserve"> MTU Technical Publication Diesel Engine 8V 1600 G70F &amp; 12V 1600 G70F;</w:t>
            </w:r>
          </w:p>
          <w:p>
            <w:pPr>
              <w:pStyle w:val="Normal"/>
              <w:jc w:val="both"/>
              <w:rPr>
                <w:rFonts w:eastAsia="Calibri"/>
                <w:sz w:val="24"/>
                <w:szCs w:val="24"/>
                <w:lang w:val="en-US" w:eastAsia="x-none"/>
              </w:rPr>
            </w:pPr>
            <w:r>
              <w:rPr>
                <w:rFonts w:eastAsia="Calibri"/>
                <w:sz w:val="24"/>
                <w:szCs w:val="24"/>
                <w:lang w:val="en-US" w:eastAsia="x-none"/>
              </w:rPr>
              <w:t xml:space="preserve">- </w:t>
            </w:r>
            <w:r>
              <w:rPr>
                <w:rFonts w:eastAsia="Calibri"/>
                <w:sz w:val="24"/>
                <w:szCs w:val="24"/>
                <w:lang w:eastAsia="x-none"/>
              </w:rPr>
              <w:t>Руководством</w:t>
            </w:r>
            <w:r>
              <w:rPr>
                <w:rFonts w:eastAsia="Calibri"/>
                <w:sz w:val="24"/>
                <w:szCs w:val="24"/>
                <w:lang w:val="en-US" w:eastAsia="x-none"/>
              </w:rPr>
              <w:t xml:space="preserve"> </w:t>
            </w:r>
            <w:r>
              <w:rPr>
                <w:rFonts w:eastAsia="Calibri"/>
                <w:sz w:val="24"/>
                <w:szCs w:val="24"/>
                <w:lang w:eastAsia="x-none"/>
              </w:rPr>
              <w:t>по</w:t>
            </w:r>
            <w:r>
              <w:rPr>
                <w:rFonts w:eastAsia="Calibri"/>
                <w:sz w:val="24"/>
                <w:szCs w:val="24"/>
                <w:lang w:val="en-US" w:eastAsia="x-none"/>
              </w:rPr>
              <w:t xml:space="preserve"> </w:t>
            </w:r>
            <w:r>
              <w:rPr>
                <w:rFonts w:eastAsia="Calibri"/>
                <w:sz w:val="24"/>
                <w:szCs w:val="24"/>
                <w:lang w:eastAsia="x-none"/>
              </w:rPr>
              <w:t>ремонту</w:t>
            </w:r>
            <w:r>
              <w:rPr>
                <w:rFonts w:eastAsia="Calibri"/>
                <w:sz w:val="24"/>
                <w:szCs w:val="24"/>
                <w:lang w:val="en-US" w:eastAsia="x-none"/>
              </w:rPr>
              <w:t xml:space="preserve"> MTU Technical Publication Diesel Engine 12V 2000 G02 &amp; 16V 2000 G02;</w:t>
            </w:r>
          </w:p>
          <w:p>
            <w:pPr>
              <w:pStyle w:val="Normal"/>
              <w:jc w:val="both"/>
              <w:rPr>
                <w:rFonts w:eastAsia="Calibri"/>
                <w:sz w:val="24"/>
                <w:szCs w:val="24"/>
                <w:lang w:eastAsia="x-none"/>
              </w:rPr>
            </w:pPr>
            <w:r>
              <w:rPr>
                <w:rFonts w:eastAsia="Calibri"/>
                <w:sz w:val="24"/>
                <w:szCs w:val="24"/>
                <w:lang w:eastAsia="x-none"/>
              </w:rPr>
              <w:t>- СТО 34.01-23.1-001-2017 «Объем и нормы испытаний электрооборудования»;</w:t>
            </w:r>
          </w:p>
          <w:p>
            <w:pPr>
              <w:pStyle w:val="Normal"/>
              <w:jc w:val="both"/>
              <w:rPr>
                <w:rFonts w:eastAsia="Calibri"/>
                <w:sz w:val="24"/>
                <w:szCs w:val="24"/>
                <w:lang w:eastAsia="x-none"/>
              </w:rPr>
            </w:pPr>
            <w:r>
              <w:rPr>
                <w:sz w:val="24"/>
                <w:szCs w:val="24"/>
              </w:rPr>
              <w:t xml:space="preserve">- РД 34.45-51.300-97 </w:t>
            </w:r>
            <w:r>
              <w:rPr>
                <w:rFonts w:eastAsia="Calibri"/>
                <w:sz w:val="24"/>
                <w:szCs w:val="24"/>
                <w:lang w:eastAsia="x-none"/>
              </w:rPr>
              <w:t>«Объем и нормы испытаний электрооборудования».</w:t>
            </w:r>
          </w:p>
          <w:p>
            <w:pPr>
              <w:pStyle w:val="Normal"/>
              <w:jc w:val="both"/>
              <w:rPr>
                <w:rFonts w:eastAsia="Calibri"/>
                <w:sz w:val="24"/>
                <w:szCs w:val="24"/>
                <w:lang w:eastAsia="x-none"/>
              </w:rPr>
            </w:pPr>
            <w:r>
              <w:rPr>
                <w:rFonts w:eastAsia="Calibri"/>
                <w:sz w:val="24"/>
                <w:szCs w:val="24"/>
                <w:lang w:eastAsia="x-none"/>
              </w:rPr>
              <w:t>Объем испытаний определяется программой проведение испытаний и согласовывается с Заказчиков.</w:t>
            </w:r>
          </w:p>
          <w:p>
            <w:pPr>
              <w:pStyle w:val="Normal"/>
              <w:jc w:val="both"/>
              <w:rPr>
                <w:sz w:val="24"/>
                <w:szCs w:val="24"/>
              </w:rPr>
            </w:pPr>
            <w:r>
              <w:rPr>
                <w:sz w:val="24"/>
                <w:szCs w:val="24"/>
              </w:rPr>
              <w:t>Исполнитель должен руководствоваться национальными, отраслевыми и корпоративными нормативно-техническими документами:</w:t>
            </w:r>
          </w:p>
          <w:p>
            <w:pPr>
              <w:pStyle w:val="Normal"/>
              <w:jc w:val="both"/>
              <w:rPr>
                <w:sz w:val="24"/>
                <w:szCs w:val="24"/>
              </w:rPr>
            </w:pPr>
            <w:r>
              <w:rPr>
                <w:sz w:val="24"/>
                <w:szCs w:val="24"/>
              </w:rPr>
              <w:t>- Правилами по охране труда при размещении, монтаже, техническом обслуживании и ремонте технологического оборудования, утвержденные приказом Министерства труда и социальной защиты Российской Федерации от 27.11.2020 №833Н;</w:t>
            </w:r>
          </w:p>
          <w:p>
            <w:pPr>
              <w:pStyle w:val="Normal"/>
              <w:jc w:val="both"/>
              <w:rPr>
                <w:sz w:val="24"/>
                <w:szCs w:val="24"/>
              </w:rPr>
            </w:pPr>
            <w:r>
              <w:rPr>
                <w:sz w:val="24"/>
                <w:szCs w:val="24"/>
              </w:rPr>
              <w:t>- Правилами по охране труда при эксплуатации электроустановок утв. Приказом Министерства труда и социальной защиты РФ от 15.12.2020 № 903н;</w:t>
            </w:r>
          </w:p>
          <w:p>
            <w:pPr>
              <w:pStyle w:val="Normal"/>
              <w:jc w:val="both"/>
              <w:rPr>
                <w:sz w:val="24"/>
                <w:szCs w:val="24"/>
              </w:rPr>
            </w:pPr>
            <w:r>
              <w:rPr>
                <w:sz w:val="24"/>
                <w:szCs w:val="24"/>
              </w:rPr>
              <w:t>- Правилами по охране труда при работе на высоте утв. Приказом Министерством труда и социальной защиты РФ от 16.11.2020 №782н;</w:t>
            </w:r>
          </w:p>
          <w:p>
            <w:pPr>
              <w:pStyle w:val="Normal"/>
              <w:jc w:val="both"/>
              <w:rPr>
                <w:sz w:val="24"/>
                <w:szCs w:val="24"/>
              </w:rPr>
            </w:pPr>
            <w:r>
              <w:rPr>
                <w:sz w:val="24"/>
                <w:szCs w:val="24"/>
              </w:rPr>
              <w:t>- СНиП 12-03-2001</w:t>
              <w:tab/>
              <w:t>Безопасность труда в строительстве. Часть 1. Общие требования;</w:t>
            </w:r>
          </w:p>
          <w:p>
            <w:pPr>
              <w:pStyle w:val="Normal"/>
              <w:jc w:val="both"/>
              <w:rPr>
                <w:sz w:val="24"/>
                <w:szCs w:val="24"/>
              </w:rPr>
            </w:pPr>
            <w:r>
              <w:rPr>
                <w:sz w:val="24"/>
                <w:szCs w:val="24"/>
              </w:rPr>
              <w:t>- СНиП 12-04-2002</w:t>
              <w:tab/>
              <w:t>Безопасность труда в строительстве. Часть 2. Строительное производство;</w:t>
            </w:r>
          </w:p>
          <w:p>
            <w:pPr>
              <w:pStyle w:val="Normal"/>
              <w:jc w:val="both"/>
              <w:rPr>
                <w:sz w:val="24"/>
                <w:szCs w:val="24"/>
              </w:rPr>
            </w:pPr>
            <w:r>
              <w:rPr>
                <w:sz w:val="24"/>
                <w:szCs w:val="24"/>
              </w:rPr>
              <w:t>- ПУЭ Правила устройства электрических установок (седьмое издание);</w:t>
            </w:r>
          </w:p>
          <w:p>
            <w:pPr>
              <w:pStyle w:val="Normal"/>
              <w:jc w:val="both"/>
              <w:rPr>
                <w:sz w:val="24"/>
                <w:szCs w:val="24"/>
              </w:rPr>
            </w:pPr>
            <w:r>
              <w:rPr>
                <w:sz w:val="24"/>
                <w:szCs w:val="24"/>
              </w:rPr>
              <w:t>- РД 153-34.0-03.301-00</w:t>
              <w:tab/>
              <w:t>Правила пожарной безопасности для энергетических предприятий;</w:t>
            </w:r>
          </w:p>
          <w:p>
            <w:pPr>
              <w:pStyle w:val="Normal"/>
              <w:jc w:val="both"/>
              <w:rPr>
                <w:sz w:val="24"/>
                <w:szCs w:val="24"/>
              </w:rPr>
            </w:pPr>
            <w:r>
              <w:rPr>
                <w:sz w:val="24"/>
                <w:szCs w:val="24"/>
              </w:rPr>
              <w:t>- Федеральным законом от 10.01.2002 № 7-ФЗ «Об охране окружающей среды».</w:t>
            </w:r>
          </w:p>
          <w:p>
            <w:pPr>
              <w:pStyle w:val="Normal"/>
              <w:jc w:val="both"/>
              <w:rPr>
                <w:sz w:val="24"/>
                <w:szCs w:val="24"/>
              </w:rPr>
            </w:pPr>
            <w:r>
              <w:rPr>
                <w:sz w:val="24"/>
                <w:szCs w:val="24"/>
              </w:rPr>
              <w:t>- ГОСТ Р 50571.3-94. Электроустановки зданий. Часть 4. Требования по обеспечению безопасности. Защита от поражения электрическим током.</w:t>
            </w:r>
          </w:p>
          <w:p>
            <w:pPr>
              <w:pStyle w:val="Normal"/>
              <w:jc w:val="both"/>
              <w:rPr>
                <w:sz w:val="24"/>
                <w:szCs w:val="24"/>
              </w:rPr>
            </w:pPr>
            <w:r>
              <w:rPr>
                <w:sz w:val="24"/>
                <w:szCs w:val="24"/>
              </w:rPr>
              <w:t>- ГОСТ Р 50571.16-99. Электроустановки зданий Часть 6. Испытания. Глава 61. Приемо-сдаточные испытания.</w:t>
            </w:r>
          </w:p>
          <w:p>
            <w:pPr>
              <w:pStyle w:val="Normal"/>
              <w:jc w:val="both"/>
              <w:rPr>
                <w:sz w:val="24"/>
                <w:szCs w:val="24"/>
              </w:rPr>
            </w:pPr>
            <w:r>
              <w:rPr>
                <w:sz w:val="24"/>
                <w:szCs w:val="24"/>
              </w:rPr>
              <w:t>- Правилами противопожарного режима в Российской Федерации (Постановление Правительства РФ от 16 сентября 2020 г. N 1479 "Об утверждении Правил противопожарного режима в Российской Федерации").</w:t>
            </w:r>
          </w:p>
          <w:p>
            <w:pPr>
              <w:pStyle w:val="Normal"/>
              <w:rPr>
                <w:sz w:val="24"/>
                <w:szCs w:val="24"/>
              </w:rPr>
            </w:pPr>
            <w:r>
              <w:rPr>
                <w:sz w:val="24"/>
                <w:szCs w:val="24"/>
              </w:rPr>
              <w:t>- Федеральным законом от 21.12.1994 N 69-ФЗ (ред. от 19.10.2023) "О пожарной безопасности"</w:t>
            </w:r>
          </w:p>
        </w:tc>
        <w:tc>
          <w:tcPr>
            <w:tcW w:w="1985"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1842" w:type="dxa"/>
            <w:tcBorders>
              <w:left w:val="single" w:sz="4" w:space="0" w:color="000000"/>
              <w:bottom w:val="single" w:sz="4" w:space="0" w:color="000000"/>
              <w:right w:val="single" w:sz="4" w:space="0" w:color="000000"/>
            </w:tcBorders>
          </w:tcPr>
          <w:p>
            <w:pPr>
              <w:pStyle w:val="Normal"/>
              <w:jc w:val="both"/>
              <w:rPr>
                <w:sz w:val="24"/>
                <w:szCs w:val="24"/>
              </w:rPr>
            </w:pPr>
            <w:r>
              <w:rPr>
                <w:sz w:val="24"/>
                <w:szCs w:val="24"/>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rPr>
                <w:sz w:val="24"/>
                <w:szCs w:val="24"/>
              </w:rPr>
            </w:pPr>
            <w:r>
              <w:rPr>
                <w:rStyle w:val="Style5"/>
                <w:b w:val="false"/>
                <w:i w:val="false"/>
                <w:color w:val="000000"/>
                <w:sz w:val="24"/>
                <w:szCs w:val="24"/>
                <w:shd w:fill="auto" w:val="clear"/>
              </w:rPr>
              <w:t>1.2.</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Требования к процедурам выполнения Работ/оказания Услуг</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sz w:val="24"/>
                <w:szCs w:val="24"/>
              </w:rPr>
              <w:t>-//-</w:t>
            </w:r>
          </w:p>
        </w:tc>
      </w:tr>
      <w:tr>
        <w:trPr>
          <w:trHeight w:val="314" w:hRule="atLeast"/>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rPr>
                <w:sz w:val="24"/>
                <w:szCs w:val="24"/>
              </w:rPr>
            </w:pPr>
            <w:r>
              <w:rPr>
                <w:rStyle w:val="Style5"/>
                <w:b w:val="false"/>
                <w:i w:val="false"/>
                <w:color w:val="000000"/>
                <w:sz w:val="24"/>
                <w:szCs w:val="24"/>
                <w:shd w:fill="auto" w:val="clear"/>
              </w:rPr>
              <w:t>1.2.1.</w:t>
            </w:r>
          </w:p>
        </w:tc>
        <w:tc>
          <w:tcPr>
            <w:tcW w:w="2317" w:type="dxa"/>
            <w:tcBorders>
              <w:left w:val="single" w:sz="4" w:space="0" w:color="000000"/>
              <w:bottom w:val="single" w:sz="4" w:space="0" w:color="000000"/>
            </w:tcBorders>
          </w:tcPr>
          <w:p>
            <w:pPr>
              <w:pStyle w:val="Normal"/>
              <w:shd w:val="clear" w:color="auto" w:fill="FFFFFF" w:themeFill="background1"/>
              <w:rPr>
                <w:sz w:val="24"/>
                <w:szCs w:val="24"/>
              </w:rPr>
            </w:pPr>
            <w:r>
              <w:rPr>
                <w:rStyle w:val="Style5"/>
                <w:b w:val="false"/>
                <w:i w:val="false"/>
                <w:color w:val="000000"/>
                <w:sz w:val="24"/>
                <w:szCs w:val="24"/>
                <w:shd w:fill="auto" w:val="clear"/>
              </w:rPr>
              <w:t>Организационно-технические мероприятия</w:t>
            </w:r>
          </w:p>
        </w:tc>
        <w:tc>
          <w:tcPr>
            <w:tcW w:w="6094" w:type="dxa"/>
            <w:gridSpan w:val="2"/>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spacing w:before="30" w:after="0"/>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pPr>
              <w:pStyle w:val="Normal"/>
              <w:shd w:val="clear" w:color="auto" w:fill="FFFFFF" w:themeFill="background1"/>
              <w:tabs>
                <w:tab w:val="clear" w:pos="720"/>
                <w:tab w:val="left" w:pos="217" w:leader="none"/>
              </w:tabs>
              <w:spacing w:before="30" w:after="0"/>
              <w:jc w:val="both"/>
              <w:rPr>
                <w:sz w:val="24"/>
                <w:szCs w:val="24"/>
              </w:rPr>
            </w:pPr>
            <w:r>
              <w:rPr>
                <w:rStyle w:val="Style5"/>
                <w:b w:val="false"/>
                <w:i w:val="false"/>
                <w:color w:val="000000"/>
                <w:sz w:val="24"/>
                <w:szCs w:val="24"/>
                <w:shd w:fill="auto" w:val="clear"/>
              </w:rPr>
              <w:t>Необходимые разрешения и документы для выполнения Работ должны быть оформлены Подрядчиком заблаговременно. Для разрешения допуска на территорию Заказчика и оформления пропусков Подрядчик должен предоставить Заказчику список специалистов, которые будут выполнять Работы с указанием Ф.И.О., занимаемой должности.</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spacing w:before="30" w:after="0"/>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spacing w:before="30" w:after="0"/>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spacing w:before="30" w:after="0"/>
              <w:jc w:val="both"/>
              <w:rPr>
                <w:rStyle w:val="Style5"/>
                <w:b w:val="false"/>
                <w:i w:val="false"/>
                <w:i w:val="false"/>
                <w:color w:val="000000"/>
                <w:sz w:val="24"/>
                <w:szCs w:val="24"/>
                <w:shd w:fill="auto" w:val="clear"/>
              </w:rPr>
            </w:pPr>
            <w:r>
              <w:rPr>
                <w:b w:val="false"/>
                <w:i w:val="false"/>
                <w:color w:val="000000"/>
                <w:sz w:val="24"/>
                <w:szCs w:val="24"/>
                <w:shd w:fill="auto" w:val="clear"/>
              </w:rPr>
            </w:r>
          </w:p>
        </w:tc>
      </w:tr>
      <w:tr>
        <w:trPr>
          <w:trHeight w:val="314" w:hRule="atLeast"/>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rPr>
                <w:rStyle w:val="Style5"/>
                <w:b w:val="false"/>
                <w:i w:val="false"/>
                <w:i w:val="false"/>
                <w:color w:val="000000"/>
                <w:sz w:val="24"/>
                <w:szCs w:val="24"/>
                <w:shd w:fill="auto" w:val="clear"/>
              </w:rPr>
            </w:pPr>
            <w:r>
              <w:rPr>
                <w:rStyle w:val="Style5"/>
                <w:b w:val="false"/>
                <w:i w:val="false"/>
                <w:color w:val="000000"/>
                <w:sz w:val="24"/>
                <w:szCs w:val="24"/>
                <w:shd w:fill="auto" w:val="clear"/>
              </w:rPr>
              <w:t>1.2.2.</w:t>
            </w:r>
          </w:p>
        </w:tc>
        <w:tc>
          <w:tcPr>
            <w:tcW w:w="2317" w:type="dxa"/>
            <w:tcBorders>
              <w:left w:val="single" w:sz="4" w:space="0" w:color="000000"/>
              <w:bottom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rStyle w:val="Style5"/>
                <w:b w:val="false"/>
                <w:i w:val="false"/>
                <w:color w:val="000000"/>
                <w:sz w:val="24"/>
                <w:szCs w:val="24"/>
                <w:shd w:fill="auto" w:val="clear"/>
              </w:rPr>
              <w:t>Перечень мероприятий</w:t>
            </w:r>
          </w:p>
        </w:tc>
        <w:tc>
          <w:tcPr>
            <w:tcW w:w="6094" w:type="dxa"/>
            <w:gridSpan w:val="2"/>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При оказании Услуг Исполнитель должен выполнить следующие операции:</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1.</w:t>
              <w:tab/>
              <w:t>Разработка и утверждение технологии проведения сборочных работ.</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Отчет по результатам сборки оборудования должен включать в себя, но не ограничиваясь:</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 технологическую последовательность проведения сборочных работ;</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 результаты замеров технологических зазоров, моментов затяжки ответственных деталей, контрольных замеров синхронизации момента впрыска.</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2.</w:t>
              <w:tab/>
              <w:t>Разработка и утверждение программы испытаний.</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Программа должна включать в себя, но не ограничиваясь, объем выполнения испытаний, контролируемые при выполнении испытаний параметры, перечень проводимых замеров и испытаний, нормы и требования, соблюдение которых необходимо при инструментальном контроле, последовательность выполнения работ и порядок проведения испытаний электротехнического оборудования.</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3. Обработка результатов выполнения работ.</w:t>
            </w:r>
          </w:p>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 оформление необходимой документации (акты испытаний, паспорта сборки и т. д.) по результатам проведенных испытаний и измерений.</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jc w:val="both"/>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1.3.</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Требования к применяемым при выполнении Работ/оказании Услуг оборудованию и материалам, технологиям</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jc w:val="center"/>
              <w:rPr>
                <w:sz w:val="24"/>
                <w:szCs w:val="24"/>
              </w:rPr>
            </w:pPr>
            <w:r>
              <w:rPr>
                <w:rStyle w:val="Style5"/>
                <w:b w:val="false"/>
                <w:i w:val="false"/>
                <w:color w:val="000000"/>
                <w:sz w:val="24"/>
                <w:szCs w:val="24"/>
                <w:shd w:fill="auto" w:val="clear"/>
              </w:rPr>
              <w:t>1.3.1.</w:t>
            </w:r>
          </w:p>
        </w:tc>
        <w:tc>
          <w:tcPr>
            <w:tcW w:w="2317" w:type="dxa"/>
            <w:tcBorders>
              <w:left w:val="single" w:sz="4" w:space="0" w:color="000000"/>
              <w:bottom w:val="single" w:sz="4" w:space="0" w:color="000000"/>
            </w:tcBorders>
          </w:tcPr>
          <w:p>
            <w:pPr>
              <w:pStyle w:val="Normal"/>
              <w:rPr>
                <w:sz w:val="24"/>
                <w:szCs w:val="24"/>
              </w:rPr>
            </w:pPr>
            <w:r>
              <w:rPr>
                <w:sz w:val="24"/>
                <w:szCs w:val="24"/>
              </w:rPr>
              <w:t>Требования к приобретению Подрядчиком используемых при выполнении работ материалов</w:t>
            </w:r>
          </w:p>
        </w:tc>
        <w:tc>
          <w:tcPr>
            <w:tcW w:w="6094" w:type="dxa"/>
            <w:gridSpan w:val="2"/>
            <w:tcBorders>
              <w:left w:val="single" w:sz="4" w:space="0" w:color="000000"/>
              <w:bottom w:val="single" w:sz="4" w:space="0" w:color="000000"/>
              <w:right w:val="single" w:sz="4" w:space="0" w:color="000000"/>
            </w:tcBorders>
          </w:tcPr>
          <w:p>
            <w:pPr>
              <w:pStyle w:val="Normal"/>
              <w:rPr>
                <w:sz w:val="24"/>
                <w:szCs w:val="24"/>
              </w:rPr>
            </w:pPr>
            <w:r>
              <w:rPr>
                <w:sz w:val="24"/>
                <w:szCs w:val="24"/>
              </w:rPr>
              <w:t>Исполнитель должен оказать Услуги с применением собственных материалов, средств и оборудования.</w:t>
            </w:r>
          </w:p>
          <w:p>
            <w:pPr>
              <w:pStyle w:val="Normal"/>
              <w:rPr>
                <w:sz w:val="24"/>
                <w:szCs w:val="24"/>
              </w:rPr>
            </w:pPr>
            <w:r>
              <w:rPr>
                <w:sz w:val="24"/>
                <w:szCs w:val="24"/>
              </w:rPr>
              <w:t>Все необходимое оборудование и материалы для оказания Услуг приобретаются и доставляются на место оказания Услуг Исполнителем своими силами и средствами.</w:t>
            </w:r>
          </w:p>
          <w:p>
            <w:pPr>
              <w:pStyle w:val="Normal"/>
              <w:rPr>
                <w:sz w:val="24"/>
                <w:szCs w:val="24"/>
              </w:rPr>
            </w:pPr>
            <w:r>
              <w:rPr>
                <w:sz w:val="24"/>
                <w:szCs w:val="24"/>
              </w:rPr>
              <w:t>Высоковольтное оборудование для испытаний должно быть исправно и поверено.</w:t>
            </w:r>
          </w:p>
        </w:tc>
        <w:tc>
          <w:tcPr>
            <w:tcW w:w="1985"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1842" w:type="dxa"/>
            <w:tcBorders>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1.3.3.</w:t>
            </w:r>
          </w:p>
        </w:tc>
        <w:tc>
          <w:tcPr>
            <w:tcW w:w="2317" w:type="dxa"/>
            <w:tcBorders>
              <w:left w:val="single" w:sz="4" w:space="0" w:color="000000"/>
              <w:bottom w:val="single" w:sz="4" w:space="0" w:color="000000"/>
            </w:tcBorders>
          </w:tcPr>
          <w:p>
            <w:pPr>
              <w:pStyle w:val="Normal"/>
              <w:rPr>
                <w:sz w:val="24"/>
                <w:szCs w:val="24"/>
              </w:rPr>
            </w:pPr>
            <w:r>
              <w:rPr>
                <w:sz w:val="24"/>
                <w:szCs w:val="24"/>
              </w:rPr>
              <w:t>Срок гарантии качества результата работ</w:t>
            </w:r>
          </w:p>
        </w:tc>
        <w:tc>
          <w:tcPr>
            <w:tcW w:w="6094" w:type="dxa"/>
            <w:gridSpan w:val="2"/>
            <w:tcBorders>
              <w:left w:val="single" w:sz="4" w:space="0" w:color="000000"/>
              <w:bottom w:val="single" w:sz="4" w:space="0" w:color="000000"/>
              <w:right w:val="single" w:sz="4" w:space="0" w:color="000000"/>
            </w:tcBorders>
          </w:tcPr>
          <w:p>
            <w:pPr>
              <w:pStyle w:val="Normal"/>
              <w:rPr>
                <w:sz w:val="24"/>
                <w:szCs w:val="24"/>
              </w:rPr>
            </w:pPr>
            <w:r>
              <w:rPr>
                <w:sz w:val="24"/>
                <w:szCs w:val="24"/>
              </w:rPr>
              <w:t>60 (шестьдесят) месяцев с даты подписания Сторонами Акта КС-11 либо с даты прекращения (расторжения) Договора</w:t>
            </w:r>
          </w:p>
        </w:tc>
        <w:tc>
          <w:tcPr>
            <w:tcW w:w="1985"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jc w:val="center"/>
              <w:rPr>
                <w:sz w:val="24"/>
                <w:szCs w:val="24"/>
              </w:rPr>
            </w:pPr>
            <w:r>
              <w:rPr>
                <w:sz w:val="24"/>
                <w:szCs w:val="24"/>
              </w:rPr>
            </w:r>
          </w:p>
        </w:tc>
        <w:tc>
          <w:tcPr>
            <w:tcW w:w="1842" w:type="dxa"/>
            <w:tcBorders>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1.4.</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tabs>
                <w:tab w:val="clear" w:pos="720"/>
                <w:tab w:val="left" w:pos="426" w:leader="none"/>
              </w:tabs>
              <w:spacing w:before="60" w:after="0"/>
              <w:rPr>
                <w:sz w:val="24"/>
                <w:szCs w:val="24"/>
              </w:rPr>
            </w:pPr>
            <w:r>
              <w:rPr>
                <w:rStyle w:val="Style5"/>
                <w:b w:val="false"/>
                <w:i w:val="false"/>
                <w:color w:val="000000"/>
                <w:sz w:val="24"/>
                <w:szCs w:val="24"/>
                <w:shd w:fill="auto" w:val="clear"/>
              </w:rPr>
              <w:t>Требования к контролю качества Услуг и материалов</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426" w:leader="none"/>
              </w:tabs>
              <w:spacing w:before="60" w:after="0"/>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1.4.1.</w:t>
            </w:r>
          </w:p>
        </w:tc>
        <w:tc>
          <w:tcPr>
            <w:tcW w:w="3341" w:type="dxa"/>
            <w:gridSpan w:val="2"/>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rPr>
                <w:sz w:val="24"/>
                <w:szCs w:val="24"/>
              </w:rPr>
            </w:pPr>
            <w:r>
              <w:rPr>
                <w:rStyle w:val="Style5"/>
                <w:b w:val="false"/>
                <w:i w:val="false"/>
                <w:color w:val="000000"/>
                <w:sz w:val="24"/>
                <w:szCs w:val="24"/>
                <w:shd w:fill="auto" w:val="clear"/>
              </w:rPr>
              <w:t>Входной и производственный контроль в месте выполнения работ по восстановлению оборудования в заводских условиях</w:t>
            </w:r>
          </w:p>
        </w:tc>
        <w:tc>
          <w:tcPr>
            <w:tcW w:w="5070" w:type="dxa"/>
            <w:tcBorders>
              <w:left w:val="single" w:sz="4" w:space="0" w:color="000000"/>
              <w:bottom w:val="single" w:sz="4" w:space="0" w:color="000000"/>
              <w:right w:val="single" w:sz="4" w:space="0" w:color="000000"/>
            </w:tcBorders>
            <w:vAlign w:val="center"/>
          </w:tcPr>
          <w:p>
            <w:pPr>
              <w:pStyle w:val="Normal"/>
              <w:shd w:val="clear" w:color="auto" w:fill="FFFFFF" w:themeFill="background1"/>
              <w:ind w:left="227"/>
              <w:rPr>
                <w:sz w:val="24"/>
                <w:szCs w:val="24"/>
              </w:rPr>
            </w:pPr>
            <w:r>
              <w:rPr>
                <w:rStyle w:val="Style5"/>
                <w:b w:val="false"/>
                <w:i w:val="false"/>
                <w:color w:val="000000"/>
                <w:sz w:val="24"/>
                <w:szCs w:val="24"/>
                <w:shd w:fill="auto" w:val="clear"/>
              </w:rPr>
              <w:t>Исполнитель осуществляет:</w:t>
            </w:r>
          </w:p>
          <w:p>
            <w:pPr>
              <w:pStyle w:val="Normal"/>
              <w:shd w:val="clear" w:color="auto" w:fill="FFFFFF" w:themeFill="background1"/>
              <w:ind w:left="227"/>
              <w:rPr>
                <w:sz w:val="24"/>
                <w:szCs w:val="24"/>
              </w:rPr>
            </w:pPr>
            <w:r>
              <w:rPr>
                <w:rStyle w:val="Style5"/>
                <w:b w:val="false"/>
                <w:i w:val="false"/>
                <w:color w:val="000000"/>
                <w:sz w:val="24"/>
                <w:szCs w:val="24"/>
                <w:shd w:fill="auto" w:val="clear"/>
              </w:rPr>
              <w:t>a) входной контроль качества материалов, заготовок и покупных комплектующих изделий, поступающих на предприятие для изготовления и комплектации;</w:t>
            </w:r>
          </w:p>
          <w:p>
            <w:pPr>
              <w:pStyle w:val="Normal"/>
              <w:shd w:val="clear" w:color="auto" w:fill="FFFFFF" w:themeFill="background1"/>
              <w:ind w:left="227"/>
              <w:rPr>
                <w:sz w:val="24"/>
                <w:szCs w:val="24"/>
              </w:rPr>
            </w:pPr>
            <w:r>
              <w:rPr>
                <w:rStyle w:val="Style5"/>
                <w:b w:val="false"/>
                <w:i w:val="false"/>
                <w:color w:val="000000"/>
                <w:sz w:val="24"/>
                <w:szCs w:val="24"/>
                <w:shd w:fill="auto" w:val="clear"/>
              </w:rPr>
              <w:t>b) производственный контроль сборочных единиц и деталей для проверки соответствия качества деталей и сборочных единиц техническим требованиям, технической документации и стандартам.</w:t>
            </w:r>
          </w:p>
          <w:p>
            <w:pPr>
              <w:pStyle w:val="Normal"/>
              <w:shd w:val="clear" w:color="auto" w:fill="FFFFFF" w:themeFill="background1"/>
              <w:ind w:left="227"/>
              <w:rPr>
                <w:sz w:val="24"/>
                <w:szCs w:val="24"/>
              </w:rPr>
            </w:pPr>
            <w:r>
              <w:rPr>
                <w:rStyle w:val="Style5"/>
                <w:b w:val="false"/>
                <w:i w:val="false"/>
                <w:color w:val="000000"/>
                <w:sz w:val="24"/>
                <w:szCs w:val="24"/>
                <w:shd w:fill="auto" w:val="clear"/>
              </w:rPr>
              <w:t xml:space="preserve">Исполнитель представит Программу контроля качества изготовления узлов на заводе-изготовителе, включая виды контроля и испытаний. </w:t>
            </w:r>
          </w:p>
          <w:p>
            <w:pPr>
              <w:pStyle w:val="Normal"/>
              <w:shd w:val="clear" w:color="auto" w:fill="FFFFFF" w:themeFill="background1"/>
              <w:ind w:left="227"/>
              <w:rPr>
                <w:sz w:val="24"/>
                <w:szCs w:val="24"/>
              </w:rPr>
            </w:pPr>
            <w:r>
              <w:rPr>
                <w:rStyle w:val="Style5"/>
                <w:b w:val="false"/>
                <w:i w:val="false"/>
                <w:color w:val="000000"/>
                <w:sz w:val="24"/>
                <w:szCs w:val="24"/>
                <w:shd w:fill="auto" w:val="clear"/>
              </w:rPr>
              <w:t>Заказчик может присутствовать при контрольных сборках отдельных узлов и имеет право ознакомиться со всеми стандартами на их изготовление.</w:t>
            </w:r>
          </w:p>
          <w:p>
            <w:pPr>
              <w:pStyle w:val="Normal"/>
              <w:shd w:val="clear" w:color="auto" w:fill="FFFFFF" w:themeFill="background1"/>
              <w:ind w:left="227"/>
              <w:rPr>
                <w:sz w:val="24"/>
                <w:szCs w:val="24"/>
              </w:rPr>
            </w:pPr>
            <w:r>
              <w:rPr>
                <w:rStyle w:val="Style5"/>
                <w:b w:val="false"/>
                <w:i w:val="false"/>
                <w:color w:val="000000"/>
                <w:sz w:val="24"/>
                <w:szCs w:val="24"/>
                <w:shd w:fill="auto" w:val="clear"/>
              </w:rPr>
              <w:t>Исполнитель сообщает Заказчику за 10 (десять) дней сроки проведения контрольных сборок.</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ind w:left="227"/>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ind w:left="227"/>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ind w:left="227"/>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1.5.</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персоналу Исполнителя</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sz w:val="24"/>
                <w:szCs w:val="24"/>
              </w:rPr>
              <w:t>-//-</w:t>
            </w:r>
          </w:p>
        </w:tc>
      </w:tr>
      <w:tr>
        <w:trPr>
          <w:trHeight w:val="285" w:hRule="atLeast"/>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1.5.1.</w:t>
            </w:r>
          </w:p>
        </w:tc>
        <w:tc>
          <w:tcPr>
            <w:tcW w:w="3341" w:type="dxa"/>
            <w:gridSpan w:val="2"/>
            <w:tcBorders>
              <w:left w:val="single" w:sz="4" w:space="0" w:color="000000"/>
              <w:bottom w:val="single" w:sz="4" w:space="0" w:color="000000"/>
            </w:tcBorders>
            <w:vAlign w:val="center"/>
          </w:tcPr>
          <w:p>
            <w:pPr>
              <w:pStyle w:val="Normal"/>
              <w:shd w:val="clear" w:color="auto" w:fill="FFFFFF" w:themeFill="background1"/>
              <w:tabs>
                <w:tab w:val="clear" w:pos="720"/>
                <w:tab w:val="left" w:pos="217" w:leader="none"/>
              </w:tabs>
              <w:spacing w:before="30" w:after="0"/>
              <w:rPr>
                <w:sz w:val="24"/>
                <w:szCs w:val="24"/>
              </w:rPr>
            </w:pPr>
            <w:r>
              <w:rPr>
                <w:rStyle w:val="Style5"/>
                <w:b w:val="false"/>
                <w:i w:val="false"/>
                <w:color w:val="000000"/>
                <w:sz w:val="24"/>
                <w:szCs w:val="24"/>
                <w:shd w:fill="auto" w:val="clear"/>
              </w:rPr>
              <w:t>Требования к квалификации</w:t>
            </w:r>
          </w:p>
        </w:tc>
        <w:tc>
          <w:tcPr>
            <w:tcW w:w="5070" w:type="dxa"/>
            <w:tcBorders>
              <w:left w:val="single" w:sz="4" w:space="0" w:color="000000"/>
              <w:bottom w:val="single" w:sz="4" w:space="0" w:color="000000"/>
              <w:right w:val="single" w:sz="4" w:space="0" w:color="000000"/>
            </w:tcBorders>
            <w:vAlign w:val="center"/>
          </w:tcPr>
          <w:p>
            <w:pPr>
              <w:pStyle w:val="Normal"/>
              <w:shd w:val="clear" w:color="auto" w:fill="FFFFFF" w:themeFill="background1"/>
              <w:ind w:left="227"/>
              <w:rPr>
                <w:rStyle w:val="Style5"/>
                <w:b w:val="false"/>
                <w:i w:val="false"/>
                <w:i w:val="false"/>
                <w:color w:val="000000"/>
                <w:sz w:val="24"/>
                <w:szCs w:val="24"/>
                <w:shd w:fill="auto" w:val="clear"/>
              </w:rPr>
            </w:pPr>
            <w:r>
              <w:rPr>
                <w:rStyle w:val="Style5"/>
                <w:b w:val="false"/>
                <w:i w:val="false"/>
                <w:color w:val="000000"/>
                <w:sz w:val="24"/>
                <w:szCs w:val="24"/>
                <w:shd w:fill="auto" w:val="clear"/>
              </w:rPr>
              <w:t>Исполнитель должен оказать Услуги силами квалифицированных специалистов, прошедших соответствующую подготовку, надлежаще аттестованных на проведение в/в испытаний, а также прошедшие обучение по охране труда, прошедших проверку знаний, изучивших руководство по эксплуатации, квалификация, опыт и компетенция которых позволяет обеспечить надлежащее и качественное оказание услуг.</w:t>
            </w:r>
          </w:p>
          <w:p>
            <w:pPr>
              <w:pStyle w:val="Normal"/>
              <w:shd w:val="clear" w:color="auto" w:fill="FFFFFF" w:themeFill="background1"/>
              <w:ind w:left="227"/>
              <w:rPr>
                <w:rStyle w:val="Style5"/>
                <w:b w:val="false"/>
                <w:i w:val="false"/>
                <w:i w:val="false"/>
                <w:color w:val="000000"/>
                <w:sz w:val="24"/>
                <w:szCs w:val="24"/>
                <w:shd w:fill="auto" w:val="clear"/>
              </w:rPr>
            </w:pPr>
            <w:r>
              <w:rPr>
                <w:rStyle w:val="Style5"/>
                <w:b w:val="false"/>
                <w:i w:val="false"/>
                <w:color w:val="000000"/>
                <w:sz w:val="24"/>
                <w:szCs w:val="24"/>
                <w:shd w:fill="auto" w:val="clear"/>
              </w:rPr>
              <w:t>Испытание проводит бригада по наряду, состоящая, не менее чем из 2 –х человек с группами допуска не ниже IV в электроустановках выше 1000 В.</w:t>
            </w:r>
          </w:p>
          <w:p>
            <w:pPr>
              <w:pStyle w:val="Normal"/>
              <w:shd w:val="clear" w:color="auto" w:fill="FFFFFF" w:themeFill="background1"/>
              <w:ind w:left="227"/>
              <w:rPr>
                <w:sz w:val="24"/>
                <w:szCs w:val="24"/>
              </w:rPr>
            </w:pPr>
            <w:r>
              <w:rPr>
                <w:rStyle w:val="Style5"/>
                <w:b w:val="false"/>
                <w:i w:val="false"/>
                <w:color w:val="000000"/>
                <w:sz w:val="24"/>
                <w:szCs w:val="24"/>
                <w:shd w:fill="auto" w:val="clear"/>
              </w:rPr>
              <w:t>До начала оказания Услуг в рамках исполнения Договора, Исполнитель представляет список персонала, с указанием сведений о квалификации персонала (разряд, группа по электробезопасности).</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ind w:left="227"/>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ind w:left="227"/>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ind w:left="227"/>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sz w:val="24"/>
                <w:szCs w:val="24"/>
              </w:rPr>
            </w:pPr>
            <w:r>
              <w:rPr>
                <w:rStyle w:val="Style5"/>
                <w:b w:val="false"/>
                <w:i w:val="false"/>
                <w:color w:val="000000"/>
                <w:sz w:val="24"/>
                <w:szCs w:val="24"/>
                <w:shd w:fill="auto" w:val="clear"/>
              </w:rPr>
              <w:t>1.6.</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Требования к безопасности работ / услуг и охране труда</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tabs>
                <w:tab w:val="clear" w:pos="720"/>
                <w:tab w:val="left" w:pos="-63" w:leader="none"/>
              </w:tabs>
              <w:spacing w:before="60" w:after="60"/>
              <w:ind w:left="-113"/>
              <w:contextualSpacing/>
              <w:jc w:val="center"/>
              <w:rPr>
                <w:sz w:val="24"/>
                <w:szCs w:val="24"/>
              </w:rPr>
            </w:pPr>
            <w:r>
              <w:rPr>
                <w:rStyle w:val="Style5"/>
                <w:b w:val="false"/>
                <w:i w:val="false"/>
                <w:color w:val="000000"/>
                <w:sz w:val="24"/>
                <w:szCs w:val="24"/>
                <w:shd w:fill="auto" w:val="clear"/>
              </w:rPr>
              <w:t>1.6.1</w:t>
            </w:r>
          </w:p>
        </w:tc>
        <w:tc>
          <w:tcPr>
            <w:tcW w:w="3341" w:type="dxa"/>
            <w:gridSpan w:val="2"/>
            <w:tcBorders>
              <w:left w:val="single" w:sz="4" w:space="0" w:color="000000"/>
              <w:bottom w:val="single" w:sz="4" w:space="0" w:color="000000"/>
            </w:tcBorders>
            <w:vAlign w:val="center"/>
          </w:tcPr>
          <w:p>
            <w:pPr>
              <w:pStyle w:val="Normal"/>
              <w:shd w:val="clear" w:color="auto" w:fill="FFFFFF" w:themeFill="background1"/>
              <w:spacing w:before="30" w:after="0"/>
              <w:rPr>
                <w:sz w:val="24"/>
                <w:szCs w:val="24"/>
              </w:rPr>
            </w:pPr>
            <w:r>
              <w:rPr>
                <w:rStyle w:val="Style5"/>
                <w:b w:val="false"/>
                <w:i w:val="false"/>
                <w:color w:val="000000"/>
                <w:sz w:val="24"/>
                <w:szCs w:val="24"/>
                <w:shd w:fill="auto" w:val="clear"/>
              </w:rPr>
              <w:t>Требования к безопасности работ и охране труда</w:t>
            </w:r>
          </w:p>
        </w:tc>
        <w:tc>
          <w:tcPr>
            <w:tcW w:w="5070" w:type="dxa"/>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229" w:leader="none"/>
              </w:tabs>
              <w:ind w:left="0"/>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p>
            <w:pPr>
              <w:pStyle w:val="Normal"/>
              <w:overflowPunct w:val="true"/>
              <w:ind w:firstLine="360"/>
              <w:jc w:val="both"/>
              <w:rPr>
                <w:sz w:val="24"/>
                <w:szCs w:val="24"/>
              </w:rPr>
            </w:pPr>
            <w:r>
              <w:rPr>
                <w:sz w:val="24"/>
                <w:szCs w:val="24"/>
              </w:rPr>
              <w:t>Пожаробезопасность должна обеспечиваться применением нагревостойких и негорючих материалов.</w:t>
            </w:r>
          </w:p>
          <w:p>
            <w:pPr>
              <w:pStyle w:val="Normal"/>
              <w:overflowPunct w:val="true"/>
              <w:ind w:firstLine="360"/>
              <w:jc w:val="both"/>
              <w:rPr>
                <w:sz w:val="24"/>
                <w:szCs w:val="24"/>
              </w:rPr>
            </w:pPr>
            <w:r>
              <w:rPr>
                <w:sz w:val="24"/>
                <w:szCs w:val="24"/>
              </w:rPr>
              <w:t>Должна быть обеспечена возможность безопасного обслуживания вспомогательных цепей и аппаратуры (выключателей, разъединителей).</w:t>
            </w:r>
          </w:p>
          <w:p>
            <w:pPr>
              <w:pStyle w:val="Normal"/>
              <w:overflowPunct w:val="true"/>
              <w:ind w:firstLine="360"/>
              <w:jc w:val="both"/>
              <w:rPr>
                <w:sz w:val="24"/>
                <w:szCs w:val="24"/>
              </w:rPr>
            </w:pPr>
            <w:r>
              <w:rPr>
                <w:sz w:val="24"/>
                <w:szCs w:val="24"/>
              </w:rPr>
              <w:t>Оборудование должно иметь приспособления для подъема и передвижения (рым-болты, крюки, прочее).</w:t>
            </w:r>
          </w:p>
        </w:tc>
        <w:tc>
          <w:tcPr>
            <w:tcW w:w="1985"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229" w:leader="none"/>
              </w:tabs>
              <w:ind w:left="0"/>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229" w:leader="none"/>
              </w:tabs>
              <w:ind w:left="0"/>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229" w:leader="none"/>
              </w:tabs>
              <w:ind w:left="0"/>
              <w:jc w:val="both"/>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w:t>
            </w:r>
          </w:p>
        </w:tc>
        <w:tc>
          <w:tcPr>
            <w:tcW w:w="8411" w:type="dxa"/>
            <w:gridSpan w:val="3"/>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Требования к доставке, маркировке, упаковке, транспортировке, перемещению, условиям хранения, приемке и испытаниям</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2.2.1.</w:t>
            </w:r>
          </w:p>
        </w:tc>
        <w:tc>
          <w:tcPr>
            <w:tcW w:w="2317" w:type="dxa"/>
            <w:tcBorders>
              <w:left w:val="single" w:sz="4" w:space="0" w:color="000000"/>
              <w:bottom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маркировке и упаковке</w:t>
            </w:r>
          </w:p>
        </w:tc>
        <w:tc>
          <w:tcPr>
            <w:tcW w:w="6094" w:type="dxa"/>
            <w:gridSpan w:val="2"/>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1. Транспортная маркировка каждого грузового места должна выполняться в соответствии с требованиями ГОСТ 14192-96.</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ЭТО, а на остальных деталях – на ярлык, надёжно прикреплённый к изделию на видном месте.</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ЭТО.</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5. Перемещение оборудования внутри тары должно быть исключено.</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7. Консервация оборудования должна производиться в соответствии с требованиями ГОСТ 9.014-78 и требованиями чертежей.</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9. Части, закладываемые в бетон, должны консервироваться со сторон, прилегающих к бетону покрытиями, не требующими их удаления при монтаже.</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pPr>
              <w:pStyle w:val="ListParagraph"/>
              <w:shd w:val="clear" w:color="auto" w:fill="FFFFFF" w:themeFill="background1"/>
              <w:tabs>
                <w:tab w:val="clear" w:pos="720"/>
                <w:tab w:val="left" w:pos="38" w:leader="none"/>
              </w:tabs>
              <w:spacing w:before="0" w:after="0"/>
              <w:ind w:left="34"/>
              <w:contextualSpacing w:val="false"/>
              <w:rPr>
                <w:sz w:val="24"/>
                <w:szCs w:val="24"/>
              </w:rPr>
            </w:pPr>
            <w:r>
              <w:rPr>
                <w:rStyle w:val="Style5"/>
                <w:b w:val="false"/>
                <w:i w:val="false"/>
                <w:color w:val="000000"/>
                <w:sz w:val="24"/>
                <w:szCs w:val="24"/>
                <w:shd w:fill="auto" w:val="clear"/>
              </w:rPr>
              <w:t>11. Каждый ящик с упакованным оборудованием должен сопровождаться упаковочным листом.</w:t>
            </w:r>
          </w:p>
        </w:tc>
        <w:tc>
          <w:tcPr>
            <w:tcW w:w="1985"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38" w:leader="none"/>
              </w:tabs>
              <w:spacing w:before="0" w:after="0"/>
              <w:ind w:left="34"/>
              <w:contextualSpacing w:val="false"/>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38" w:leader="none"/>
              </w:tabs>
              <w:spacing w:before="0" w:after="0"/>
              <w:ind w:left="34"/>
              <w:contextualSpacing w:val="false"/>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ListParagraph"/>
              <w:shd w:val="clear" w:color="auto" w:fill="FFFFFF" w:themeFill="background1"/>
              <w:tabs>
                <w:tab w:val="clear" w:pos="720"/>
                <w:tab w:val="left" w:pos="38" w:leader="none"/>
              </w:tabs>
              <w:spacing w:before="0" w:after="0"/>
              <w:ind w:left="34"/>
              <w:contextualSpacing w:val="false"/>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2.2.2.</w:t>
            </w:r>
          </w:p>
        </w:tc>
        <w:tc>
          <w:tcPr>
            <w:tcW w:w="2317" w:type="dxa"/>
            <w:tcBorders>
              <w:left w:val="single" w:sz="4" w:space="0" w:color="000000"/>
              <w:bottom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транспортированию и хранению</w:t>
            </w:r>
          </w:p>
        </w:tc>
        <w:tc>
          <w:tcPr>
            <w:tcW w:w="6094" w:type="dxa"/>
            <w:gridSpan w:val="2"/>
            <w:tcBorders>
              <w:left w:val="single" w:sz="4" w:space="0" w:color="000000"/>
              <w:bottom w:val="single" w:sz="4" w:space="0" w:color="000000"/>
              <w:right w:val="single" w:sz="4" w:space="0" w:color="000000"/>
            </w:tcBorders>
          </w:tcPr>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Исполнитель собственными силами, при необходимости вывоза Оборудования на площадку Заказчика, организовывает погрузочно-разгрузочные работы на территории Заказчика, а также на месте оказания Услуг (производственные площадки Исполнителя), а также собственными силами организовывает транспортировку на территорию Заказчика с места оказания Услуги (производственные площадки Исполнителя) и возвращение обратно.</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Транспортные средства для организации перевозок должны находиться в исправном состоянии, укомплектованы соответствующими средствами для крепления груза и соответствовать всем установленным для них техническим требованиям, с соблюдением норм технического обслуживания, текущего и капитального ремонта, своевременного прохождения технического осмотра с оформлением всех установленных документов и т.д.</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Не допускается для перевозки Оборудования использовать транспортные средства имеющие:</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Повреждения настила пола и бортов;</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Неисправные стойки, петли и рукоятки запорных устройств;</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На платформе не должно быть посторонних, острых предметов;</w:t>
            </w:r>
          </w:p>
          <w:p>
            <w:pPr>
              <w:pStyle w:val="Normal"/>
              <w:rPr>
                <w:rStyle w:val="Style5"/>
                <w:b w:val="false"/>
                <w:i w:val="false"/>
                <w:i w:val="false"/>
                <w:color w:val="000000"/>
                <w:sz w:val="24"/>
                <w:szCs w:val="24"/>
                <w:shd w:fill="auto" w:val="clear"/>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Внешние и внутренние повреждения, разрывы и перекосы.</w:t>
            </w:r>
          </w:p>
          <w:p>
            <w:pPr>
              <w:pStyle w:val="Normal"/>
              <w:rPr>
                <w:sz w:val="24"/>
                <w:szCs w:val="24"/>
              </w:rPr>
            </w:pPr>
            <w:r>
              <w:rPr>
                <w:rStyle w:val="Style5"/>
                <w:b w:val="false"/>
                <w:i w:val="false"/>
                <w:color w:val="000000"/>
                <w:sz w:val="24"/>
                <w:szCs w:val="24"/>
                <w:shd w:fill="auto" w:val="clear"/>
              </w:rPr>
              <w:t>Исполнитель несёт полную материальную ответственность перед Заказчиком за сохранность, порчу, утрату Оборудования во время всего периода перевозки, с момента передачи Оборудования Исполнителю до момента передачи Оборудования Заказчику.</w:t>
            </w:r>
          </w:p>
        </w:tc>
        <w:tc>
          <w:tcPr>
            <w:tcW w:w="1985" w:type="dxa"/>
            <w:tcBorders>
              <w:left w:val="single" w:sz="4" w:space="0" w:color="000000"/>
              <w:bottom w:val="single" w:sz="4" w:space="0" w:color="000000"/>
              <w:right w:val="single" w:sz="4" w:space="0" w:color="000000"/>
            </w:tcBorders>
          </w:tcPr>
          <w:p>
            <w:pPr>
              <w:pStyle w:val="Normal"/>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2.3.</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Требования к гарантиям, гарантийному и послегарантийному обслуживанию</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sz w:val="24"/>
                <w:szCs w:val="24"/>
              </w:rPr>
              <w:t>-//-</w:t>
            </w:r>
          </w:p>
        </w:tc>
      </w:tr>
      <w:tr>
        <w:trPr>
          <w:trHeight w:val="2127" w:hRule="atLeast"/>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2.3.1.</w:t>
            </w:r>
          </w:p>
        </w:tc>
        <w:tc>
          <w:tcPr>
            <w:tcW w:w="2317" w:type="dxa"/>
            <w:tcBorders>
              <w:left w:val="single" w:sz="4" w:space="0" w:color="000000"/>
              <w:bottom w:val="single" w:sz="4" w:space="0" w:color="000000"/>
            </w:tcBorders>
            <w:vAlign w:val="center"/>
          </w:tcPr>
          <w:p>
            <w:pPr>
              <w:pStyle w:val="Normal"/>
              <w:shd w:val="clear" w:color="auto" w:fill="FFFFFF" w:themeFill="background1"/>
              <w:rPr>
                <w:sz w:val="24"/>
                <w:szCs w:val="24"/>
              </w:rPr>
            </w:pPr>
            <w:bookmarkStart w:id="45" w:name="_Toc46915394_Копия_1_Копия_1"/>
            <w:r>
              <w:rPr>
                <w:rStyle w:val="Style5"/>
                <w:b w:val="false"/>
                <w:i w:val="false"/>
                <w:color w:val="000000"/>
                <w:sz w:val="24"/>
                <w:szCs w:val="24"/>
                <w:shd w:fill="auto" w:val="clear"/>
              </w:rPr>
              <w:t>Гарантии</w:t>
            </w:r>
            <w:bookmarkEnd w:id="45"/>
          </w:p>
        </w:tc>
        <w:tc>
          <w:tcPr>
            <w:tcW w:w="6094" w:type="dxa"/>
            <w:gridSpan w:val="2"/>
            <w:tcBorders>
              <w:left w:val="single" w:sz="4" w:space="0" w:color="000000"/>
              <w:bottom w:val="single" w:sz="4" w:space="0" w:color="000000"/>
              <w:right w:val="single" w:sz="4" w:space="0" w:color="000000"/>
            </w:tcBorders>
            <w:vAlign w:val="center"/>
          </w:tcPr>
          <w:p>
            <w:pPr>
              <w:pStyle w:val="Normal"/>
              <w:shd w:val="clear" w:color="auto" w:fill="FFFFFF" w:themeFill="background1"/>
              <w:tabs>
                <w:tab w:val="clear" w:pos="720"/>
                <w:tab w:val="left" w:pos="38" w:leader="none"/>
              </w:tabs>
              <w:jc w:val="both"/>
              <w:rPr>
                <w:sz w:val="24"/>
                <w:szCs w:val="24"/>
              </w:rPr>
            </w:pPr>
            <w:r>
              <w:rPr>
                <w:rStyle w:val="Style5"/>
                <w:b w:val="false"/>
                <w:i w:val="false"/>
                <w:color w:val="000000"/>
                <w:sz w:val="24"/>
                <w:szCs w:val="24"/>
                <w:shd w:fill="auto" w:val="clear"/>
              </w:rPr>
              <w:t>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pPr>
              <w:pStyle w:val="ListParagraph"/>
              <w:shd w:val="clear" w:color="auto" w:fill="FFFFFF" w:themeFill="background1"/>
              <w:tabs>
                <w:tab w:val="clear" w:pos="720"/>
                <w:tab w:val="left" w:pos="38" w:leader="none"/>
              </w:tabs>
              <w:spacing w:before="0" w:after="0"/>
              <w:ind w:left="32"/>
              <w:contextualSpacing w:val="false"/>
              <w:jc w:val="both"/>
              <w:rPr>
                <w:sz w:val="24"/>
                <w:szCs w:val="24"/>
              </w:rPr>
            </w:pPr>
            <w:r>
              <w:rPr>
                <w:rStyle w:val="Style5"/>
                <w:b w:val="false"/>
                <w:i w:val="false"/>
                <w:color w:val="000000"/>
                <w:sz w:val="24"/>
                <w:szCs w:val="24"/>
                <w:shd w:fill="auto" w:val="clear"/>
              </w:rPr>
              <w:t xml:space="preserve">Исполнитель гарантирует надёжную работу восстановленного оборудования </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38" w:leader="none"/>
              </w:tabs>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38" w:leader="none"/>
              </w:tabs>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38" w:leader="none"/>
              </w:tabs>
              <w:jc w:val="both"/>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3.</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результатам выполнения договора</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sz w:val="24"/>
                <w:szCs w:val="24"/>
              </w:rPr>
            </w:pPr>
            <w:r>
              <w:rPr>
                <w:rStyle w:val="Style5"/>
                <w:b w:val="false"/>
                <w:i w:val="false"/>
                <w:color w:val="000000"/>
                <w:sz w:val="24"/>
                <w:szCs w:val="24"/>
                <w:shd w:fill="auto" w:val="clear"/>
              </w:rPr>
              <w:t>3.1.</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sz w:val="24"/>
                <w:szCs w:val="24"/>
              </w:rPr>
            </w:pPr>
            <w:r>
              <w:rPr>
                <w:rStyle w:val="Style5"/>
                <w:b w:val="false"/>
                <w:i w:val="false"/>
                <w:color w:val="000000"/>
                <w:sz w:val="24"/>
                <w:szCs w:val="24"/>
                <w:shd w:fill="auto" w:val="clear"/>
              </w:rPr>
              <w:t>Общие требования к результатам выполнения договора</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3.1.1.</w:t>
            </w:r>
          </w:p>
        </w:tc>
        <w:tc>
          <w:tcPr>
            <w:tcW w:w="2317" w:type="dxa"/>
            <w:tcBorders>
              <w:left w:val="single" w:sz="4" w:space="0" w:color="000000"/>
              <w:bottom w:val="single" w:sz="4" w:space="0" w:color="000000"/>
            </w:tcBorders>
          </w:tcPr>
          <w:p>
            <w:pPr>
              <w:pStyle w:val="Normal"/>
              <w:shd w:val="clear" w:color="auto" w:fill="FFFFFF" w:themeFill="background1"/>
              <w:tabs>
                <w:tab w:val="clear" w:pos="720"/>
                <w:tab w:val="left" w:pos="426" w:leader="none"/>
              </w:tabs>
              <w:rPr>
                <w:sz w:val="24"/>
                <w:szCs w:val="24"/>
              </w:rPr>
            </w:pPr>
            <w:r>
              <w:rPr>
                <w:rStyle w:val="Style5"/>
                <w:b w:val="false"/>
                <w:i w:val="false"/>
                <w:color w:val="000000"/>
                <w:sz w:val="24"/>
                <w:szCs w:val="24"/>
                <w:shd w:fill="auto" w:val="clear"/>
              </w:rPr>
              <w:t>Результат выполнения работ</w:t>
            </w:r>
          </w:p>
        </w:tc>
        <w:tc>
          <w:tcPr>
            <w:tcW w:w="6094" w:type="dxa"/>
            <w:gridSpan w:val="2"/>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rStyle w:val="Style5"/>
                <w:b w:val="false"/>
                <w:i w:val="false"/>
                <w:color w:val="000000"/>
                <w:sz w:val="24"/>
                <w:szCs w:val="24"/>
                <w:shd w:fill="auto" w:val="clear"/>
              </w:rPr>
              <w:t>Результатом выполнения работ является проведение испытаний электротехнического оборудования с предоставлением Отчетной документации, включающей:</w:t>
            </w:r>
          </w:p>
          <w:p>
            <w:pPr>
              <w:pStyle w:val="Normal"/>
              <w:shd w:val="clear" w:color="auto" w:fill="FFFFFF" w:themeFill="background1"/>
              <w:rPr>
                <w:rStyle w:val="Style5"/>
                <w:b w:val="false"/>
                <w:i w:val="false"/>
                <w:i w:val="false"/>
                <w:color w:val="000000"/>
                <w:sz w:val="24"/>
                <w:szCs w:val="24"/>
                <w:shd w:fill="auto" w:val="clear"/>
              </w:rPr>
            </w:pPr>
            <w:r>
              <w:rPr>
                <w:rStyle w:val="Style5"/>
                <w:b w:val="false"/>
                <w:i w:val="false"/>
                <w:color w:val="000000"/>
                <w:sz w:val="24"/>
                <w:szCs w:val="24"/>
                <w:shd w:fill="auto" w:val="clear"/>
              </w:rPr>
              <w:t>1. Разработанную и утвержденную Исполнителем, согласованную Заказчиком программу испытаний;</w:t>
            </w:r>
          </w:p>
          <w:p>
            <w:pPr>
              <w:pStyle w:val="Normal"/>
              <w:shd w:val="clear" w:color="auto" w:fill="FFFFFF" w:themeFill="background1"/>
              <w:rPr>
                <w:bCs/>
                <w:iCs/>
                <w:color w:val="000000"/>
                <w:sz w:val="24"/>
                <w:szCs w:val="24"/>
              </w:rPr>
            </w:pPr>
            <w:r>
              <w:rPr>
                <w:rStyle w:val="Style5"/>
                <w:b w:val="false"/>
                <w:i w:val="false"/>
                <w:color w:val="000000"/>
                <w:sz w:val="24"/>
                <w:szCs w:val="24"/>
                <w:shd w:fill="auto" w:val="clear"/>
              </w:rPr>
              <w:t>2. Оформленный по результатам испытаний оборудования Акт испытаний электротехнического оборудования в соответствии с НТД.</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3.2.</w:t>
            </w:r>
          </w:p>
        </w:tc>
        <w:tc>
          <w:tcPr>
            <w:tcW w:w="841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порядку приемки результатов выполнения договора</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3.2.1.</w:t>
            </w:r>
          </w:p>
        </w:tc>
        <w:tc>
          <w:tcPr>
            <w:tcW w:w="2317" w:type="dxa"/>
            <w:tcBorders>
              <w:left w:val="single" w:sz="4" w:space="0" w:color="000000"/>
              <w:bottom w:val="single" w:sz="4" w:space="0" w:color="000000"/>
            </w:tcBorders>
          </w:tcPr>
          <w:p>
            <w:pPr>
              <w:pStyle w:val="Normal"/>
              <w:shd w:val="clear" w:color="auto" w:fill="FFFFFF" w:themeFill="background1"/>
              <w:rPr>
                <w:sz w:val="24"/>
                <w:szCs w:val="24"/>
              </w:rPr>
            </w:pPr>
            <w:r>
              <w:rPr>
                <w:rStyle w:val="Style5"/>
                <w:b w:val="false"/>
                <w:i w:val="false"/>
                <w:color w:val="000000"/>
                <w:sz w:val="24"/>
                <w:szCs w:val="24"/>
                <w:shd w:fill="auto" w:val="clear"/>
              </w:rPr>
              <w:t>Документы, передаваемые Заказчику для оформления приемки</w:t>
            </w:r>
          </w:p>
        </w:tc>
        <w:tc>
          <w:tcPr>
            <w:tcW w:w="6094" w:type="dxa"/>
            <w:gridSpan w:val="2"/>
            <w:tcBorders>
              <w:left w:val="single" w:sz="4" w:space="0" w:color="000000"/>
              <w:bottom w:val="single" w:sz="4" w:space="0" w:color="000000"/>
              <w:right w:val="single" w:sz="4" w:space="0" w:color="000000"/>
            </w:tcBorders>
          </w:tcPr>
          <w:p>
            <w:pPr>
              <w:pStyle w:val="Normal"/>
              <w:shd w:val="clear" w:color="auto" w:fill="FFFFFF" w:themeFill="background1"/>
              <w:jc w:val="both"/>
              <w:rPr>
                <w:sz w:val="24"/>
                <w:szCs w:val="24"/>
              </w:rPr>
            </w:pPr>
            <w:r>
              <w:rPr>
                <w:rStyle w:val="Style5"/>
                <w:b w:val="false"/>
                <w:i w:val="false"/>
                <w:color w:val="000000"/>
                <w:sz w:val="24"/>
                <w:szCs w:val="24"/>
                <w:shd w:fill="auto" w:val="clear"/>
              </w:rPr>
              <w:t>- Акт сдачи-приемки оказанных Услуг на бумажном носителе в 2-х экземплярах (для шеф-монтажа и для шеф-наладки);</w:t>
            </w:r>
          </w:p>
          <w:p>
            <w:pPr>
              <w:pStyle w:val="Normal"/>
              <w:shd w:val="clear" w:color="auto" w:fill="FFFFFF" w:themeFill="background1"/>
              <w:jc w:val="both"/>
              <w:rPr>
                <w:sz w:val="24"/>
                <w:szCs w:val="24"/>
              </w:rPr>
            </w:pPr>
            <w:r>
              <w:rPr>
                <w:rStyle w:val="Style5"/>
                <w:b w:val="false"/>
                <w:i w:val="false"/>
                <w:color w:val="000000"/>
                <w:sz w:val="24"/>
                <w:szCs w:val="24"/>
                <w:shd w:fill="auto" w:val="clear"/>
              </w:rPr>
              <w:t>- Акт сдачи-приемки выполненных Работ на бумажном носителе в 2-х экземплярах (для работ);</w:t>
            </w:r>
          </w:p>
          <w:p>
            <w:pPr>
              <w:pStyle w:val="Normal"/>
              <w:shd w:val="clear" w:color="auto" w:fill="FFFFFF" w:themeFill="background1"/>
              <w:jc w:val="both"/>
              <w:rPr>
                <w:bCs/>
                <w:iCs/>
                <w:color w:val="000000"/>
                <w:sz w:val="24"/>
                <w:szCs w:val="24"/>
              </w:rPr>
            </w:pPr>
            <w:r>
              <w:rPr>
                <w:rStyle w:val="Style5"/>
                <w:b w:val="false"/>
                <w:i w:val="false"/>
                <w:color w:val="000000"/>
                <w:sz w:val="24"/>
                <w:szCs w:val="24"/>
                <w:shd w:fill="auto" w:val="clear"/>
              </w:rPr>
              <w:t>- Передаточный документ (ТОРГ-12/УПД) (для поставки)</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jc w:val="both"/>
              <w:rPr>
                <w:rStyle w:val="Style5"/>
                <w:b w:val="false"/>
                <w:i w:val="false"/>
                <w:i w:val="false"/>
                <w:color w:val="000000"/>
                <w:sz w:val="24"/>
                <w:szCs w:val="24"/>
                <w:shd w:fill="auto" w:val="clear"/>
              </w:rPr>
            </w:pPr>
            <w:r>
              <w:rPr>
                <w:b w:val="false"/>
                <w:i w:val="false"/>
                <w:color w:val="000000"/>
                <w:sz w:val="24"/>
                <w:szCs w:val="24"/>
                <w:shd w:fill="auto" w:val="clear"/>
              </w:rPr>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4.</w:t>
            </w:r>
          </w:p>
        </w:tc>
        <w:tc>
          <w:tcPr>
            <w:tcW w:w="8411" w:type="dxa"/>
            <w:gridSpan w:val="3"/>
            <w:tcBorders>
              <w:left w:val="single" w:sz="4" w:space="0" w:color="000000"/>
              <w:bottom w:val="single" w:sz="4" w:space="0" w:color="000000"/>
              <w:right w:val="single" w:sz="4" w:space="0" w:color="000000"/>
            </w:tcBorders>
            <w:vAlign w:val="center"/>
          </w:tcPr>
          <w:p>
            <w:pPr>
              <w:pStyle w:val="Normal"/>
              <w:keepNext w:val="true"/>
              <w:shd w:val="clear" w:color="auto" w:fill="FFFFFF" w:themeFill="background1"/>
              <w:spacing w:before="60" w:after="60"/>
              <w:rPr>
                <w:sz w:val="24"/>
                <w:szCs w:val="24"/>
              </w:rPr>
            </w:pPr>
            <w:r>
              <w:rPr>
                <w:rStyle w:val="Style5"/>
                <w:b w:val="false"/>
                <w:i w:val="false"/>
                <w:color w:val="000000"/>
                <w:sz w:val="24"/>
                <w:szCs w:val="24"/>
                <w:shd w:fill="auto" w:val="clear"/>
              </w:rPr>
              <w:t>Требования к обязательствам контрагента, влияющим на исполнение договора</w:t>
            </w:r>
          </w:p>
        </w:tc>
        <w:tc>
          <w:tcPr>
            <w:tcW w:w="1985" w:type="dxa"/>
            <w:tcBorders>
              <w:left w:val="single" w:sz="4" w:space="0" w:color="000000"/>
              <w:bottom w:val="single" w:sz="4" w:space="0" w:color="000000"/>
              <w:right w:val="single" w:sz="4" w:space="0" w:color="000000"/>
            </w:tcBorders>
          </w:tcPr>
          <w:p>
            <w:pPr>
              <w:pStyle w:val="Normal"/>
              <w:keepNext w:val="true"/>
              <w:shd w:val="clear" w:color="auto" w:fill="FFFFFF" w:themeFill="background1"/>
              <w:spacing w:before="60" w:after="60"/>
              <w:jc w:val="center"/>
              <w:rPr>
                <w:rStyle w:val="Style5"/>
                <w:b w:val="false"/>
                <w:i w:val="false"/>
                <w:i w:val="false"/>
                <w:color w:val="000000"/>
                <w:sz w:val="24"/>
                <w:szCs w:val="24"/>
                <w:shd w:fill="auto" w:val="clear"/>
              </w:rPr>
            </w:pPr>
            <w:r>
              <w:rPr>
                <w:b/>
                <w:sz w:val="24"/>
                <w:szCs w:val="24"/>
              </w:rPr>
              <w:t>-//-</w:t>
            </w:r>
          </w:p>
        </w:tc>
        <w:tc>
          <w:tcPr>
            <w:tcW w:w="2268" w:type="dxa"/>
            <w:tcBorders>
              <w:left w:val="single" w:sz="4" w:space="0" w:color="000000"/>
              <w:bottom w:val="single" w:sz="4" w:space="0" w:color="000000"/>
              <w:right w:val="single" w:sz="4" w:space="0" w:color="000000"/>
            </w:tcBorders>
          </w:tcPr>
          <w:p>
            <w:pPr>
              <w:pStyle w:val="Normal"/>
              <w:keepNext w:val="true"/>
              <w:shd w:val="clear" w:color="auto" w:fill="FFFFFF" w:themeFill="background1"/>
              <w:spacing w:before="60" w:after="60"/>
              <w:jc w:val="center"/>
              <w:rPr>
                <w:rStyle w:val="Style5"/>
                <w:b w:val="false"/>
                <w:i w:val="false"/>
                <w:i w:val="false"/>
                <w:color w:val="000000"/>
                <w:sz w:val="24"/>
                <w:szCs w:val="24"/>
                <w:shd w:fill="auto" w:val="clear"/>
              </w:rPr>
            </w:pPr>
            <w:r>
              <w:rPr>
                <w:b/>
                <w:sz w:val="24"/>
                <w:szCs w:val="24"/>
              </w:rPr>
              <w:t>-//-</w:t>
            </w:r>
          </w:p>
        </w:tc>
        <w:tc>
          <w:tcPr>
            <w:tcW w:w="1842" w:type="dxa"/>
            <w:tcBorders>
              <w:left w:val="single" w:sz="4" w:space="0" w:color="000000"/>
              <w:bottom w:val="single" w:sz="4" w:space="0" w:color="000000"/>
              <w:right w:val="single" w:sz="4" w:space="0" w:color="000000"/>
            </w:tcBorders>
          </w:tcPr>
          <w:p>
            <w:pPr>
              <w:pStyle w:val="Normal"/>
              <w:keepNext w:val="true"/>
              <w:shd w:val="clear" w:color="auto" w:fill="FFFFFF" w:themeFill="background1"/>
              <w:spacing w:before="60" w:after="60"/>
              <w:rPr>
                <w:rStyle w:val="Style5"/>
                <w:b w:val="false"/>
                <w:i w:val="false"/>
                <w:i w:val="false"/>
                <w:color w:val="000000"/>
                <w:sz w:val="24"/>
                <w:szCs w:val="24"/>
                <w:shd w:fill="auto" w:val="clear"/>
              </w:rPr>
            </w:pPr>
            <w:r>
              <w:rPr>
                <w:b/>
                <w:sz w:val="24"/>
                <w:szCs w:val="24"/>
              </w:rPr>
              <w:t>-//-</w:t>
            </w:r>
          </w:p>
        </w:tc>
      </w:tr>
      <w:tr>
        <w:trPr/>
        <w:tc>
          <w:tcPr>
            <w:tcW w:w="797"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sz w:val="24"/>
                <w:szCs w:val="24"/>
              </w:rPr>
            </w:pPr>
            <w:r>
              <w:rPr>
                <w:rStyle w:val="Style5"/>
                <w:b w:val="false"/>
                <w:i w:val="false"/>
                <w:color w:val="000000"/>
                <w:sz w:val="24"/>
                <w:szCs w:val="24"/>
                <w:shd w:fill="auto" w:val="clear"/>
              </w:rPr>
              <w:t>4.1.</w:t>
            </w:r>
          </w:p>
        </w:tc>
        <w:tc>
          <w:tcPr>
            <w:tcW w:w="2317" w:type="dxa"/>
            <w:tcBorders>
              <w:left w:val="single" w:sz="4" w:space="0" w:color="000000"/>
              <w:bottom w:val="single" w:sz="4" w:space="0" w:color="000000"/>
            </w:tcBorders>
          </w:tcPr>
          <w:p>
            <w:pPr>
              <w:pStyle w:val="Normal"/>
              <w:shd w:val="clear" w:color="auto" w:fill="FFFFFF" w:themeFill="background1"/>
              <w:rPr>
                <w:sz w:val="24"/>
                <w:szCs w:val="24"/>
              </w:rPr>
            </w:pPr>
            <w:r>
              <w:rPr>
                <w:rStyle w:val="Style5"/>
                <w:b w:val="false"/>
                <w:i w:val="false"/>
                <w:color w:val="000000"/>
                <w:sz w:val="24"/>
                <w:szCs w:val="24"/>
                <w:shd w:fill="auto" w:val="clear"/>
              </w:rPr>
              <w:t>Требования к соисполнителям, привлекаемым к оказанию Услуг</w:t>
            </w:r>
          </w:p>
        </w:tc>
        <w:tc>
          <w:tcPr>
            <w:tcW w:w="6094" w:type="dxa"/>
            <w:gridSpan w:val="2"/>
            <w:tcBorders>
              <w:left w:val="single" w:sz="4" w:space="0" w:color="000000"/>
              <w:bottom w:val="single" w:sz="4" w:space="0" w:color="000000"/>
              <w:right w:val="single" w:sz="4" w:space="0" w:color="000000"/>
            </w:tcBorders>
          </w:tcPr>
          <w:p>
            <w:pPr>
              <w:pStyle w:val="Normal"/>
              <w:shd w:val="clear" w:color="auto" w:fill="FFFFFF" w:themeFill="background1"/>
              <w:rPr>
                <w:sz w:val="24"/>
                <w:szCs w:val="24"/>
              </w:rPr>
            </w:pPr>
            <w:r>
              <w:rPr>
                <w:rStyle w:val="Style5"/>
                <w:b w:val="false"/>
                <w:i w:val="false"/>
                <w:color w:val="000000"/>
                <w:sz w:val="24"/>
                <w:szCs w:val="24"/>
                <w:shd w:fill="auto" w:val="clear"/>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c>
          <w:tcPr>
            <w:tcW w:w="1985"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sz w:val="24"/>
                <w:szCs w:val="24"/>
              </w:rPr>
              <w:t>Согласие с требованиями</w:t>
            </w:r>
          </w:p>
        </w:tc>
        <w:tc>
          <w:tcPr>
            <w:tcW w:w="2268" w:type="dxa"/>
            <w:tcBorders>
              <w:left w:val="single" w:sz="4" w:space="0" w:color="000000"/>
              <w:bottom w:val="single" w:sz="4" w:space="0" w:color="000000"/>
              <w:right w:val="single" w:sz="4" w:space="0" w:color="000000"/>
            </w:tcBorders>
          </w:tcPr>
          <w:p>
            <w:pPr>
              <w:pStyle w:val="Normal"/>
              <w:shd w:val="clear" w:color="auto" w:fill="FFFFFF" w:themeFill="background1"/>
              <w:jc w:val="center"/>
              <w:rPr>
                <w:rStyle w:val="Style5"/>
                <w:b w:val="false"/>
                <w:i w:val="false"/>
                <w:i w:val="false"/>
                <w:color w:val="000000"/>
                <w:sz w:val="24"/>
                <w:szCs w:val="24"/>
                <w:shd w:fill="auto" w:val="clear"/>
              </w:rPr>
            </w:pPr>
            <w:r>
              <w:rPr>
                <w:b w:val="false"/>
                <w:i w:val="false"/>
                <w:color w:val="000000"/>
                <w:sz w:val="24"/>
                <w:szCs w:val="24"/>
                <w:shd w:fill="auto" w:val="clear"/>
              </w:rPr>
            </w:r>
          </w:p>
        </w:tc>
        <w:tc>
          <w:tcPr>
            <w:tcW w:w="1842" w:type="dxa"/>
            <w:tcBorders>
              <w:left w:val="single" w:sz="4" w:space="0" w:color="000000"/>
              <w:bottom w:val="single" w:sz="4" w:space="0" w:color="000000"/>
              <w:right w:val="single" w:sz="4" w:space="0" w:color="000000"/>
            </w:tcBorders>
          </w:tcPr>
          <w:p>
            <w:pPr>
              <w:pStyle w:val="Normal"/>
              <w:shd w:val="clear" w:color="auto" w:fill="FFFFFF" w:themeFill="background1"/>
              <w:rPr>
                <w:rStyle w:val="Style5"/>
                <w:b w:val="false"/>
                <w:i w:val="false"/>
                <w:i w:val="false"/>
                <w:color w:val="000000"/>
                <w:sz w:val="24"/>
                <w:szCs w:val="24"/>
                <w:shd w:fill="auto" w:val="clear"/>
              </w:rPr>
            </w:pPr>
            <w:r>
              <w:rPr>
                <w:b w:val="false"/>
                <w:i w:val="false"/>
                <w:color w:val="000000"/>
                <w:sz w:val="24"/>
                <w:szCs w:val="24"/>
                <w:shd w:fill="auto" w:val="clear"/>
              </w:rPr>
            </w:r>
          </w:p>
        </w:tc>
      </w:tr>
    </w:tbl>
    <w:p>
      <w:pPr>
        <w:pStyle w:val="Normal"/>
        <w:rPr>
          <w:sz w:val="24"/>
          <w:szCs w:val="24"/>
        </w:rPr>
      </w:pPr>
      <w:r>
        <w:rPr>
          <w:sz w:val="24"/>
          <w:szCs w:val="24"/>
        </w:rPr>
      </w:r>
    </w:p>
    <w:p>
      <w:pPr>
        <w:sectPr>
          <w:headerReference w:type="default" r:id="rId12"/>
          <w:headerReference w:type="first" r:id="rId13"/>
          <w:footerReference w:type="default" r:id="rId14"/>
          <w:footerReference w:type="first" r:id="rId15"/>
          <w:type w:val="nextPage"/>
          <w:pgSz w:orient="landscape" w:w="16838" w:h="11906"/>
          <w:pgMar w:left="1134" w:right="1134" w:gutter="0" w:header="1134" w:top="1191" w:footer="1134" w:bottom="1417"/>
          <w:pgNumType w:fmt="decimal"/>
          <w:formProt w:val="false"/>
          <w:textDirection w:val="lrTb"/>
          <w:docGrid w:type="default" w:linePitch="100" w:charSpace="81920"/>
        </w:sectPr>
        <w:pStyle w:val="Normal"/>
        <w:rPr>
          <w:sz w:val="24"/>
          <w:szCs w:val="24"/>
        </w:rPr>
      </w:pPr>
      <w:r>
        <w:rPr>
          <w:sz w:val="24"/>
          <w:szCs w:val="24"/>
        </w:rPr>
      </w:r>
    </w:p>
    <w:p>
      <w:pPr>
        <w:pStyle w:val="Normal"/>
        <w:keepNext w:val="true"/>
        <w:numPr>
          <w:ilvl w:val="0"/>
          <w:numId w:val="0"/>
        </w:numPr>
        <w:suppressAutoHyphens w:val="false"/>
        <w:spacing w:before="360" w:after="120"/>
        <w:ind w:left="358"/>
        <w:outlineLvl w:val="0"/>
        <w:rPr>
          <w:b/>
          <w:sz w:val="24"/>
          <w:szCs w:val="24"/>
        </w:rPr>
      </w:pPr>
      <w:bookmarkStart w:id="46" w:name="_Toc161068856"/>
      <w:bookmarkStart w:id="47" w:name="_Toc162275085"/>
      <w:r>
        <w:rPr>
          <w:b/>
          <w:sz w:val="24"/>
          <w:szCs w:val="24"/>
        </w:rPr>
        <w:t>3. Требования к документации по ценообразованию</w:t>
      </w:r>
      <w:bookmarkEnd w:id="46"/>
      <w:bookmarkEnd w:id="47"/>
      <w:r>
        <w:rPr>
          <w:b/>
          <w:sz w:val="24"/>
          <w:szCs w:val="24"/>
        </w:rPr>
        <w:t xml:space="preserve"> на этапе закупки</w:t>
      </w:r>
    </w:p>
    <w:p>
      <w:pPr>
        <w:pStyle w:val="Normal"/>
        <w:widowControl/>
        <w:numPr>
          <w:ilvl w:val="1"/>
          <w:numId w:val="10"/>
        </w:numPr>
        <w:suppressAutoHyphens w:val="false"/>
        <w:spacing w:before="40" w:after="40"/>
        <w:ind w:firstLine="277" w:left="0"/>
        <w:jc w:val="both"/>
        <w:rPr>
          <w:rFonts w:eastAsia="Calibri"/>
          <w:sz w:val="24"/>
          <w:szCs w:val="24"/>
        </w:rPr>
      </w:pPr>
      <w:r>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numPr>
          <w:ilvl w:val="1"/>
          <w:numId w:val="10"/>
        </w:numPr>
        <w:suppressAutoHyphens w:val="false"/>
        <w:spacing w:before="40" w:after="40"/>
        <w:ind w:firstLine="277" w:left="0"/>
        <w:jc w:val="both"/>
        <w:rPr>
          <w:rFonts w:eastAsia="Calibri"/>
          <w:sz w:val="24"/>
          <w:szCs w:val="24"/>
        </w:rPr>
      </w:pPr>
      <w:r>
        <w:rPr>
          <w:rFonts w:eastAsia="Calibri"/>
          <w:sz w:val="24"/>
          <w:szCs w:val="24"/>
        </w:rPr>
        <w:t>Дополнительные документы по ценообразованию (сметная документация) в состав заявки Участника не включаются.</w:t>
      </w:r>
    </w:p>
    <w:p>
      <w:pPr>
        <w:pStyle w:val="Normal"/>
        <w:widowControl/>
        <w:numPr>
          <w:ilvl w:val="1"/>
          <w:numId w:val="10"/>
        </w:numPr>
        <w:suppressAutoHyphens w:val="false"/>
        <w:spacing w:before="40" w:after="40"/>
        <w:ind w:firstLine="277" w:left="0"/>
        <w:jc w:val="both"/>
        <w:rPr>
          <w:rFonts w:eastAsia="Calibri"/>
          <w:sz w:val="24"/>
          <w:szCs w:val="24"/>
        </w:rPr>
      </w:pPr>
      <w:r>
        <w:rPr>
          <w:rFonts w:eastAsia="Calibri"/>
          <w:sz w:val="24"/>
          <w:szCs w:val="24"/>
        </w:rPr>
        <w:t xml:space="preserve">Вместе с Коммерческим предложением Участник должен предоставить в составе заявки спецификацию поставляемого оборудования и МТР с разделением </w:t>
      </w:r>
      <w:bookmarkStart w:id="48" w:name="_GoBack"/>
      <w:bookmarkEnd w:id="48"/>
      <w:r>
        <w:rPr>
          <w:rFonts w:eastAsia="Calibri"/>
          <w:sz w:val="24"/>
          <w:szCs w:val="24"/>
        </w:rPr>
        <w:t>на позиции с указанием полного наименования (тип, марка, артикул) каждой составляющей и стоимости за единицу).</w:t>
      </w:r>
    </w:p>
    <w:p>
      <w:pPr>
        <w:pStyle w:val="Normal"/>
        <w:keepNext w:val="true"/>
        <w:numPr>
          <w:ilvl w:val="0"/>
          <w:numId w:val="0"/>
        </w:numPr>
        <w:suppressAutoHyphens w:val="false"/>
        <w:spacing w:before="360" w:after="120"/>
        <w:ind w:left="358"/>
        <w:outlineLvl w:val="0"/>
        <w:rPr>
          <w:b/>
          <w:sz w:val="24"/>
          <w:szCs w:val="24"/>
        </w:rPr>
      </w:pPr>
      <w:r>
        <w:rPr>
          <w:b/>
          <w:sz w:val="24"/>
          <w:szCs w:val="24"/>
        </w:rPr>
        <w:t>4.Требования к документации по ценообразованию на этапе заключения (исполнения) договора</w:t>
      </w:r>
    </w:p>
    <w:p>
      <w:pPr>
        <w:pStyle w:val="Normal"/>
        <w:rPr>
          <w:rFonts w:eastAsia="Calibri"/>
        </w:rPr>
      </w:pPr>
      <w:r>
        <w:rPr>
          <w:rFonts w:eastAsia="Calibri"/>
        </w:rPr>
      </w:r>
    </w:p>
    <w:p>
      <w:pPr>
        <w:pStyle w:val="ListParagraph"/>
        <w:widowControl/>
        <w:numPr>
          <w:ilvl w:val="0"/>
          <w:numId w:val="10"/>
        </w:numPr>
        <w:tabs>
          <w:tab w:val="clear" w:pos="720"/>
          <w:tab w:val="left" w:pos="1453" w:leader="none"/>
        </w:tabs>
        <w:suppressAutoHyphens w:val="false"/>
        <w:spacing w:before="40" w:after="40"/>
        <w:contextualSpacing w:val="false"/>
        <w:rPr>
          <w:rFonts w:eastAsia="Calibri"/>
          <w:vanish/>
          <w:sz w:val="24"/>
          <w:szCs w:val="24"/>
        </w:rPr>
      </w:pPr>
      <w:r>
        <w:rPr>
          <w:rFonts w:eastAsia="Calibri"/>
          <w:vanish/>
          <w:sz w:val="24"/>
          <w:szCs w:val="24"/>
        </w:rPr>
      </w:r>
    </w:p>
    <w:p>
      <w:pPr>
        <w:pStyle w:val="Normal"/>
        <w:widowControl/>
        <w:numPr>
          <w:ilvl w:val="1"/>
          <w:numId w:val="10"/>
        </w:numPr>
        <w:tabs>
          <w:tab w:val="clear" w:pos="720"/>
          <w:tab w:val="left" w:pos="1453" w:leader="none"/>
        </w:tabs>
        <w:suppressAutoHyphens w:val="false"/>
        <w:spacing w:before="40" w:after="40"/>
        <w:ind w:hanging="360" w:left="637"/>
        <w:rPr>
          <w:rFonts w:eastAsia="Calibri"/>
          <w:sz w:val="24"/>
          <w:szCs w:val="24"/>
        </w:rPr>
      </w:pPr>
      <w:r>
        <w:rPr>
          <w:rFonts w:eastAsia="Calibri"/>
          <w:sz w:val="24"/>
          <w:szCs w:val="24"/>
        </w:rPr>
        <w:t>Требования к документации к ценообразованию на этапе заключения (исполнения) договора указаны в Приложении №1 Требования к оформлению и составлению сметной документации.</w:t>
      </w:r>
    </w:p>
    <w:p>
      <w:pPr>
        <w:pStyle w:val="Normal"/>
        <w:widowControl/>
        <w:suppressAutoHyphens w:val="false"/>
        <w:spacing w:before="40" w:after="40"/>
        <w:ind w:left="277"/>
        <w:rPr>
          <w:rFonts w:eastAsia="Calibri"/>
          <w:sz w:val="24"/>
          <w:szCs w:val="24"/>
        </w:rPr>
      </w:pPr>
      <w:r>
        <w:rPr>
          <w:rFonts w:eastAsia="Calibri"/>
          <w:sz w:val="24"/>
          <w:szCs w:val="24"/>
        </w:rPr>
      </w:r>
    </w:p>
    <w:p>
      <w:pPr>
        <w:pStyle w:val="Normal"/>
        <w:keepNext w:val="true"/>
        <w:numPr>
          <w:ilvl w:val="0"/>
          <w:numId w:val="0"/>
        </w:numPr>
        <w:suppressAutoHyphens w:val="false"/>
        <w:spacing w:before="360" w:after="120"/>
        <w:ind w:left="358"/>
        <w:outlineLvl w:val="0"/>
        <w:rPr>
          <w:b/>
          <w:sz w:val="24"/>
          <w:szCs w:val="24"/>
        </w:rPr>
      </w:pPr>
      <w:r>
        <w:rPr>
          <w:b/>
          <w:sz w:val="24"/>
          <w:szCs w:val="24"/>
        </w:rPr>
        <w:t>5. Перечень приложений</w:t>
      </w:r>
    </w:p>
    <w:p>
      <w:pPr>
        <w:pStyle w:val="Normal"/>
        <w:rPr>
          <w:sz w:val="24"/>
          <w:szCs w:val="24"/>
        </w:rPr>
      </w:pPr>
      <w:r>
        <w:rPr>
          <w:sz w:val="24"/>
          <w:szCs w:val="24"/>
        </w:rPr>
      </w:r>
    </w:p>
    <w:p>
      <w:pPr>
        <w:pStyle w:val="Normal"/>
        <w:rPr>
          <w:sz w:val="24"/>
          <w:szCs w:val="24"/>
        </w:rPr>
      </w:pPr>
      <w:r>
        <w:rPr>
          <w:sz w:val="24"/>
          <w:szCs w:val="24"/>
        </w:rPr>
        <w:t>Приложение №1. Требования к оформлению и составлению сметной документации.</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shd w:val="clear" w:color="auto" w:fill="FFFFFF" w:themeFill="background1"/>
        <w:spacing w:before="120" w:after="60"/>
        <w:contextualSpacing/>
        <w:jc w:val="right"/>
        <w:rPr>
          <w:color w:val="000000"/>
          <w:sz w:val="24"/>
          <w:szCs w:val="24"/>
        </w:rPr>
      </w:pPr>
      <w:r>
        <w:rPr>
          <w:color w:val="000000"/>
          <w:sz w:val="24"/>
          <w:szCs w:val="24"/>
        </w:rPr>
      </w:r>
    </w:p>
    <w:sectPr>
      <w:headerReference w:type="default" r:id="rId16"/>
      <w:headerReference w:type="first" r:id="rId17"/>
      <w:footerReference w:type="default" r:id="rId18"/>
      <w:footerReference w:type="first" r:id="rId19"/>
      <w:type w:val="nextPage"/>
      <w:pgSz w:w="11906" w:h="16838"/>
      <w:pgMar w:left="1418" w:right="851" w:gutter="0" w:header="709" w:top="1134" w:footer="709" w:bottom="940"/>
      <w:pgNumType w:fmt="decimal"/>
      <w:formProt w:val="false"/>
      <w:textDirection w:val="lrTb"/>
      <w:docGrid w:type="default" w:linePitch="299" w:charSpace="1064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OpenSymbol">
    <w:altName w:val="Arial Unicode MS"/>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Calibri">
    <w:charset w:val="01"/>
    <w:family w:val="roman"/>
    <w:pitch w:val="variable"/>
  </w:font>
  <w:font w:name="PT Sans">
    <w:charset w:val="01"/>
    <w:family w:val="swiss"/>
    <w:pitch w:val="variable"/>
  </w:font>
  <w:font w:name="Verdana">
    <w:charset w:val="01"/>
    <w:family w:val="roman"/>
    <w:pitch w:val="variable"/>
  </w:font>
  <w:font w:name="Garamond">
    <w:charset w:val="01"/>
    <w:family w:val="roman"/>
    <w:pitch w:val="variable"/>
  </w:font>
  <w:font w:name="Arial Unicode MS">
    <w:charset w:val="01"/>
    <w:family w:val="roman"/>
    <w:pitch w:val="variable"/>
  </w:font>
  <w:font w:name="ISOCPEUR">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360"/>
      </w:pPr>
      <w:rPr/>
    </w:lvl>
    <w:lvl w:ilvl="1">
      <w:start w:val="0"/>
      <w:numFmt w:val="none"/>
      <w:suff w:val="nothing"/>
      <w:lvlText w:val=""/>
      <w:lvlJc w:val="left"/>
      <w:pPr>
        <w:tabs>
          <w:tab w:val="num" w:pos="360"/>
        </w:tabs>
        <w:ind w:left="0" w:hanging="0"/>
      </w:pPr>
      <w:rPr/>
    </w:lvl>
    <w:lvl w:ilvl="2">
      <w:start w:val="0"/>
      <w:numFmt w:val="none"/>
      <w:suff w:val="nothing"/>
      <w:lvlText w:val=""/>
      <w:lvlJc w:val="left"/>
      <w:pPr>
        <w:tabs>
          <w:tab w:val="num" w:pos="360"/>
        </w:tabs>
        <w:ind w:left="0" w:hanging="0"/>
      </w:pPr>
      <w:rPr/>
    </w:lvl>
    <w:lvl w:ilvl="3">
      <w:start w:val="0"/>
      <w:numFmt w:val="none"/>
      <w:suff w:val="nothing"/>
      <w:lvlText w:val=""/>
      <w:lvlJc w:val="left"/>
      <w:pPr>
        <w:tabs>
          <w:tab w:val="num" w:pos="360"/>
        </w:tabs>
        <w:ind w:left="0" w:hanging="0"/>
      </w:pPr>
      <w:rPr/>
    </w:lvl>
    <w:lvl w:ilvl="4">
      <w:start w:val="0"/>
      <w:numFmt w:val="none"/>
      <w:suff w:val="nothing"/>
      <w:lvlText w:val=""/>
      <w:lvlJc w:val="left"/>
      <w:pPr>
        <w:tabs>
          <w:tab w:val="num" w:pos="360"/>
        </w:tabs>
        <w:ind w:left="0" w:hanging="0"/>
      </w:pPr>
      <w:rPr/>
    </w:lvl>
    <w:lvl w:ilvl="5">
      <w:start w:val="0"/>
      <w:numFmt w:val="none"/>
      <w:suff w:val="nothing"/>
      <w:lvlText w:val=""/>
      <w:lvlJc w:val="left"/>
      <w:pPr>
        <w:tabs>
          <w:tab w:val="num" w:pos="360"/>
        </w:tabs>
        <w:ind w:left="0" w:hanging="0"/>
      </w:pPr>
      <w:rPr/>
    </w:lvl>
    <w:lvl w:ilvl="6">
      <w:start w:val="0"/>
      <w:numFmt w:val="none"/>
      <w:suff w:val="nothing"/>
      <w:lvlText w:val=""/>
      <w:lvlJc w:val="left"/>
      <w:pPr>
        <w:tabs>
          <w:tab w:val="num" w:pos="360"/>
        </w:tabs>
        <w:ind w:left="0" w:hanging="0"/>
      </w:pPr>
      <w:rPr/>
    </w:lvl>
    <w:lvl w:ilvl="7">
      <w:start w:val="0"/>
      <w:numFmt w:val="none"/>
      <w:suff w:val="nothing"/>
      <w:lvlText w:val=""/>
      <w:lvlJc w:val="left"/>
      <w:pPr>
        <w:tabs>
          <w:tab w:val="num" w:pos="360"/>
        </w:tabs>
        <w:ind w:left="0" w:hanging="0"/>
      </w:pPr>
      <w:rPr/>
    </w:lvl>
    <w:lvl w:ilvl="8">
      <w:start w:val="0"/>
      <w:numFmt w:val="none"/>
      <w:suff w:val="nothing"/>
      <w:lvlText w:val=""/>
      <w:lvlJc w:val="left"/>
      <w:pPr>
        <w:tabs>
          <w:tab w:val="num" w:pos="360"/>
        </w:tabs>
        <w:ind w:left="0" w:hanging="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930"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0"/>
        </w:tabs>
        <w:ind w:left="360" w:hanging="360"/>
      </w:pPr>
      <w:rPr/>
    </w:lvl>
    <w:lvl w:ilvl="1">
      <w:start w:val="1"/>
      <w:numFmt w:val="decimal"/>
      <w:suff w:val="nothing"/>
      <w:lvlText w:val="%1.%2."/>
      <w:lvlJc w:val="left"/>
      <w:pPr>
        <w:tabs>
          <w:tab w:val="num" w:pos="0"/>
        </w:tabs>
        <w:ind w:left="0" w:firstLine="360"/>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effect w:val="none"/>
        <w:szCs w:val="28"/>
        <w:iCs w:val="false"/>
        <w:bCs w:val="false"/>
        <w:em w:val="none"/>
        <w:vanish w:val="false"/>
        <w:rFonts w:cs="Times New Roman"/>
        <w:color w:val="000000"/>
      </w:rPr>
    </w:lvl>
    <w:lvl w:ilvl="1">
      <w:start w:val="1"/>
      <w:numFmt w:val="decimal"/>
      <w:lvlText w:val="%1.%2."/>
      <w:lvlJc w:val="left"/>
      <w:pPr>
        <w:tabs>
          <w:tab w:val="num" w:pos="0"/>
        </w:tabs>
        <w:ind w:left="792" w:hanging="432"/>
      </w:pPr>
      <w:rPr>
        <w:sz w:val="24"/>
        <w:i w:val="false"/>
        <w:b/>
        <w:szCs w:val="24"/>
        <w:iCs/>
        <w:bCs/>
      </w:rPr>
    </w:lvl>
    <w:lvl w:ilvl="2">
      <w:start w:val="1"/>
      <w:numFmt w:val="decimal"/>
      <w:lvlText w:val="%1.%2.%3."/>
      <w:lvlJc w:val="left"/>
      <w:pPr>
        <w:tabs>
          <w:tab w:val="num" w:pos="0"/>
        </w:tabs>
        <w:ind w:left="1224" w:hanging="504"/>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8">
    <w:lvl w:ilvl="0">
      <w:start w:val="1"/>
      <w:numFmt w:val="bullet"/>
      <w:lvlText w:val="−"/>
      <w:lvlJc w:val="left"/>
      <w:pPr>
        <w:tabs>
          <w:tab w:val="num" w:pos="0"/>
        </w:tabs>
        <w:ind w:left="1855" w:hanging="360"/>
      </w:pPr>
      <w:rPr>
        <w:rFonts w:ascii="Times New Roman" w:hAnsi="Times New Roman" w:cs="Times New Roman" w:hint="default"/>
      </w:rPr>
    </w:lvl>
    <w:lvl w:ilvl="1">
      <w:start w:val="1"/>
      <w:numFmt w:val="bullet"/>
      <w:lvlText w:val="o"/>
      <w:lvlJc w:val="left"/>
      <w:pPr>
        <w:tabs>
          <w:tab w:val="num" w:pos="0"/>
        </w:tabs>
        <w:ind w:left="2575" w:hanging="360"/>
      </w:pPr>
      <w:rPr>
        <w:rFonts w:ascii="Courier New" w:hAnsi="Courier New" w:cs="Courier New" w:hint="default"/>
      </w:rPr>
    </w:lvl>
    <w:lvl w:ilvl="2">
      <w:start w:val="1"/>
      <w:numFmt w:val="bullet"/>
      <w:lvlText w:val=""/>
      <w:lvlJc w:val="left"/>
      <w:pPr>
        <w:tabs>
          <w:tab w:val="num" w:pos="0"/>
        </w:tabs>
        <w:ind w:left="3295" w:hanging="360"/>
      </w:pPr>
      <w:rPr>
        <w:rFonts w:ascii="Wingdings" w:hAnsi="Wingdings" w:cs="Wingdings" w:hint="default"/>
      </w:rPr>
    </w:lvl>
    <w:lvl w:ilvl="3">
      <w:start w:val="1"/>
      <w:numFmt w:val="bullet"/>
      <w:lvlText w:val=""/>
      <w:lvlJc w:val="left"/>
      <w:pPr>
        <w:tabs>
          <w:tab w:val="num" w:pos="0"/>
        </w:tabs>
        <w:ind w:left="4015" w:hanging="360"/>
      </w:pPr>
      <w:rPr>
        <w:rFonts w:ascii="Symbol" w:hAnsi="Symbol" w:cs="Symbol" w:hint="default"/>
      </w:rPr>
    </w:lvl>
    <w:lvl w:ilvl="4">
      <w:start w:val="1"/>
      <w:numFmt w:val="bullet"/>
      <w:lvlText w:val="o"/>
      <w:lvlJc w:val="left"/>
      <w:pPr>
        <w:tabs>
          <w:tab w:val="num" w:pos="0"/>
        </w:tabs>
        <w:ind w:left="4735" w:hanging="360"/>
      </w:pPr>
      <w:rPr>
        <w:rFonts w:ascii="Courier New" w:hAnsi="Courier New" w:cs="Courier New" w:hint="default"/>
      </w:rPr>
    </w:lvl>
    <w:lvl w:ilvl="5">
      <w:start w:val="1"/>
      <w:numFmt w:val="bullet"/>
      <w:lvlText w:val=""/>
      <w:lvlJc w:val="left"/>
      <w:pPr>
        <w:tabs>
          <w:tab w:val="num" w:pos="0"/>
        </w:tabs>
        <w:ind w:left="5455" w:hanging="360"/>
      </w:pPr>
      <w:rPr>
        <w:rFonts w:ascii="Wingdings" w:hAnsi="Wingdings" w:cs="Wingdings" w:hint="default"/>
      </w:rPr>
    </w:lvl>
    <w:lvl w:ilvl="6">
      <w:start w:val="1"/>
      <w:numFmt w:val="bullet"/>
      <w:lvlText w:val=""/>
      <w:lvlJc w:val="left"/>
      <w:pPr>
        <w:tabs>
          <w:tab w:val="num" w:pos="0"/>
        </w:tabs>
        <w:ind w:left="6175" w:hanging="360"/>
      </w:pPr>
      <w:rPr>
        <w:rFonts w:ascii="Symbol" w:hAnsi="Symbol" w:cs="Symbol" w:hint="default"/>
      </w:rPr>
    </w:lvl>
    <w:lvl w:ilvl="7">
      <w:start w:val="1"/>
      <w:numFmt w:val="bullet"/>
      <w:lvlText w:val="o"/>
      <w:lvlJc w:val="left"/>
      <w:pPr>
        <w:tabs>
          <w:tab w:val="num" w:pos="0"/>
        </w:tabs>
        <w:ind w:left="6895" w:hanging="360"/>
      </w:pPr>
      <w:rPr>
        <w:rFonts w:ascii="Courier New" w:hAnsi="Courier New" w:cs="Courier New" w:hint="default"/>
      </w:rPr>
    </w:lvl>
    <w:lvl w:ilvl="8">
      <w:start w:val="1"/>
      <w:numFmt w:val="bullet"/>
      <w:lvlText w:val=""/>
      <w:lvlJc w:val="left"/>
      <w:pPr>
        <w:tabs>
          <w:tab w:val="num" w:pos="0"/>
        </w:tabs>
        <w:ind w:left="7615"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lvl w:ilvl="0">
      <w:start w:val="3"/>
      <w:numFmt w:val="decimal"/>
      <w:lvlText w:val="%1."/>
      <w:lvlJc w:val="left"/>
      <w:pPr>
        <w:tabs>
          <w:tab w:val="num" w:pos="0"/>
        </w:tabs>
        <w:ind w:left="360" w:hanging="360"/>
      </w:pPr>
      <w:rPr>
        <w:i w:val="false"/>
        <w:rFonts w:eastAsia="Calibri"/>
      </w:rPr>
    </w:lvl>
    <w:lvl w:ilvl="1">
      <w:start w:val="1"/>
      <w:numFmt w:val="decimal"/>
      <w:lvlText w:val="%1.%2."/>
      <w:lvlJc w:val="left"/>
      <w:pPr>
        <w:tabs>
          <w:tab w:val="num" w:pos="0"/>
        </w:tabs>
        <w:ind w:left="720" w:hanging="360"/>
      </w:pPr>
      <w:rPr>
        <w:i w:val="false"/>
        <w:rFonts w:eastAsia="Calibri"/>
      </w:rPr>
    </w:lvl>
    <w:lvl w:ilvl="2">
      <w:start w:val="1"/>
      <w:numFmt w:val="decimal"/>
      <w:lvlText w:val="%1.%2.%3."/>
      <w:lvlJc w:val="left"/>
      <w:pPr>
        <w:tabs>
          <w:tab w:val="num" w:pos="0"/>
        </w:tabs>
        <w:ind w:left="1440" w:hanging="720"/>
      </w:pPr>
      <w:rPr>
        <w:i w:val="false"/>
        <w:rFonts w:eastAsia="Calibri"/>
      </w:rPr>
    </w:lvl>
    <w:lvl w:ilvl="3">
      <w:start w:val="1"/>
      <w:numFmt w:val="decimal"/>
      <w:lvlText w:val="%1.%2.%3.%4."/>
      <w:lvlJc w:val="left"/>
      <w:pPr>
        <w:tabs>
          <w:tab w:val="num" w:pos="0"/>
        </w:tabs>
        <w:ind w:left="1800" w:hanging="720"/>
      </w:pPr>
      <w:rPr>
        <w:i w:val="false"/>
        <w:rFonts w:eastAsia="Calibri"/>
      </w:rPr>
    </w:lvl>
    <w:lvl w:ilvl="4">
      <w:start w:val="1"/>
      <w:numFmt w:val="decimal"/>
      <w:lvlText w:val="%1.%2.%3.%4.%5."/>
      <w:lvlJc w:val="left"/>
      <w:pPr>
        <w:tabs>
          <w:tab w:val="num" w:pos="0"/>
        </w:tabs>
        <w:ind w:left="2520" w:hanging="1080"/>
      </w:pPr>
      <w:rPr>
        <w:i w:val="false"/>
        <w:rFonts w:eastAsia="Calibri"/>
      </w:rPr>
    </w:lvl>
    <w:lvl w:ilvl="5">
      <w:start w:val="1"/>
      <w:numFmt w:val="decimal"/>
      <w:lvlText w:val="%1.%2.%3.%4.%5.%6."/>
      <w:lvlJc w:val="left"/>
      <w:pPr>
        <w:tabs>
          <w:tab w:val="num" w:pos="0"/>
        </w:tabs>
        <w:ind w:left="2880" w:hanging="1080"/>
      </w:pPr>
      <w:rPr>
        <w:i w:val="false"/>
        <w:rFonts w:eastAsia="Calibri"/>
      </w:rPr>
    </w:lvl>
    <w:lvl w:ilvl="6">
      <w:start w:val="1"/>
      <w:numFmt w:val="decimal"/>
      <w:lvlText w:val="%1.%2.%3.%4.%5.%6.%7."/>
      <w:lvlJc w:val="left"/>
      <w:pPr>
        <w:tabs>
          <w:tab w:val="num" w:pos="0"/>
        </w:tabs>
        <w:ind w:left="3600" w:hanging="1440"/>
      </w:pPr>
      <w:rPr>
        <w:i w:val="false"/>
        <w:rFonts w:eastAsia="Calibri"/>
      </w:rPr>
    </w:lvl>
    <w:lvl w:ilvl="7">
      <w:start w:val="1"/>
      <w:numFmt w:val="decimal"/>
      <w:lvlText w:val="%1.%2.%3.%4.%5.%6.%7.%8."/>
      <w:lvlJc w:val="left"/>
      <w:pPr>
        <w:tabs>
          <w:tab w:val="num" w:pos="0"/>
        </w:tabs>
        <w:ind w:left="3960" w:hanging="1440"/>
      </w:pPr>
      <w:rPr>
        <w:i w:val="false"/>
        <w:rFonts w:eastAsia="Calibri"/>
      </w:rPr>
    </w:lvl>
    <w:lvl w:ilvl="8">
      <w:start w:val="1"/>
      <w:numFmt w:val="decimal"/>
      <w:lvlText w:val="%1.%2.%3.%4.%5.%6.%7.%8.%9."/>
      <w:lvlJc w:val="left"/>
      <w:pPr>
        <w:tabs>
          <w:tab w:val="num" w:pos="0"/>
        </w:tabs>
        <w:ind w:left="4680" w:hanging="1800"/>
      </w:pPr>
      <w:rPr>
        <w:i w:val="false"/>
        <w:rFonts w:eastAsia="Calibri"/>
      </w:rPr>
    </w:lvl>
  </w:abstractNum>
  <w:abstractNum w:abstractNumId="11">
    <w:lvl w:ilvl="0">
      <w:start w:val="1"/>
      <w:numFmt w:val="decimal"/>
      <w:lvlText w:val="%1."/>
      <w:lvlJc w:val="left"/>
      <w:pPr>
        <w:tabs>
          <w:tab w:val="num" w:pos="0"/>
        </w:tabs>
        <w:ind w:left="360" w:hanging="360"/>
      </w:pPr>
      <w:rPr/>
    </w:lvl>
    <w:lvl w:ilvl="1">
      <w:start w:val="1"/>
      <w:numFmt w:val="decimal"/>
      <w:suff w:val="nothing"/>
      <w:lvlText w:val="%1.%2."/>
      <w:lvlJc w:val="left"/>
      <w:pPr>
        <w:tabs>
          <w:tab w:val="num" w:pos="0"/>
        </w:tabs>
        <w:ind w:left="0" w:firstLine="360"/>
      </w:pPr>
      <w:rPr/>
    </w:lvl>
    <w:lvl w:ilvl="2">
      <w:start w:val="1"/>
      <w:numFmt w:val="decimal"/>
      <w:suff w:val="nothing"/>
      <w:lvlText w:val="%1.%2.%3."/>
      <w:lvlJc w:val="left"/>
      <w:pPr>
        <w:tabs>
          <w:tab w:val="num" w:pos="0"/>
        </w:tabs>
        <w:ind w:left="0" w:firstLine="720"/>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4"/>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semiHidden="1" w:unhideWhenUsed="1" w:qFormat="1"/>
    <w:lsdException w:name="index 1" w:uiPriority="99"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uiPriority="35"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99"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qFormat="1"/>
    <w:lsdException w:name="HTML Top of Form" w:semiHidden="1" w:unhideWhenUsed="1"/>
    <w:lsdException w:name="HTML Bottom of Form"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1"/>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link w:val="211"/>
    <w:qFormat/>
    <w:rsid w:val="00fe4469"/>
    <w:pPr>
      <w:keepLines w:val="false"/>
      <w:widowControl/>
      <w:numPr>
        <w:ilvl w:val="1"/>
        <w:numId w:val="7"/>
      </w:numPr>
      <w:suppressAutoHyphens w:val="false"/>
      <w:spacing w:before="120" w:after="60"/>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unhideWhenUsed/>
    <w:qFormat/>
    <w:rsid w:val="004b006b"/>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paragraph" w:styleId="Heading5">
    <w:name w:val="Heading 5"/>
    <w:basedOn w:val="Normal"/>
    <w:link w:val="5"/>
    <w:uiPriority w:val="9"/>
    <w:qFormat/>
    <w:rsid w:val="00fe4469"/>
    <w:pPr>
      <w:widowControl/>
      <w:suppressAutoHyphens w:val="false"/>
      <w:spacing w:before="240" w:after="60"/>
      <w:outlineLvl w:val="4"/>
    </w:pPr>
    <w:rPr>
      <w:b/>
      <w:bCs/>
      <w:i/>
      <w:iCs/>
      <w:sz w:val="26"/>
      <w:szCs w:val="26"/>
      <w:lang w:val="x-none" w:eastAsia="x-none"/>
    </w:rPr>
  </w:style>
  <w:style w:type="paragraph" w:styleId="Heading6">
    <w:name w:val="Heading 6"/>
    <w:basedOn w:val="Normal"/>
    <w:link w:val="6"/>
    <w:uiPriority w:val="9"/>
    <w:qFormat/>
    <w:rsid w:val="00fe4469"/>
    <w:pPr>
      <w:keepNext w:val="true"/>
      <w:keepLines/>
      <w:widowControl/>
      <w:suppressAutoHyphens w:val="false"/>
      <w:spacing w:before="200" w:after="0"/>
      <w:outlineLvl w:val="5"/>
    </w:pPr>
    <w:rPr>
      <w:rFonts w:ascii="Cambria" w:hAnsi="Cambria"/>
      <w:i/>
      <w:iCs/>
      <w:color w:val="243F60"/>
      <w:lang w:val="x-none" w:eastAsia="x-none"/>
    </w:rPr>
  </w:style>
  <w:style w:type="paragraph" w:styleId="Heading7">
    <w:name w:val="Heading 7"/>
    <w:basedOn w:val="Normal"/>
    <w:link w:val="7"/>
    <w:uiPriority w:val="9"/>
    <w:qFormat/>
    <w:rsid w:val="00fe4469"/>
    <w:pPr>
      <w:keepNext w:val="true"/>
      <w:keepLines/>
      <w:widowControl/>
      <w:suppressAutoHyphens w:val="false"/>
      <w:spacing w:before="200" w:after="0"/>
      <w:outlineLvl w:val="6"/>
    </w:pPr>
    <w:rPr>
      <w:rFonts w:ascii="Cambria" w:hAnsi="Cambria"/>
      <w:i/>
      <w:iCs/>
      <w:color w:val="404040"/>
      <w:lang w:val="x-none" w:eastAsia="x-none"/>
    </w:rPr>
  </w:style>
  <w:style w:type="paragraph" w:styleId="Heading8">
    <w:name w:val="Heading 8"/>
    <w:basedOn w:val="Normal"/>
    <w:link w:val="8"/>
    <w:uiPriority w:val="9"/>
    <w:qFormat/>
    <w:rsid w:val="00fe4469"/>
    <w:pPr>
      <w:keepNext w:val="true"/>
      <w:keepLines/>
      <w:widowControl/>
      <w:suppressAutoHyphens w:val="false"/>
      <w:spacing w:before="200" w:after="0"/>
      <w:outlineLvl w:val="7"/>
    </w:pPr>
    <w:rPr>
      <w:rFonts w:ascii="Cambria" w:hAnsi="Cambria"/>
      <w:color w:val="4F81BD"/>
      <w:lang w:val="x-none" w:eastAsia="x-none"/>
    </w:rPr>
  </w:style>
  <w:style w:type="paragraph" w:styleId="Heading9">
    <w:name w:val="Heading 9"/>
    <w:basedOn w:val="Normal"/>
    <w:link w:val="9"/>
    <w:qFormat/>
    <w:rsid w:val="00fe4469"/>
    <w:pPr>
      <w:widowControl/>
      <w:suppressAutoHyphens w:val="false"/>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Заголовок Знак"/>
    <w:qFormat/>
    <w:locked/>
    <w:rsid w:val="00565582"/>
    <w:rPr>
      <w:b/>
      <w:bCs/>
      <w:sz w:val="24"/>
      <w:szCs w:val="24"/>
      <w:lang w:val="ru-RU" w:eastAsia="ru-RU" w:bidi="ar-SA"/>
    </w:rPr>
  </w:style>
  <w:style w:type="character" w:styleId="Style1"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uiPriority w:val="99"/>
    <w:qFormat/>
    <w:rsid w:val="00d36934"/>
    <w:rPr>
      <w:sz w:val="16"/>
      <w:szCs w:val="16"/>
    </w:rPr>
  </w:style>
  <w:style w:type="character" w:styleId="Style2" w:customStyle="1">
    <w:name w:val="Текст примечания Знак"/>
    <w:basedOn w:val="DefaultParagraphFont"/>
    <w:link w:val="Annotationtext"/>
    <w:qFormat/>
    <w:rsid w:val="00d36934"/>
    <w:rPr/>
  </w:style>
  <w:style w:type="character" w:styleId="Style3" w:customStyle="1">
    <w:name w:val="Тема примечания Знак"/>
    <w:link w:val="Annotationsubject"/>
    <w:qFormat/>
    <w:rsid w:val="00d36934"/>
    <w:rPr>
      <w:b/>
      <w:bCs/>
    </w:rPr>
  </w:style>
  <w:style w:type="character" w:styleId="31" w:customStyle="1">
    <w:name w:val="Заголовок 3 Знак"/>
    <w:qFormat/>
    <w:rsid w:val="001b1bd9"/>
    <w:rPr>
      <w:rFonts w:ascii="Cambria" w:hAnsi="Cambria" w:eastAsia="Times New Roman" w:cs="Times New Roman"/>
      <w:b/>
      <w:bCs/>
      <w:color w:val="4F81BD"/>
    </w:rPr>
  </w:style>
  <w:style w:type="character" w:styleId="Style4" w:customStyle="1">
    <w:name w:val="Основной текст с отступом Знак"/>
    <w:basedOn w:val="DefaultParagraphFont"/>
    <w:qFormat/>
    <w:rsid w:val="00e00bca"/>
    <w:rPr/>
  </w:style>
  <w:style w:type="character" w:styleId="Style5" w:customStyle="1">
    <w:name w:val="комментарий"/>
    <w:qFormat/>
    <w:rsid w:val="00d562c0"/>
    <w:rPr>
      <w:rFonts w:cs="Times New Roman"/>
      <w:b/>
      <w:bCs/>
      <w:i/>
      <w:iCs/>
      <w:shd w:fill="FFFF99" w:val="clear"/>
    </w:rPr>
  </w:style>
  <w:style w:type="character" w:styleId="Style6" w:customStyle="1">
    <w:name w:val="Текст сноски Знак"/>
    <w:basedOn w:val="DefaultParagraphFont"/>
    <w:uiPriority w:val="99"/>
    <w:qFormat/>
    <w:rsid w:val="00f47c6a"/>
    <w:rPr/>
  </w:style>
  <w:style w:type="character" w:styleId="Style7">
    <w:name w:val="Символ сноски"/>
    <w:qFormat/>
    <w:rPr>
      <w:vertAlign w:val="superscript"/>
    </w:rPr>
  </w:style>
  <w:style w:type="character" w:styleId="FootnoteReference">
    <w:name w:val="Footnote Reference"/>
    <w:rPr>
      <w:vertAlign w:val="superscript"/>
    </w:rPr>
  </w:style>
  <w:style w:type="character" w:styleId="Style8" w:customStyle="1">
    <w:name w:val="Верхний колонтитул Знак"/>
    <w:basedOn w:val="DefaultParagraphFont"/>
    <w:qFormat/>
    <w:rsid w:val="000449a5"/>
    <w:rPr/>
  </w:style>
  <w:style w:type="character" w:styleId="Hyperlink" w:customStyle="1">
    <w:name w:val="Hyperlink"/>
    <w:uiPriority w:val="99"/>
    <w:rsid w:val="00fe4469"/>
    <w:rPr>
      <w:color w:val="0000FF"/>
      <w:u w:val="single"/>
    </w:rPr>
  </w:style>
  <w:style w:type="character" w:styleId="Style9" w:customStyle="1">
    <w:name w:val="Нижний колонтитул Знак"/>
    <w:qFormat/>
    <w:rsid w:val="00d925fb"/>
    <w:rPr/>
  </w:style>
  <w:style w:type="character" w:styleId="Style10" w:customStyle="1">
    <w:name w:val="Абзац списка Знак"/>
    <w:link w:val="ListParagraph"/>
    <w:uiPriority w:val="34"/>
    <w:qFormat/>
    <w:locked/>
    <w:rsid w:val="008e57e0"/>
    <w:rPr/>
  </w:style>
  <w:style w:type="character" w:styleId="Style11">
    <w:name w:val="Символ концевой сноски"/>
    <w:qFormat/>
    <w:rPr>
      <w:vertAlign w:val="superscript"/>
    </w:rPr>
  </w:style>
  <w:style w:type="character" w:styleId="EndnoteReference">
    <w:name w:val="Endnote Reference"/>
    <w:rPr>
      <w:vertAlign w:val="superscript"/>
    </w:rPr>
  </w:style>
  <w:style w:type="character" w:styleId="Linenumber1" w:customStyle="1">
    <w:name w:val="line number1"/>
    <w:qFormat/>
    <w:rPr/>
  </w:style>
  <w:style w:type="character" w:styleId="Linenumber2" w:customStyle="1">
    <w:name w:val="line number2"/>
    <w:qFormat/>
    <w:rPr/>
  </w:style>
  <w:style w:type="character" w:styleId="Style12" w:customStyle="1">
    <w:name w:val="Маркеры"/>
    <w:qFormat/>
    <w:rPr>
      <w:rFonts w:ascii="OpenSymbol" w:hAnsi="OpenSymbol" w:eastAsia="OpenSymbol" w:cs="OpenSymbol"/>
    </w:rPr>
  </w:style>
  <w:style w:type="character" w:styleId="FollowedHyperlink">
    <w:name w:val="FollowedHyperlink"/>
    <w:rPr>
      <w:color w:val="800000"/>
      <w:u w:val="single"/>
    </w:rPr>
  </w:style>
  <w:style w:type="character" w:styleId="Style13" w:customStyle="1">
    <w:name w:val="Ссылка указателя"/>
    <w:qFormat/>
    <w:rPr/>
  </w:style>
  <w:style w:type="character" w:styleId="Style14" w:customStyle="1">
    <w:name w:val="Символ нумерации"/>
    <w:qFormat/>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Strong">
    <w:name w:val="Strong"/>
    <w:uiPriority w:val="22"/>
    <w:qFormat/>
    <w:rPr>
      <w:b/>
      <w:bCs/>
    </w:rPr>
  </w:style>
  <w:style w:type="character" w:styleId="Linenumber3" w:customStyle="1">
    <w:name w:val="line number3"/>
    <w:qFormat/>
    <w:rPr/>
  </w:style>
  <w:style w:type="character" w:styleId="Linenumber4" w:customStyle="1">
    <w:name w:val="line number4"/>
    <w:qFormat/>
    <w:rPr/>
  </w:style>
  <w:style w:type="character" w:styleId="Linenumber5" w:customStyle="1">
    <w:name w:val="line number5"/>
    <w:qFormat/>
    <w:rPr/>
  </w:style>
  <w:style w:type="character" w:styleId="Linenumber6" w:customStyle="1">
    <w:name w:val="line number6"/>
    <w:qFormat/>
    <w:rPr/>
  </w:style>
  <w:style w:type="character" w:styleId="Linenumber7" w:customStyle="1">
    <w:name w:val="line number7"/>
    <w:qFormat/>
    <w:rPr/>
  </w:style>
  <w:style w:type="character" w:styleId="Linenumber8" w:customStyle="1">
    <w:name w:val="line number8"/>
    <w:qFormat/>
    <w:rPr/>
  </w:style>
  <w:style w:type="character" w:styleId="Linenumber">
    <w:name w:val="line number"/>
    <w:qFormat/>
    <w:rPr/>
  </w:style>
  <w:style w:type="character" w:styleId="4" w:customStyle="1">
    <w:name w:val="Заголовок 4 Знак"/>
    <w:basedOn w:val="DefaultParagraphFont"/>
    <w:qFormat/>
    <w:rsid w:val="004b006b"/>
    <w:rPr>
      <w:rFonts w:ascii="Calibri Light" w:hAnsi="Calibri Light" w:eastAsia="" w:cs="" w:asciiTheme="majorHAnsi" w:cstheme="majorBidi" w:eastAsiaTheme="majorEastAsia" w:hAnsiTheme="majorHAnsi"/>
      <w:i/>
      <w:iCs/>
      <w:color w:val="2E74B5" w:themeColor="accent1" w:themeShade="bf"/>
    </w:rPr>
  </w:style>
  <w:style w:type="character" w:styleId="Style15" w:customStyle="1">
    <w:name w:val="Таблицы Знак"/>
    <w:basedOn w:val="DefaultParagraphFont"/>
    <w:link w:val="Style37"/>
    <w:qFormat/>
    <w:rsid w:val="003e7a8d"/>
    <w:rPr>
      <w:rFonts w:eastAsia="Calibri" w:cs="" w:cstheme="minorBidi" w:eastAsiaTheme="minorHAnsi"/>
      <w:sz w:val="24"/>
      <w:szCs w:val="22"/>
      <w:lang w:eastAsia="en-US"/>
    </w:rPr>
  </w:style>
  <w:style w:type="character" w:styleId="2" w:customStyle="1">
    <w:name w:val="Заголовок 2 Знак"/>
    <w:basedOn w:val="DefaultParagraphFont"/>
    <w:qFormat/>
    <w:rsid w:val="00fe4469"/>
    <w:rPr>
      <w:rFonts w:ascii="Calibri Light" w:hAnsi="Calibri Light" w:eastAsia="" w:cs="" w:asciiTheme="majorHAnsi" w:cstheme="majorBidi" w:eastAsiaTheme="majorEastAsia" w:hAnsiTheme="majorHAnsi"/>
      <w:color w:val="2E74B5" w:themeColor="accent1" w:themeShade="bf"/>
      <w:sz w:val="26"/>
      <w:szCs w:val="26"/>
    </w:rPr>
  </w:style>
  <w:style w:type="character" w:styleId="5" w:customStyle="1">
    <w:name w:val="Заголовок 5 Знак"/>
    <w:basedOn w:val="DefaultParagraphFont"/>
    <w:uiPriority w:val="9"/>
    <w:qFormat/>
    <w:rsid w:val="00fe4469"/>
    <w:rPr>
      <w:b/>
      <w:bCs/>
      <w:i/>
      <w:iCs/>
      <w:sz w:val="26"/>
      <w:szCs w:val="26"/>
      <w:lang w:val="x-none" w:eastAsia="x-none"/>
    </w:rPr>
  </w:style>
  <w:style w:type="character" w:styleId="6" w:customStyle="1">
    <w:name w:val="Заголовок 6 Знак"/>
    <w:basedOn w:val="DefaultParagraphFont"/>
    <w:uiPriority w:val="9"/>
    <w:qFormat/>
    <w:rsid w:val="00fe4469"/>
    <w:rPr>
      <w:rFonts w:ascii="Cambria" w:hAnsi="Cambria"/>
      <w:i/>
      <w:iCs/>
      <w:color w:val="243F60"/>
      <w:lang w:val="x-none" w:eastAsia="x-none"/>
    </w:rPr>
  </w:style>
  <w:style w:type="character" w:styleId="7" w:customStyle="1">
    <w:name w:val="Заголовок 7 Знак"/>
    <w:basedOn w:val="DefaultParagraphFont"/>
    <w:uiPriority w:val="9"/>
    <w:qFormat/>
    <w:rsid w:val="00fe4469"/>
    <w:rPr>
      <w:rFonts w:ascii="Cambria" w:hAnsi="Cambria"/>
      <w:i/>
      <w:iCs/>
      <w:color w:val="404040"/>
      <w:lang w:val="x-none" w:eastAsia="x-none"/>
    </w:rPr>
  </w:style>
  <w:style w:type="character" w:styleId="8" w:customStyle="1">
    <w:name w:val="Заголовок 8 Знак"/>
    <w:basedOn w:val="DefaultParagraphFont"/>
    <w:uiPriority w:val="9"/>
    <w:qFormat/>
    <w:rsid w:val="00fe4469"/>
    <w:rPr>
      <w:rFonts w:ascii="Cambria" w:hAnsi="Cambria"/>
      <w:color w:val="4F81BD"/>
      <w:lang w:val="x-none" w:eastAsia="x-none"/>
    </w:rPr>
  </w:style>
  <w:style w:type="character" w:styleId="9" w:customStyle="1">
    <w:name w:val="Заголовок 9 Знак"/>
    <w:basedOn w:val="DefaultParagraphFont"/>
    <w:qFormat/>
    <w:rsid w:val="00fe4469"/>
    <w:rPr>
      <w:rFonts w:ascii="Arial" w:hAnsi="Arial"/>
      <w:sz w:val="22"/>
      <w:szCs w:val="22"/>
      <w:lang w:val="x-none" w:eastAsia="x-none"/>
    </w:rPr>
  </w:style>
  <w:style w:type="character" w:styleId="1" w:customStyle="1">
    <w:name w:val="Заголовок 1 Знак"/>
    <w:basedOn w:val="DefaultParagraphFont"/>
    <w:qFormat/>
    <w:rsid w:val="00fe4469"/>
    <w:rPr>
      <w:rFonts w:ascii="Times New Roman" w:hAnsi="Times New Roman" w:eastAsia="Calibri" w:cs="Times New Roman"/>
      <w:b/>
      <w:sz w:val="28"/>
      <w:szCs w:val="28"/>
      <w:lang w:val="x-none" w:eastAsia="x-none"/>
    </w:rPr>
  </w:style>
  <w:style w:type="character" w:styleId="21" w:customStyle="1">
    <w:name w:val="Основной текст с отступом 2 Знак"/>
    <w:basedOn w:val="DefaultParagraphFont"/>
    <w:link w:val="25"/>
    <w:qFormat/>
    <w:rsid w:val="00fe4469"/>
    <w:rPr>
      <w:sz w:val="28"/>
      <w:szCs w:val="28"/>
    </w:rPr>
  </w:style>
  <w:style w:type="character" w:styleId="32" w:customStyle="1">
    <w:name w:val="Оглавление 3 Знак"/>
    <w:basedOn w:val="DefaultParagraphFont"/>
    <w:qFormat/>
    <w:rsid w:val="00fe4469"/>
    <w:rPr>
      <w:sz w:val="16"/>
      <w:szCs w:val="16"/>
    </w:rPr>
  </w:style>
  <w:style w:type="character" w:styleId="33" w:customStyle="1">
    <w:name w:val="Основной текст с отступом 3 Знак"/>
    <w:basedOn w:val="DefaultParagraphFont"/>
    <w:link w:val="35"/>
    <w:qFormat/>
    <w:rsid w:val="00fe4469"/>
    <w:rPr>
      <w:sz w:val="16"/>
      <w:szCs w:val="16"/>
    </w:rPr>
  </w:style>
  <w:style w:type="character" w:styleId="22" w:customStyle="1">
    <w:name w:val="Основной текст 2 Знак"/>
    <w:basedOn w:val="DefaultParagraphFont"/>
    <w:link w:val="26"/>
    <w:qFormat/>
    <w:rsid w:val="00fe4469"/>
    <w:rPr>
      <w:sz w:val="28"/>
      <w:szCs w:val="28"/>
    </w:rPr>
  </w:style>
  <w:style w:type="character" w:styleId="Style16" w:customStyle="1">
    <w:name w:val="Текст выноски Знак"/>
    <w:basedOn w:val="DefaultParagraphFont"/>
    <w:semiHidden/>
    <w:qFormat/>
    <w:rsid w:val="00fe4469"/>
    <w:rPr>
      <w:rFonts w:ascii="Tahoma" w:hAnsi="Tahoma" w:eastAsia="Times New Roman" w:cs="Tahoma"/>
      <w:sz w:val="16"/>
      <w:szCs w:val="16"/>
      <w:lang w:eastAsia="ru-RU"/>
    </w:rPr>
  </w:style>
  <w:style w:type="character" w:styleId="11" w:customStyle="1">
    <w:name w:val="Оглавление 1 Знак"/>
    <w:uiPriority w:val="10"/>
    <w:qFormat/>
    <w:rsid w:val="00fe4469"/>
    <w:rPr>
      <w:sz w:val="28"/>
      <w:lang w:val="x-none" w:eastAsia="x-none"/>
    </w:rPr>
  </w:style>
  <w:style w:type="character" w:styleId="Style17" w:customStyle="1">
    <w:name w:val="Подзаголовок Знак"/>
    <w:basedOn w:val="DefaultParagraphFont"/>
    <w:uiPriority w:val="11"/>
    <w:qFormat/>
    <w:rsid w:val="00fe4469"/>
    <w:rPr>
      <w:rFonts w:ascii="Cambria" w:hAnsi="Cambria" w:eastAsia="Times New Roman" w:cs="Times New Roman"/>
      <w:i/>
      <w:iCs/>
      <w:color w:val="4F81BD"/>
      <w:spacing w:val="15"/>
      <w:sz w:val="24"/>
      <w:szCs w:val="24"/>
      <w:lang w:val="x-none" w:eastAsia="x-none"/>
    </w:rPr>
  </w:style>
  <w:style w:type="character" w:styleId="Emphasis">
    <w:name w:val="Emphasis"/>
    <w:uiPriority w:val="20"/>
    <w:qFormat/>
    <w:rsid w:val="00fe4469"/>
    <w:rPr>
      <w:i/>
      <w:iCs/>
    </w:rPr>
  </w:style>
  <w:style w:type="character" w:styleId="211" w:customStyle="1">
    <w:name w:val="Заголовок 2 Знак1"/>
    <w:basedOn w:val="DefaultParagraphFont"/>
    <w:qFormat/>
    <w:rsid w:val="00fe4469"/>
    <w:rPr>
      <w:rFonts w:eastAsia="Calibri"/>
      <w:b/>
      <w:bCs/>
      <w:sz w:val="24"/>
      <w:szCs w:val="24"/>
      <w:lang w:val="x-none" w:eastAsia="x-none"/>
    </w:rPr>
  </w:style>
  <w:style w:type="character" w:styleId="Style18" w:customStyle="1">
    <w:name w:val="Выделенная цитата Знак"/>
    <w:basedOn w:val="DefaultParagraphFont"/>
    <w:uiPriority w:val="30"/>
    <w:qFormat/>
    <w:rsid w:val="00fe4469"/>
    <w:rPr>
      <w:rFonts w:ascii="Calibri" w:hAnsi="Calibri" w:eastAsia="Calibri" w:cs="Times New Roman"/>
      <w:b/>
      <w:bCs/>
      <w:i/>
      <w:iCs/>
      <w:color w:val="4F81BD"/>
      <w:sz w:val="20"/>
      <w:szCs w:val="20"/>
      <w:lang w:val="x-none" w:eastAsia="x-none"/>
    </w:rPr>
  </w:style>
  <w:style w:type="character" w:styleId="SubtleEmphasis">
    <w:name w:val="Subtle Emphasis"/>
    <w:uiPriority w:val="19"/>
    <w:qFormat/>
    <w:rsid w:val="00fe4469"/>
    <w:rPr>
      <w:i/>
      <w:iCs/>
      <w:color w:val="808080"/>
    </w:rPr>
  </w:style>
  <w:style w:type="character" w:styleId="IntenseEmphasis">
    <w:name w:val="Intense Emphasis"/>
    <w:uiPriority w:val="21"/>
    <w:qFormat/>
    <w:rsid w:val="00fe4469"/>
    <w:rPr>
      <w:b/>
      <w:bCs/>
      <w:i/>
      <w:iCs/>
      <w:color w:val="4F81BD"/>
    </w:rPr>
  </w:style>
  <w:style w:type="character" w:styleId="SubtleReference">
    <w:name w:val="Subtle Reference"/>
    <w:uiPriority w:val="31"/>
    <w:qFormat/>
    <w:rsid w:val="00fe4469"/>
    <w:rPr>
      <w:smallCaps/>
      <w:color w:val="C0504D"/>
      <w:u w:val="single"/>
    </w:rPr>
  </w:style>
  <w:style w:type="character" w:styleId="IntenseReference">
    <w:name w:val="Intense Reference"/>
    <w:uiPriority w:val="32"/>
    <w:qFormat/>
    <w:rsid w:val="00fe4469"/>
    <w:rPr>
      <w:b/>
      <w:bCs/>
      <w:smallCaps/>
      <w:color w:val="C0504D"/>
      <w:spacing w:val="5"/>
      <w:u w:val="single"/>
    </w:rPr>
  </w:style>
  <w:style w:type="character" w:styleId="BookTitle">
    <w:name w:val="Book Title"/>
    <w:uiPriority w:val="33"/>
    <w:qFormat/>
    <w:rsid w:val="00fe4469"/>
    <w:rPr>
      <w:b/>
      <w:bCs/>
      <w:smallCaps/>
      <w:spacing w:val="5"/>
    </w:rPr>
  </w:style>
  <w:style w:type="character" w:styleId="Style19" w:customStyle="1">
    <w:name w:val="Электронная подпись Знак"/>
    <w:basedOn w:val="DefaultParagraphFont"/>
    <w:uiPriority w:val="99"/>
    <w:qFormat/>
    <w:rsid w:val="00fe4469"/>
    <w:rPr>
      <w:rFonts w:ascii="Times New Roman" w:hAnsi="Times New Roman" w:eastAsia="Calibri" w:cs="Times New Roman"/>
      <w:sz w:val="24"/>
      <w:szCs w:val="24"/>
      <w:lang w:val="x-none" w:eastAsia="x-none"/>
    </w:rPr>
  </w:style>
  <w:style w:type="character" w:styleId="111" w:customStyle="1">
    <w:name w:val="Заголовок 1 Знак1"/>
    <w:qFormat/>
    <w:locked/>
    <w:rsid w:val="00fe4469"/>
    <w:rPr>
      <w:rFonts w:ascii="Arial" w:hAnsi="Arial" w:cs="Arial"/>
      <w:b/>
      <w:bCs/>
      <w:kern w:val="2"/>
      <w:sz w:val="32"/>
      <w:szCs w:val="32"/>
    </w:rPr>
  </w:style>
  <w:style w:type="character" w:styleId="Blk" w:customStyle="1">
    <w:name w:val="blk"/>
    <w:qFormat/>
    <w:rsid w:val="00fe4469"/>
    <w:rPr/>
  </w:style>
  <w:style w:type="character" w:styleId="Style20" w:customStyle="1">
    <w:name w:val="Подподпункт Знак"/>
    <w:qFormat/>
    <w:locked/>
    <w:rsid w:val="00fe4469"/>
    <w:rPr>
      <w:rFonts w:ascii="Times New Roman" w:hAnsi="Times New Roman" w:eastAsia="Times New Roman" w:cs="Times New Roman"/>
      <w:sz w:val="26"/>
      <w:szCs w:val="26"/>
      <w:lang w:eastAsia="ru-RU"/>
    </w:rPr>
  </w:style>
  <w:style w:type="character" w:styleId="34" w:customStyle="1">
    <w:name w:val="УРОВЕНЬ_Абзац_тип3 Знак"/>
    <w:qFormat/>
    <w:rsid w:val="00fe4469"/>
    <w:rPr>
      <w:rFonts w:ascii="Times New Roman" w:hAnsi="Times New Roman" w:eastAsia="Calibri" w:cs="Times New Roman"/>
      <w:sz w:val="26"/>
      <w:szCs w:val="28"/>
    </w:rPr>
  </w:style>
  <w:style w:type="character" w:styleId="Style21" w:customStyle="1">
    <w:name w:val="Текст концевой сноски Знак"/>
    <w:basedOn w:val="DefaultParagraphFont"/>
    <w:qFormat/>
    <w:rsid w:val="00fe4469"/>
    <w:rPr>
      <w:rFonts w:ascii="Times New Roman" w:hAnsi="Times New Roman" w:eastAsia="Times New Roman" w:cs="Times New Roman"/>
      <w:sz w:val="20"/>
      <w:szCs w:val="20"/>
      <w:lang w:eastAsia="ru-RU"/>
    </w:rPr>
  </w:style>
  <w:style w:type="character" w:styleId="23" w:customStyle="1">
    <w:name w:val="Пункт2 Знак"/>
    <w:qFormat/>
    <w:rsid w:val="00fe4469"/>
    <w:rPr>
      <w:rFonts w:ascii="Times New Roman" w:hAnsi="Times New Roman" w:eastAsia="Times New Roman" w:cs="Times New Roman"/>
      <w:b/>
      <w:sz w:val="28"/>
      <w:szCs w:val="20"/>
      <w:lang w:eastAsia="ru-RU"/>
    </w:rPr>
  </w:style>
  <w:style w:type="character" w:styleId="12" w:customStyle="1">
    <w:name w:val="УРОВЕНЬ_1. Знак"/>
    <w:qFormat/>
    <w:rsid w:val="00fe4469"/>
    <w:rPr>
      <w:rFonts w:ascii="Times New Roman" w:hAnsi="Times New Roman" w:eastAsia="Calibri" w:cs="Times New Roman"/>
      <w:caps/>
      <w:sz w:val="28"/>
      <w:szCs w:val="28"/>
    </w:rPr>
  </w:style>
  <w:style w:type="character" w:styleId="13" w:customStyle="1">
    <w:name w:val="Неразрешенное упоминание1"/>
    <w:basedOn w:val="DefaultParagraphFont"/>
    <w:uiPriority w:val="99"/>
    <w:semiHidden/>
    <w:unhideWhenUsed/>
    <w:qFormat/>
    <w:rsid w:val="00fe4469"/>
    <w:rPr>
      <w:color w:val="605E5C"/>
      <w:shd w:fill="E1DFDD" w:val="clear"/>
    </w:rPr>
  </w:style>
  <w:style w:type="character" w:styleId="311" w:customStyle="1">
    <w:name w:val="Основной текст с отступом 3 Знак1"/>
    <w:basedOn w:val="DefaultParagraphFont"/>
    <w:link w:val="BodyTextIndent3"/>
    <w:qFormat/>
    <w:rsid w:val="00fe4469"/>
    <w:rPr>
      <w:sz w:val="16"/>
      <w:szCs w:val="16"/>
    </w:rPr>
  </w:style>
  <w:style w:type="character" w:styleId="14" w:customStyle="1">
    <w:name w:val="Подзаголовок Знак1"/>
    <w:basedOn w:val="DefaultParagraphFont"/>
    <w:uiPriority w:val="11"/>
    <w:qFormat/>
    <w:rsid w:val="00fe4469"/>
    <w:rPr>
      <w:rFonts w:ascii="Cambria" w:hAnsi="Cambria"/>
      <w:i/>
      <w:iCs/>
      <w:color w:val="4F81BD"/>
      <w:spacing w:val="15"/>
      <w:sz w:val="24"/>
      <w:szCs w:val="24"/>
      <w:lang w:val="x-none" w:eastAsia="x-none"/>
    </w:rPr>
  </w:style>
  <w:style w:type="character" w:styleId="24" w:customStyle="1">
    <w:name w:val="Цитата 2 Знак"/>
    <w:basedOn w:val="DefaultParagraphFont"/>
    <w:link w:val="Quote"/>
    <w:uiPriority w:val="29"/>
    <w:qFormat/>
    <w:rsid w:val="00fe4469"/>
    <w:rPr>
      <w:rFonts w:ascii="Calibri" w:hAnsi="Calibri" w:eastAsia="Calibri"/>
      <w:i/>
      <w:iCs/>
      <w:color w:val="000000"/>
      <w:lang w:val="x-none" w:eastAsia="x-none"/>
    </w:rPr>
  </w:style>
  <w:style w:type="character" w:styleId="15" w:customStyle="1">
    <w:name w:val="Выделенная цитата Знак1"/>
    <w:basedOn w:val="DefaultParagraphFont"/>
    <w:link w:val="IntenseQuote"/>
    <w:uiPriority w:val="30"/>
    <w:qFormat/>
    <w:rsid w:val="00fe4469"/>
    <w:rPr>
      <w:rFonts w:ascii="Calibri" w:hAnsi="Calibri" w:eastAsia="Calibri"/>
      <w:b/>
      <w:bCs/>
      <w:i/>
      <w:iCs/>
      <w:color w:val="4F81BD"/>
      <w:lang w:val="x-none" w:eastAsia="x-none"/>
    </w:rPr>
  </w:style>
  <w:style w:type="character" w:styleId="16" w:customStyle="1">
    <w:name w:val="Электронная подпись Знак1"/>
    <w:basedOn w:val="DefaultParagraphFont"/>
    <w:link w:val="E-mailSignature"/>
    <w:uiPriority w:val="99"/>
    <w:qFormat/>
    <w:rsid w:val="00fe4469"/>
    <w:rPr>
      <w:rFonts w:eastAsia="Calibri"/>
      <w:sz w:val="24"/>
      <w:szCs w:val="24"/>
      <w:lang w:val="x-none" w:eastAsia="x-none"/>
    </w:rPr>
  </w:style>
  <w:style w:type="character" w:styleId="17" w:customStyle="1">
    <w:name w:val="Текст концевой сноски Знак1"/>
    <w:basedOn w:val="DefaultParagraphFont"/>
    <w:qFormat/>
    <w:rsid w:val="00fe4469"/>
    <w:rPr/>
  </w:style>
  <w:style w:type="character" w:styleId="18" w:customStyle="1">
    <w:name w:val="Основной текст Знак1"/>
    <w:basedOn w:val="DefaultParagraphFont"/>
    <w:qFormat/>
    <w:rsid w:val="00fe4469"/>
    <w:rPr>
      <w:rFonts w:ascii="Times New Roman" w:hAnsi="Times New Roman" w:eastAsia="Times New Roman" w:cs="Times New Roman"/>
      <w:sz w:val="28"/>
      <w:szCs w:val="28"/>
      <w:lang w:eastAsia="ru-RU"/>
    </w:rPr>
  </w:style>
  <w:style w:type="character" w:styleId="19" w:customStyle="1">
    <w:name w:val="Верхний колонтитул Знак1"/>
    <w:basedOn w:val="DefaultParagraphFont"/>
    <w:qFormat/>
    <w:rsid w:val="00fe4469"/>
    <w:rPr>
      <w:rFonts w:ascii="Times New Roman" w:hAnsi="Times New Roman" w:eastAsia="Times New Roman" w:cs="Times New Roman"/>
      <w:sz w:val="24"/>
      <w:szCs w:val="24"/>
      <w:lang w:eastAsia="ru-RU"/>
    </w:rPr>
  </w:style>
  <w:style w:type="character" w:styleId="110" w:customStyle="1">
    <w:name w:val="Нижний колонтитул Знак1"/>
    <w:basedOn w:val="DefaultParagraphFont"/>
    <w:qFormat/>
    <w:rsid w:val="00fe4469"/>
    <w:rPr>
      <w:rFonts w:ascii="Times New Roman" w:hAnsi="Times New Roman" w:eastAsia="Times New Roman" w:cs="Times New Roman"/>
      <w:sz w:val="28"/>
      <w:szCs w:val="28"/>
      <w:lang w:eastAsia="ru-RU"/>
    </w:rPr>
  </w:style>
  <w:style w:type="character" w:styleId="112" w:customStyle="1">
    <w:name w:val="Текст сноски Знак1"/>
    <w:basedOn w:val="DefaultParagraphFont"/>
    <w:uiPriority w:val="99"/>
    <w:qFormat/>
    <w:rsid w:val="00fe4469"/>
    <w:rPr>
      <w:rFonts w:ascii="Times New Roman" w:hAnsi="Times New Roman" w:eastAsia="Times New Roman" w:cs="Times New Roman"/>
      <w:szCs w:val="20"/>
      <w:lang w:eastAsia="ru-RU"/>
    </w:rPr>
  </w:style>
  <w:style w:type="character" w:styleId="113" w:customStyle="1">
    <w:name w:val="Основной текст с отступом Знак1"/>
    <w:basedOn w:val="DefaultParagraphFont"/>
    <w:qFormat/>
    <w:rsid w:val="00fe4469"/>
    <w:rPr>
      <w:rFonts w:ascii="Times New Roman" w:hAnsi="Times New Roman" w:eastAsia="Times New Roman" w:cs="Times New Roman"/>
      <w:sz w:val="24"/>
      <w:szCs w:val="24"/>
      <w:lang w:eastAsia="ru-RU"/>
    </w:rPr>
  </w:style>
  <w:style w:type="character" w:styleId="221" w:customStyle="1">
    <w:name w:val="Основной текст с отступом 2 Знак2"/>
    <w:basedOn w:val="DefaultParagraphFont"/>
    <w:uiPriority w:val="99"/>
    <w:semiHidden/>
    <w:qFormat/>
    <w:rsid w:val="00fe4469"/>
    <w:rPr>
      <w:rFonts w:ascii="Times New Roman" w:hAnsi="Times New Roman" w:eastAsia="Times New Roman" w:cs="Times New Roman"/>
      <w:sz w:val="28"/>
      <w:szCs w:val="28"/>
      <w:lang w:eastAsia="ru-RU"/>
    </w:rPr>
  </w:style>
  <w:style w:type="character" w:styleId="312" w:customStyle="1">
    <w:name w:val="Основной текст 3 Знак1"/>
    <w:basedOn w:val="DefaultParagraphFont"/>
    <w:qFormat/>
    <w:rsid w:val="00fe4469"/>
    <w:rPr>
      <w:rFonts w:ascii="Times New Roman" w:hAnsi="Times New Roman" w:eastAsia="Times New Roman" w:cs="Times New Roman"/>
      <w:sz w:val="16"/>
      <w:szCs w:val="16"/>
      <w:lang w:eastAsia="ru-RU"/>
    </w:rPr>
  </w:style>
  <w:style w:type="character" w:styleId="114" w:customStyle="1">
    <w:name w:val="Текст выноски Знак1"/>
    <w:basedOn w:val="DefaultParagraphFont"/>
    <w:link w:val="BalloonText"/>
    <w:semiHidden/>
    <w:qFormat/>
    <w:rsid w:val="00fe4469"/>
    <w:rPr>
      <w:rFonts w:ascii="Tahoma" w:hAnsi="Tahoma" w:cs="Tahoma"/>
      <w:sz w:val="16"/>
      <w:szCs w:val="16"/>
    </w:rPr>
  </w:style>
  <w:style w:type="character" w:styleId="115" w:customStyle="1">
    <w:name w:val="Текст примечания Знак1"/>
    <w:basedOn w:val="DefaultParagraphFont"/>
    <w:semiHidden/>
    <w:qFormat/>
    <w:rsid w:val="00fe4469"/>
    <w:rPr>
      <w:rFonts w:ascii="Times New Roman" w:hAnsi="Times New Roman" w:eastAsia="Times New Roman" w:cs="Times New Roman"/>
      <w:szCs w:val="20"/>
      <w:lang w:eastAsia="ru-RU"/>
    </w:rPr>
  </w:style>
  <w:style w:type="character" w:styleId="116" w:customStyle="1">
    <w:name w:val="Тема примечания Знак1"/>
    <w:basedOn w:val="115"/>
    <w:semiHidden/>
    <w:qFormat/>
    <w:rsid w:val="00fe4469"/>
    <w:rPr>
      <w:rFonts w:ascii="Times New Roman" w:hAnsi="Times New Roman" w:eastAsia="Times New Roman" w:cs="Times New Roman"/>
      <w:b/>
      <w:bCs/>
      <w:szCs w:val="20"/>
      <w:lang w:eastAsia="ru-RU"/>
    </w:rPr>
  </w:style>
  <w:style w:type="character" w:styleId="Style41" w:customStyle="1">
    <w:name w:val="style41"/>
    <w:basedOn w:val="DefaultParagraphFont"/>
    <w:qFormat/>
    <w:rsid w:val="00fe4469"/>
    <w:rPr/>
  </w:style>
  <w:style w:type="paragraph" w:styleId="Style22">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
    <w:qFormat/>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3">
    <w:name w:val="Указатель"/>
    <w:basedOn w:val="Normal"/>
    <w:qFormat/>
    <w:pPr>
      <w:suppressLineNumbers/>
    </w:pPr>
    <w:rPr>
      <w:rFonts w:cs="Arial Unicode MS"/>
    </w:rPr>
  </w:style>
  <w:style w:type="paragraph" w:styleId="Title">
    <w:name w:val="Title"/>
    <w:basedOn w:val="Normal"/>
    <w:next w:val="BodyText"/>
    <w:link w:val="Style"/>
    <w:qFormat/>
    <w:rsid w:val="00a264b0"/>
    <w:pPr>
      <w:jc w:val="center"/>
    </w:pPr>
    <w:rPr>
      <w:b/>
      <w:bCs/>
      <w:sz w:val="24"/>
      <w:szCs w:val="24"/>
    </w:rPr>
  </w:style>
  <w:style w:type="paragraph" w:styleId="Caption1">
    <w:name w:val="caption1"/>
    <w:basedOn w:val="Normal"/>
    <w:uiPriority w:val="35"/>
    <w:qFormat/>
    <w:pPr>
      <w:suppressLineNumbers/>
      <w:spacing w:before="120" w:after="120"/>
    </w:pPr>
    <w:rPr>
      <w:i/>
      <w:iCs/>
      <w:sz w:val="24"/>
      <w:szCs w:val="24"/>
    </w:rPr>
  </w:style>
  <w:style w:type="paragraph" w:styleId="Indexheading1">
    <w:name w:val="index heading1"/>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Caption11111111" w:customStyle="1">
    <w:name w:val="caption11111111"/>
    <w:basedOn w:val="Normal"/>
    <w:qFormat/>
    <w:pPr>
      <w:suppressLineNumbers/>
      <w:spacing w:before="120" w:after="120"/>
    </w:pPr>
    <w:rPr>
      <w:i/>
      <w:iCs/>
      <w:sz w:val="24"/>
      <w:szCs w:val="24"/>
    </w:rPr>
  </w:style>
  <w:style w:type="paragraph" w:styleId="Caption111111111" w:customStyle="1">
    <w:name w:val="caption111111111"/>
    <w:basedOn w:val="Normal"/>
    <w:qFormat/>
    <w:pPr>
      <w:suppressLineNumbers/>
      <w:spacing w:before="120" w:after="120"/>
    </w:pPr>
    <w:rPr>
      <w:i/>
      <w:iCs/>
      <w:sz w:val="24"/>
      <w:szCs w:val="24"/>
    </w:rPr>
  </w:style>
  <w:style w:type="paragraph" w:styleId="Caption1111111111" w:customStyle="1">
    <w:name w:val="caption1111111111"/>
    <w:basedOn w:val="Normal"/>
    <w:qFormat/>
    <w:pPr>
      <w:suppressLineNumbers/>
      <w:spacing w:before="120" w:after="120"/>
    </w:pPr>
    <w:rPr>
      <w:i/>
      <w:iCs/>
      <w:sz w:val="24"/>
      <w:szCs w:val="24"/>
    </w:rPr>
  </w:style>
  <w:style w:type="paragraph" w:styleId="Caption11111111111" w:customStyle="1">
    <w:name w:val="caption11111111111"/>
    <w:basedOn w:val="Normal"/>
    <w:qFormat/>
    <w:pPr>
      <w:suppressLineNumbers/>
      <w:spacing w:before="120" w:after="120"/>
    </w:pPr>
    <w:rPr>
      <w:i/>
      <w:iCs/>
      <w:sz w:val="24"/>
      <w:szCs w:val="24"/>
    </w:rPr>
  </w:style>
  <w:style w:type="paragraph" w:styleId="Caption111111111111" w:customStyle="1">
    <w:name w:val="caption111111111111"/>
    <w:basedOn w:val="Normal"/>
    <w:qFormat/>
    <w:pPr>
      <w:suppressLineNumbers/>
      <w:spacing w:before="120" w:after="120"/>
    </w:pPr>
    <w:rPr>
      <w:i/>
      <w:iCs/>
      <w:sz w:val="24"/>
      <w:szCs w:val="24"/>
    </w:rPr>
  </w:style>
  <w:style w:type="paragraph" w:styleId="Style24"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link w:val="114"/>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5" w:customStyle="1">
    <w:name w:val="Колонтитул"/>
    <w:basedOn w:val="Normal"/>
    <w:qFormat/>
    <w:pPr/>
    <w:rPr/>
  </w:style>
  <w:style w:type="paragraph" w:styleId="Footer">
    <w:name w:val="Footer"/>
    <w:basedOn w:val="Normal"/>
    <w:link w:val="Style9"/>
    <w:rsid w:val="008b02a1"/>
    <w:pPr>
      <w:tabs>
        <w:tab w:val="clear" w:pos="720"/>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2"/>
    <w:qFormat/>
    <w:rsid w:val="00d36934"/>
    <w:pPr/>
    <w:rPr/>
  </w:style>
  <w:style w:type="paragraph" w:styleId="Annotationsubject">
    <w:name w:val="annotation subject"/>
    <w:basedOn w:val="Annotationtext"/>
    <w:next w:val="Annotationtext"/>
    <w:link w:val="Style3"/>
    <w:qFormat/>
    <w:rsid w:val="00d36934"/>
    <w:pPr/>
    <w:rPr>
      <w:b/>
      <w:bCs/>
      <w:lang w:val="x-none" w:eastAsia="x-none"/>
    </w:rPr>
  </w:style>
  <w:style w:type="paragraph" w:styleId="ListParagraph">
    <w:name w:val="List Paragraph"/>
    <w:basedOn w:val="Normal"/>
    <w:link w:val="Style10"/>
    <w:uiPriority w:val="34"/>
    <w:qFormat/>
    <w:rsid w:val="00ec6e7d"/>
    <w:pPr>
      <w:spacing w:before="0" w:after="0"/>
      <w:ind w:left="720"/>
      <w:contextualSpacing/>
    </w:pPr>
    <w:rPr/>
  </w:style>
  <w:style w:type="paragraph" w:styleId="Style26" w:customStyle="1">
    <w:name w:val="Знак Знак Знак Знак Знак Знак Знак Знак Знак"/>
    <w:basedOn w:val="Normal"/>
    <w:qFormat/>
    <w:rsid w:val="00d31bfd"/>
    <w:pPr>
      <w:widowControl/>
      <w:spacing w:lineRule="exact" w:line="240" w:before="0" w:after="160"/>
      <w:jc w:val="both"/>
    </w:pPr>
    <w:rPr>
      <w:rFonts w:ascii="Verdana" w:hAnsi="Verdana"/>
      <w:sz w:val="22"/>
      <w:lang w:val="en-US" w:eastAsia="en-US"/>
    </w:rPr>
  </w:style>
  <w:style w:type="paragraph" w:styleId="Style27" w:customStyle="1">
    <w:name w:val="Подпункт договора"/>
    <w:basedOn w:val="Normal"/>
    <w:qFormat/>
    <w:rsid w:val="00d31bfd"/>
    <w:pPr>
      <w:widowControl/>
      <w:tabs>
        <w:tab w:val="clear" w:pos="720"/>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4"/>
    <w:rsid w:val="00e00bca"/>
    <w:pPr>
      <w:spacing w:before="0" w:after="120"/>
      <w:ind w:left="283"/>
    </w:pPr>
    <w:rPr/>
  </w:style>
  <w:style w:type="paragraph" w:styleId="Style28"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6"/>
    <w:uiPriority w:val="99"/>
    <w:qFormat/>
    <w:rsid w:val="00f47c6a"/>
    <w:pPr/>
    <w:rPr/>
  </w:style>
  <w:style w:type="paragraph" w:styleId="ListBullet3">
    <w:name w:val="List Bullet 3"/>
    <w:basedOn w:val="Normal"/>
    <w:uiPriority w:val="99"/>
    <w:unhideWhenUsed/>
    <w:qFormat/>
    <w:rsid w:val="00fa3bf9"/>
    <w:pPr>
      <w:widowControl/>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8"/>
    <w:rsid w:val="000449a5"/>
    <w:pPr>
      <w:tabs>
        <w:tab w:val="clear" w:pos="720"/>
        <w:tab w:val="center" w:pos="4677" w:leader="none"/>
        <w:tab w:val="right" w:pos="9355" w:leader="none"/>
      </w:tabs>
    </w:pPr>
    <w:rPr/>
  </w:style>
  <w:style w:type="paragraph" w:styleId="Style29" w:customStyle="1">
    <w:name w:val="Пункт договора"/>
    <w:basedOn w:val="Normal"/>
    <w:qFormat/>
    <w:rsid w:val="00e65842"/>
    <w:pPr>
      <w:jc w:val="both"/>
    </w:pPr>
    <w:rPr>
      <w:rFonts w:ascii="Arial" w:hAnsi="Arial"/>
    </w:rPr>
  </w:style>
  <w:style w:type="paragraph" w:styleId="117"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8"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119" w:customStyle="1">
    <w:name w:val="Оглавление 11"/>
    <w:basedOn w:val="Normal"/>
    <w:next w:val="Normal"/>
    <w:qFormat/>
    <w:pPr>
      <w:spacing w:before="120" w:after="0"/>
    </w:pPr>
    <w:rPr>
      <w:rFonts w:cs="Calibri Light (Заголовки)"/>
      <w:b/>
      <w:bCs/>
      <w:sz w:val="24"/>
      <w:szCs w:val="24"/>
    </w:rPr>
  </w:style>
  <w:style w:type="paragraph" w:styleId="41" w:customStyle="1">
    <w:name w:val="Оглавление 41"/>
    <w:basedOn w:val="Normal"/>
    <w:next w:val="Normal"/>
    <w:qFormat/>
    <w:pPr>
      <w:ind w:left="560"/>
    </w:pPr>
    <w:rPr>
      <w:rFonts w:cs="Calibri" w:cstheme="minorHAnsi"/>
    </w:rPr>
  </w:style>
  <w:style w:type="paragraph" w:styleId="313" w:customStyle="1">
    <w:name w:val="Оглавление 31"/>
    <w:basedOn w:val="Normal"/>
    <w:next w:val="Normal"/>
    <w:qFormat/>
    <w:pPr>
      <w:ind w:left="280"/>
    </w:pPr>
    <w:rPr>
      <w:rFonts w:cs="Calibri" w:cstheme="minorHAnsi"/>
    </w:rPr>
  </w:style>
  <w:style w:type="paragraph" w:styleId="314" w:customStyle="1">
    <w:name w:val="Заголовок 31"/>
    <w:basedOn w:val="Normal"/>
    <w:next w:val="Normal"/>
    <w:qFormat/>
    <w:pPr>
      <w:keepNext w:val="true"/>
      <w:numPr>
        <w:ilvl w:val="2"/>
        <w:numId w:val="2"/>
      </w:numPr>
      <w:spacing w:before="120" w:after="60"/>
      <w:outlineLvl w:val="2"/>
    </w:pPr>
    <w:rPr>
      <w:rFonts w:eastAsia="Calibri"/>
      <w:b/>
      <w:sz w:val="24"/>
      <w:szCs w:val="24"/>
    </w:rPr>
  </w:style>
  <w:style w:type="paragraph" w:styleId="411" w:customStyle="1">
    <w:name w:val="Заголовок 41"/>
    <w:basedOn w:val="314"/>
    <w:next w:val="Normal"/>
    <w:qFormat/>
    <w:pPr>
      <w:numPr>
        <w:ilvl w:val="0"/>
        <w:numId w:val="0"/>
      </w:numPr>
      <w:tabs>
        <w:tab w:val="clear" w:pos="720"/>
        <w:tab w:val="left" w:pos="0" w:leader="none"/>
      </w:tabs>
      <w:ind w:hanging="432" w:left="432"/>
      <w:outlineLvl w:val="3"/>
    </w:pPr>
    <w:rPr>
      <w:bCs/>
    </w:rPr>
  </w:style>
  <w:style w:type="paragraph" w:styleId="212" w:customStyle="1">
    <w:name w:val="Заголовок 21"/>
    <w:basedOn w:val="411"/>
    <w:next w:val="Normal"/>
    <w:qFormat/>
    <w:pPr>
      <w:outlineLvl w:val="1"/>
    </w:pPr>
    <w:rPr/>
  </w:style>
  <w:style w:type="paragraph" w:styleId="1110" w:customStyle="1">
    <w:name w:val="Заголовок 11"/>
    <w:basedOn w:val="314"/>
    <w:next w:val="Normal"/>
    <w:qFormat/>
    <w:pPr>
      <w:numPr>
        <w:ilvl w:val="0"/>
      </w:numPr>
      <w:outlineLvl w:val="0"/>
    </w:pPr>
    <w:rPr>
      <w:sz w:val="28"/>
      <w:szCs w:val="28"/>
    </w:rPr>
  </w:style>
  <w:style w:type="paragraph" w:styleId="-4" w:customStyle="1">
    <w:name w:val="Пункт-4"/>
    <w:basedOn w:val="Normal"/>
    <w:qFormat/>
    <w:pPr>
      <w:tabs>
        <w:tab w:val="clear" w:pos="720"/>
        <w:tab w:val="left" w:pos="1418" w:leader="none"/>
        <w:tab w:val="right" w:pos="9354" w:leader="dot"/>
      </w:tabs>
      <w:suppressAutoHyphens w:val="false"/>
      <w:ind w:hanging="1418" w:left="1418"/>
      <w:jc w:val="both"/>
      <w:textAlignment w:val="baseline"/>
    </w:pPr>
    <w:rPr/>
  </w:style>
  <w:style w:type="paragraph" w:styleId="-6" w:customStyle="1">
    <w:name w:val="Пункт-6"/>
    <w:basedOn w:val="Normal"/>
    <w:qFormat/>
    <w:pPr>
      <w:tabs>
        <w:tab w:val="clear" w:pos="720"/>
        <w:tab w:val="left" w:pos="1985" w:leader="none"/>
        <w:tab w:val="right" w:pos="9354" w:leader="dot"/>
      </w:tabs>
      <w:suppressAutoHyphens w:val="false"/>
      <w:ind w:hanging="567" w:left="1985"/>
      <w:jc w:val="both"/>
    </w:pPr>
    <w:rPr/>
  </w:style>
  <w:style w:type="paragraph" w:styleId="-7" w:customStyle="1">
    <w:name w:val="Пункт-7"/>
    <w:basedOn w:val="Normal"/>
    <w:qFormat/>
    <w:pPr>
      <w:tabs>
        <w:tab w:val="clear" w:pos="720"/>
        <w:tab w:val="left" w:pos="2552" w:leader="none"/>
        <w:tab w:val="right" w:pos="9354" w:leader="dot"/>
      </w:tabs>
      <w:suppressAutoHyphens w:val="false"/>
      <w:ind w:hanging="567" w:left="2552"/>
      <w:jc w:val="both"/>
    </w:pPr>
    <w:rPr/>
  </w:style>
  <w:style w:type="paragraph" w:styleId="Caption1111111111111" w:customStyle="1">
    <w:name w:val="caption1111111111111"/>
    <w:basedOn w:val="Normal"/>
    <w:qFormat/>
    <w:pPr>
      <w:suppressLineNumbers/>
      <w:spacing w:before="120" w:after="120"/>
    </w:pPr>
    <w:rPr>
      <w:i/>
      <w:iCs/>
      <w:sz w:val="24"/>
      <w:szCs w:val="24"/>
    </w:rPr>
  </w:style>
  <w:style w:type="paragraph" w:styleId="Style30" w:customStyle="1">
    <w:name w:val="Таблица шапка"/>
    <w:basedOn w:val="Normal"/>
    <w:qFormat/>
    <w:pPr>
      <w:keepNext w:val="true"/>
      <w:spacing w:before="40" w:after="40"/>
      <w:ind w:left="57" w:right="57"/>
    </w:pPr>
    <w:rPr>
      <w:sz w:val="22"/>
      <w:szCs w:val="26"/>
    </w:rPr>
  </w:style>
  <w:style w:type="paragraph" w:styleId="Style31" w:customStyle="1">
    <w:name w:val="Таблица текст"/>
    <w:basedOn w:val="Normal"/>
    <w:qFormat/>
    <w:pPr>
      <w:spacing w:before="40" w:after="40"/>
      <w:ind w:left="57" w:right="57"/>
    </w:pPr>
    <w:rPr>
      <w:sz w:val="24"/>
      <w:szCs w:val="26"/>
    </w:rPr>
  </w:style>
  <w:style w:type="paragraph" w:styleId="Default" w:customStyle="1">
    <w:name w:val="Default"/>
    <w:qFormat/>
    <w:pPr>
      <w:widowControl/>
      <w:suppressAutoHyphens w:val="fals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5" w:customStyle="1">
    <w:name w:val="Пункт-5"/>
    <w:basedOn w:val="Normal"/>
    <w:qFormat/>
    <w:pPr>
      <w:tabs>
        <w:tab w:val="clear" w:pos="720"/>
        <w:tab w:val="left" w:pos="1418" w:leader="none"/>
      </w:tabs>
      <w:suppressAutoHyphens w:val="false"/>
      <w:ind w:hanging="1418" w:left="1418"/>
      <w:jc w:val="both"/>
    </w:pPr>
    <w:rPr/>
  </w:style>
  <w:style w:type="paragraph" w:styleId="-3" w:customStyle="1">
    <w:name w:val="Пункт-3"/>
    <w:basedOn w:val="Normal"/>
    <w:qFormat/>
    <w:pPr>
      <w:tabs>
        <w:tab w:val="clear" w:pos="720"/>
        <w:tab w:val="left" w:pos="2411" w:leader="none"/>
        <w:tab w:val="right" w:pos="9354" w:leader="dot"/>
      </w:tabs>
      <w:suppressAutoHyphens w:val="false"/>
      <w:ind w:hanging="1418" w:left="2411"/>
      <w:jc w:val="both"/>
      <w:textAlignment w:val="baseline"/>
    </w:pPr>
    <w:rPr/>
  </w:style>
  <w:style w:type="paragraph" w:styleId="-31" w:customStyle="1">
    <w:name w:val="Пункт-3 подзаголовок"/>
    <w:basedOn w:val="-3"/>
    <w:qFormat/>
    <w:pPr>
      <w:keepNext w:val="true"/>
      <w:numPr>
        <w:ilvl w:val="2"/>
        <w:numId w:val="1"/>
      </w:numPr>
      <w:suppressAutoHyphens w:val="true"/>
      <w:spacing w:before="240" w:after="120"/>
      <w:jc w:val="left"/>
      <w:outlineLvl w:val="2"/>
    </w:pPr>
    <w:rPr>
      <w:b/>
    </w:rPr>
  </w:style>
  <w:style w:type="paragraph" w:styleId="Style32" w:customStyle="1">
    <w:name w:val="Основной"/>
    <w:basedOn w:val="Normal"/>
    <w:qFormat/>
    <w:pPr>
      <w:suppressAutoHyphens w:val="false"/>
      <w:ind w:firstLine="709"/>
      <w:jc w:val="both"/>
      <w:textAlignment w:val="baseline"/>
    </w:pPr>
    <w:rPr>
      <w:sz w:val="24"/>
    </w:rPr>
  </w:style>
  <w:style w:type="paragraph" w:styleId="Style33" w:customStyle="1">
    <w:name w:val="Содержимое таблицы"/>
    <w:basedOn w:val="Normal"/>
    <w:qFormat/>
    <w:pPr>
      <w:suppressLineNumbers/>
    </w:pPr>
    <w:rPr/>
  </w:style>
  <w:style w:type="paragraph" w:styleId="Style34" w:customStyle="1">
    <w:name w:val="Таблица"/>
    <w:basedOn w:val="Normal"/>
    <w:qFormat/>
    <w:pPr>
      <w:keepNext w:val="true"/>
      <w:spacing w:before="60" w:after="60"/>
      <w:jc w:val="center"/>
    </w:pPr>
    <w:rPr>
      <w:rFonts w:eastAsia="Calibri"/>
      <w:b/>
      <w:sz w:val="24"/>
      <w:szCs w:val="24"/>
    </w:rPr>
  </w:style>
  <w:style w:type="paragraph" w:styleId="120" w:customStyle="1">
    <w:name w:val="Текст сноски1"/>
    <w:basedOn w:val="Normal"/>
    <w:qFormat/>
    <w:pPr/>
    <w:rPr/>
  </w:style>
  <w:style w:type="paragraph" w:styleId="315" w:customStyle="1">
    <w:name w:val="Основной текст с отступом 31"/>
    <w:basedOn w:val="Normal"/>
    <w:qFormat/>
    <w:pPr>
      <w:spacing w:before="0" w:after="120"/>
      <w:ind w:left="283"/>
    </w:pPr>
    <w:rPr>
      <w:sz w:val="16"/>
      <w:szCs w:val="16"/>
    </w:rPr>
  </w:style>
  <w:style w:type="paragraph" w:styleId="Caption11111111111111" w:customStyle="1">
    <w:name w:val="caption11111111111111"/>
    <w:basedOn w:val="Normal"/>
    <w:qFormat/>
    <w:pPr>
      <w:suppressLineNumbers/>
      <w:spacing w:before="120" w:after="120"/>
    </w:pPr>
    <w:rPr>
      <w:i/>
      <w:iCs/>
      <w:sz w:val="24"/>
      <w:szCs w:val="24"/>
    </w:rPr>
  </w:style>
  <w:style w:type="paragraph" w:styleId="Style35" w:customStyle="1">
    <w:name w:val="Заголовок таблицы"/>
    <w:basedOn w:val="Style33"/>
    <w:qFormat/>
    <w:pPr>
      <w:jc w:val="center"/>
    </w:pPr>
    <w:rPr>
      <w:b/>
      <w:bCs/>
    </w:rPr>
  </w:style>
  <w:style w:type="paragraph" w:styleId="Style36" w:customStyle="1">
    <w:name w:val="Содержимое врезки"/>
    <w:basedOn w:val="Normal"/>
    <w:qFormat/>
    <w:pPr/>
    <w:rPr/>
  </w:style>
  <w:style w:type="paragraph" w:styleId="NormalWeb">
    <w:name w:val="Normal (Web)"/>
    <w:basedOn w:val="Normal"/>
    <w:uiPriority w:val="99"/>
    <w:unhideWhenUsed/>
    <w:qFormat/>
    <w:rsid w:val="003e7a8d"/>
    <w:pPr>
      <w:widowControl/>
      <w:suppressAutoHyphens w:val="false"/>
      <w:spacing w:beforeAutospacing="1" w:afterAutospacing="1"/>
    </w:pPr>
    <w:rPr>
      <w:sz w:val="24"/>
      <w:szCs w:val="24"/>
    </w:rPr>
  </w:style>
  <w:style w:type="paragraph" w:styleId="Style37" w:customStyle="1">
    <w:name w:val="Таблицы"/>
    <w:basedOn w:val="Normal"/>
    <w:next w:val="Normal"/>
    <w:link w:val="Style15"/>
    <w:qFormat/>
    <w:rsid w:val="003e7a8d"/>
    <w:pPr>
      <w:widowControl/>
      <w:suppressAutoHyphens w:val="false"/>
      <w:spacing w:lineRule="auto" w:line="360"/>
      <w:ind w:left="851"/>
      <w:jc w:val="both"/>
    </w:pPr>
    <w:rPr>
      <w:rFonts w:eastAsia="Calibri" w:cs="" w:cstheme="minorBidi" w:eastAsiaTheme="minorHAnsi"/>
      <w:sz w:val="24"/>
      <w:szCs w:val="22"/>
      <w:lang w:eastAsia="en-US"/>
    </w:rPr>
  </w:style>
  <w:style w:type="paragraph" w:styleId="TOC1">
    <w:name w:val="TOC 1"/>
    <w:basedOn w:val="Normal"/>
    <w:link w:val="11"/>
    <w:autoRedefine/>
    <w:uiPriority w:val="39"/>
    <w:rsid w:val="00fe4469"/>
    <w:pPr>
      <w:widowControl/>
      <w:suppressAutoHyphens w:val="false"/>
      <w:spacing w:before="120" w:after="0"/>
    </w:pPr>
    <w:rPr>
      <w:sz w:val="28"/>
      <w:lang w:val="x-none" w:eastAsia="x-none"/>
    </w:rPr>
  </w:style>
  <w:style w:type="paragraph" w:styleId="TOC3">
    <w:name w:val="TOC 3"/>
    <w:basedOn w:val="Normal"/>
    <w:link w:val="32"/>
    <w:autoRedefine/>
    <w:uiPriority w:val="39"/>
    <w:rsid w:val="00fe4469"/>
    <w:pPr>
      <w:widowControl/>
      <w:tabs>
        <w:tab w:val="clear" w:pos="720"/>
        <w:tab w:val="left" w:pos="1120" w:leader="none"/>
        <w:tab w:val="right" w:pos="9911" w:leader="dot"/>
      </w:tabs>
      <w:suppressAutoHyphens w:val="false"/>
      <w:ind w:left="567"/>
    </w:pPr>
    <w:rPr>
      <w:sz w:val="16"/>
      <w:szCs w:val="16"/>
    </w:rPr>
  </w:style>
  <w:style w:type="paragraph" w:styleId="TOC4">
    <w:name w:val="TOC 4"/>
    <w:basedOn w:val="Normal"/>
    <w:autoRedefine/>
    <w:uiPriority w:val="39"/>
    <w:rsid w:val="00fe4469"/>
    <w:pPr>
      <w:widowControl/>
      <w:suppressAutoHyphens w:val="false"/>
      <w:ind w:left="560"/>
    </w:pPr>
    <w:rPr>
      <w:rFonts w:cs="Calibri" w:cstheme="minorHAnsi"/>
    </w:rPr>
  </w:style>
  <w:style w:type="paragraph" w:styleId="Style38" w:customStyle="1">
    <w:name w:val="Раздел положения"/>
    <w:basedOn w:val="Normal"/>
    <w:autoRedefine/>
    <w:qFormat/>
    <w:rsid w:val="00fe4469"/>
    <w:pPr>
      <w:widowControl/>
      <w:suppressAutoHyphens w:val="false"/>
      <w:spacing w:before="80" w:after="80"/>
      <w:jc w:val="center"/>
    </w:pPr>
    <w:rPr>
      <w:b/>
      <w:sz w:val="32"/>
      <w:szCs w:val="32"/>
    </w:rPr>
  </w:style>
  <w:style w:type="paragraph" w:styleId="Style39" w:customStyle="1">
    <w:name w:val="Подраздел раздела положения"/>
    <w:basedOn w:val="Normal"/>
    <w:autoRedefine/>
    <w:qFormat/>
    <w:rsid w:val="00fe4469"/>
    <w:pPr>
      <w:widowControl/>
      <w:suppressAutoHyphens w:val="false"/>
      <w:spacing w:before="80" w:after="80"/>
      <w:jc w:val="both"/>
    </w:pPr>
    <w:rPr>
      <w:sz w:val="28"/>
      <w:szCs w:val="28"/>
    </w:rPr>
  </w:style>
  <w:style w:type="paragraph" w:styleId="316" w:customStyle="1">
    <w:name w:val="Список 31"/>
    <w:basedOn w:val="Normal"/>
    <w:qFormat/>
    <w:rsid w:val="00fe4469"/>
    <w:pPr>
      <w:widowControl/>
      <w:suppressAutoHyphens w:val="false"/>
      <w:spacing w:before="120" w:after="0"/>
      <w:jc w:val="both"/>
    </w:pPr>
    <w:rPr>
      <w:rFonts w:ascii="Garamond" w:hAnsi="Garamond"/>
      <w:sz w:val="24"/>
    </w:rPr>
  </w:style>
  <w:style w:type="paragraph" w:styleId="25" w:customStyle="1">
    <w:name w:val="Нумерованный список ур2"/>
    <w:basedOn w:val="Normal"/>
    <w:link w:val="21"/>
    <w:qFormat/>
    <w:rsid w:val="00fe4469"/>
    <w:pPr>
      <w:widowControl/>
      <w:suppressAutoHyphens w:val="false"/>
      <w:spacing w:before="120" w:after="0"/>
      <w:jc w:val="both"/>
    </w:pPr>
    <w:rPr>
      <w:sz w:val="28"/>
      <w:szCs w:val="28"/>
    </w:rPr>
  </w:style>
  <w:style w:type="paragraph" w:styleId="Style40" w:customStyle="1">
    <w:name w:val="Название раздела инструкции"/>
    <w:basedOn w:val="Normal"/>
    <w:autoRedefine/>
    <w:qFormat/>
    <w:rsid w:val="00fe4469"/>
    <w:pPr>
      <w:widowControl/>
      <w:suppressAutoHyphens w:val="false"/>
      <w:jc w:val="center"/>
    </w:pPr>
    <w:rPr>
      <w:b/>
      <w:sz w:val="28"/>
      <w:szCs w:val="28"/>
    </w:rPr>
  </w:style>
  <w:style w:type="paragraph" w:styleId="121" w:customStyle="1">
    <w:name w:val="Шапка 1"/>
    <w:basedOn w:val="Normal"/>
    <w:qFormat/>
    <w:rsid w:val="00fe4469"/>
    <w:pPr>
      <w:widowControl/>
      <w:pBdr>
        <w:bottom w:val="thickThinSmallGap" w:sz="24" w:space="1" w:color="00000A"/>
      </w:pBdr>
      <w:suppressAutoHyphens w:val="false"/>
      <w:spacing w:before="0" w:after="240"/>
      <w:jc w:val="center"/>
    </w:pPr>
    <w:rPr>
      <w:sz w:val="22"/>
      <w:szCs w:val="22"/>
    </w:rPr>
  </w:style>
  <w:style w:type="paragraph" w:styleId="213" w:customStyle="1">
    <w:name w:val="Основной текст с отступом 2 Знак1"/>
    <w:basedOn w:val="Normal"/>
    <w:qFormat/>
    <w:rsid w:val="00fe4469"/>
    <w:pPr>
      <w:widowControl/>
      <w:pBdr>
        <w:bottom w:val="thickThinSmallGap" w:sz="24" w:space="1" w:color="00000A"/>
      </w:pBdr>
      <w:suppressAutoHyphens w:val="false"/>
      <w:spacing w:before="0" w:after="120"/>
      <w:jc w:val="center"/>
    </w:pPr>
    <w:rPr>
      <w:b/>
      <w:sz w:val="22"/>
      <w:szCs w:val="22"/>
    </w:rPr>
  </w:style>
  <w:style w:type="paragraph" w:styleId="35" w:customStyle="1">
    <w:name w:val="Шапка 3"/>
    <w:basedOn w:val="Normal"/>
    <w:link w:val="33"/>
    <w:qFormat/>
    <w:rsid w:val="00fe4469"/>
    <w:pPr>
      <w:widowControl/>
      <w:pBdr>
        <w:bottom w:val="thickThinSmallGap" w:sz="24" w:space="1" w:color="00000A"/>
      </w:pBdr>
      <w:suppressAutoHyphens w:val="false"/>
      <w:spacing w:before="240" w:after="360"/>
      <w:jc w:val="center"/>
    </w:pPr>
    <w:rPr>
      <w:sz w:val="16"/>
      <w:szCs w:val="16"/>
    </w:rPr>
  </w:style>
  <w:style w:type="paragraph" w:styleId="122" w:customStyle="1">
    <w:name w:val="Название1"/>
    <w:basedOn w:val="Normal"/>
    <w:uiPriority w:val="10"/>
    <w:qFormat/>
    <w:rsid w:val="00fe4469"/>
    <w:pPr>
      <w:widowControl/>
      <w:suppressAutoHyphens w:val="false"/>
      <w:jc w:val="center"/>
    </w:pPr>
    <w:rPr>
      <w:sz w:val="28"/>
      <w:lang w:val="x-none" w:eastAsia="x-none"/>
    </w:rPr>
  </w:style>
  <w:style w:type="paragraph" w:styleId="BodyTextIndent3">
    <w:name w:val="Body Text Indent 3"/>
    <w:basedOn w:val="Normal"/>
    <w:link w:val="311"/>
    <w:qFormat/>
    <w:rsid w:val="00fe4469"/>
    <w:pPr>
      <w:widowControl/>
      <w:suppressAutoHyphens w:val="false"/>
      <w:spacing w:before="0" w:after="120"/>
      <w:ind w:left="283"/>
    </w:pPr>
    <w:rPr>
      <w:sz w:val="16"/>
      <w:szCs w:val="16"/>
    </w:rPr>
  </w:style>
  <w:style w:type="paragraph" w:styleId="BlockText">
    <w:name w:val="Block Text"/>
    <w:basedOn w:val="Normal"/>
    <w:qFormat/>
    <w:rsid w:val="00fe4469"/>
    <w:pPr>
      <w:widowControl/>
      <w:suppressAutoHyphens w:val="false"/>
      <w:ind w:left="-567" w:right="-766"/>
      <w:jc w:val="center"/>
    </w:pPr>
    <w:rPr>
      <w:b/>
      <w:bCs/>
      <w:sz w:val="24"/>
    </w:rPr>
  </w:style>
  <w:style w:type="paragraph" w:styleId="Style42" w:customStyle="1">
    <w:name w:val="Подпункт"/>
    <w:basedOn w:val="Normal"/>
    <w:qFormat/>
    <w:rsid w:val="00fe4469"/>
    <w:pPr>
      <w:widowControl/>
      <w:tabs>
        <w:tab w:val="clear" w:pos="720"/>
        <w:tab w:val="left" w:pos="1134" w:leader="none"/>
      </w:tabs>
      <w:suppressAutoHyphens w:val="false"/>
      <w:snapToGrid w:val="false"/>
      <w:spacing w:lineRule="auto" w:line="360"/>
      <w:ind w:hanging="1134" w:left="1134"/>
      <w:jc w:val="both"/>
    </w:pPr>
    <w:rPr>
      <w:sz w:val="28"/>
      <w:lang w:val="x-none" w:eastAsia="x-none"/>
    </w:rPr>
  </w:style>
  <w:style w:type="paragraph" w:styleId="26" w:customStyle="1">
    <w:name w:val="Пункт2"/>
    <w:basedOn w:val="Normal"/>
    <w:link w:val="22"/>
    <w:qFormat/>
    <w:rsid w:val="00fe4469"/>
    <w:pPr>
      <w:keepNext w:val="true"/>
      <w:widowControl/>
      <w:tabs>
        <w:tab w:val="clear" w:pos="720"/>
        <w:tab w:val="left" w:pos="1134" w:leader="none"/>
      </w:tabs>
      <w:snapToGrid w:val="false"/>
      <w:spacing w:before="240" w:after="120"/>
      <w:ind w:hanging="1134" w:left="1134"/>
      <w:outlineLvl w:val="2"/>
    </w:pPr>
    <w:rPr>
      <w:sz w:val="28"/>
      <w:szCs w:val="28"/>
    </w:rPr>
  </w:style>
  <w:style w:type="paragraph" w:styleId="Style43" w:customStyle="1">
    <w:name w:val="Раздел регламента"/>
    <w:basedOn w:val="Normal"/>
    <w:qFormat/>
    <w:rsid w:val="00fe4469"/>
    <w:pPr>
      <w:widowControl/>
      <w:suppressAutoHyphens w:val="false"/>
    </w:pPr>
    <w:rPr>
      <w:sz w:val="28"/>
      <w:szCs w:val="28"/>
    </w:rPr>
  </w:style>
  <w:style w:type="paragraph" w:styleId="Style44" w:customStyle="1">
    <w:name w:val="Приложение к регламенту"/>
    <w:basedOn w:val="Normal"/>
    <w:qFormat/>
    <w:rsid w:val="00fe4469"/>
    <w:pPr>
      <w:widowControl/>
      <w:suppressAutoHyphens w:val="false"/>
      <w:jc w:val="right"/>
    </w:pPr>
    <w:rPr>
      <w:sz w:val="28"/>
      <w:szCs w:val="28"/>
    </w:rPr>
  </w:style>
  <w:style w:type="paragraph" w:styleId="TOC2">
    <w:name w:val="TOC 2"/>
    <w:basedOn w:val="Normal"/>
    <w:autoRedefine/>
    <w:uiPriority w:val="39"/>
    <w:rsid w:val="00fe4469"/>
    <w:pPr>
      <w:widowControl/>
      <w:suppressAutoHyphens w:val="false"/>
      <w:spacing w:before="240" w:after="0"/>
    </w:pPr>
    <w:rPr>
      <w:rFonts w:cs="Calibri" w:cstheme="minorHAnsi"/>
      <w:b/>
      <w:bCs/>
    </w:rPr>
  </w:style>
  <w:style w:type="paragraph" w:styleId="123" w:customStyle="1">
    <w:name w:val="Обычный (веб)1"/>
    <w:basedOn w:val="Normal"/>
    <w:uiPriority w:val="99"/>
    <w:qFormat/>
    <w:rsid w:val="00fe4469"/>
    <w:pPr>
      <w:widowControl/>
      <w:suppressAutoHyphens w:val="false"/>
      <w:spacing w:beforeAutospacing="1" w:afterAutospacing="1"/>
    </w:pPr>
    <w:rPr>
      <w:rFonts w:ascii="Arial Unicode MS" w:hAnsi="Arial Unicode MS" w:eastAsia="Arial Unicode MS" w:cs="Arial Unicode MS"/>
      <w:sz w:val="24"/>
      <w:szCs w:val="24"/>
    </w:rPr>
  </w:style>
  <w:style w:type="paragraph" w:styleId="TOC9">
    <w:name w:val="TOC 9"/>
    <w:basedOn w:val="Normal"/>
    <w:autoRedefine/>
    <w:semiHidden/>
    <w:rsid w:val="00fe4469"/>
    <w:pPr>
      <w:widowControl/>
      <w:suppressAutoHyphens w:val="false"/>
      <w:ind w:left="1960"/>
    </w:pPr>
    <w:rPr>
      <w:rFonts w:ascii="Calibri" w:hAnsi="Calibri" w:cs="Calibri" w:asciiTheme="minorHAnsi" w:cstheme="minorHAnsi" w:hAnsiTheme="minorHAnsi"/>
    </w:rPr>
  </w:style>
  <w:style w:type="paragraph" w:styleId="TOC5">
    <w:name w:val="TOC 5"/>
    <w:basedOn w:val="Normal"/>
    <w:autoRedefine/>
    <w:semiHidden/>
    <w:rsid w:val="00fe4469"/>
    <w:pPr>
      <w:widowControl/>
      <w:suppressAutoHyphens w:val="false"/>
      <w:ind w:left="840"/>
    </w:pPr>
    <w:rPr>
      <w:rFonts w:ascii="Calibri" w:hAnsi="Calibri" w:cs="Calibri" w:asciiTheme="minorHAnsi" w:cstheme="minorHAnsi" w:hAnsiTheme="minorHAnsi"/>
    </w:rPr>
  </w:style>
  <w:style w:type="paragraph" w:styleId="27" w:customStyle="1">
    <w:name w:val="Раздел положения 2"/>
    <w:basedOn w:val="Normal"/>
    <w:qFormat/>
    <w:rsid w:val="00fe4469"/>
    <w:pPr>
      <w:pageBreakBefore/>
      <w:widowControl/>
      <w:suppressAutoHyphens w:val="false"/>
      <w:jc w:val="both"/>
      <w:outlineLvl w:val="0"/>
    </w:pPr>
    <w:rPr>
      <w:b/>
      <w:sz w:val="28"/>
      <w:szCs w:val="28"/>
    </w:rPr>
  </w:style>
  <w:style w:type="paragraph" w:styleId="NoSpacing">
    <w:name w:val="No Spacing"/>
    <w:basedOn w:val="Normal"/>
    <w:uiPriority w:val="1"/>
    <w:qFormat/>
    <w:rsid w:val="00fe4469"/>
    <w:pPr>
      <w:widowControl/>
      <w:suppressAutoHyphens w:val="false"/>
      <w:spacing w:lineRule="auto" w:line="360"/>
    </w:pPr>
    <w:rPr>
      <w:rFonts w:eastAsia="Calibri"/>
      <w:sz w:val="24"/>
      <w:szCs w:val="24"/>
    </w:rPr>
  </w:style>
  <w:style w:type="paragraph" w:styleId="Subtitle">
    <w:name w:val="Subtitle"/>
    <w:basedOn w:val="Normal"/>
    <w:link w:val="14"/>
    <w:uiPriority w:val="11"/>
    <w:qFormat/>
    <w:rsid w:val="00fe4469"/>
    <w:pPr>
      <w:widowControl/>
      <w:suppressAutoHyphens w:val="false"/>
      <w:ind w:firstLine="709" w:left="1066"/>
    </w:pPr>
    <w:rPr>
      <w:rFonts w:ascii="Cambria" w:hAnsi="Cambria"/>
      <w:i/>
      <w:iCs/>
      <w:color w:val="4F81BD"/>
      <w:spacing w:val="15"/>
      <w:sz w:val="24"/>
      <w:szCs w:val="24"/>
      <w:lang w:val="x-none" w:eastAsia="x-none"/>
    </w:rPr>
  </w:style>
  <w:style w:type="paragraph" w:styleId="Quote">
    <w:name w:val="Quote"/>
    <w:basedOn w:val="Normal"/>
    <w:link w:val="24"/>
    <w:uiPriority w:val="29"/>
    <w:qFormat/>
    <w:rsid w:val="00fe4469"/>
    <w:pPr>
      <w:widowControl/>
      <w:suppressAutoHyphens w:val="false"/>
    </w:pPr>
    <w:rPr>
      <w:rFonts w:ascii="Calibri" w:hAnsi="Calibri" w:eastAsia="Calibri"/>
      <w:i/>
      <w:iCs/>
      <w:color w:val="000000"/>
      <w:lang w:val="x-none" w:eastAsia="x-none"/>
    </w:rPr>
  </w:style>
  <w:style w:type="paragraph" w:styleId="IntenseQuote">
    <w:name w:val="Intense Quote"/>
    <w:basedOn w:val="Normal"/>
    <w:link w:val="15"/>
    <w:uiPriority w:val="30"/>
    <w:qFormat/>
    <w:rsid w:val="00fe4469"/>
    <w:pPr>
      <w:widowControl/>
      <w:pBdr>
        <w:bottom w:val="single" w:sz="4" w:space="4" w:color="4F81BD"/>
      </w:pBdr>
      <w:suppressAutoHyphens w:val="false"/>
      <w:spacing w:before="200" w:after="280"/>
      <w:ind w:left="936" w:right="936"/>
    </w:pPr>
    <w:rPr>
      <w:rFonts w:ascii="Calibri" w:hAnsi="Calibri" w:eastAsia="Calibri"/>
      <w:b/>
      <w:bCs/>
      <w:i/>
      <w:iCs/>
      <w:color w:val="4F81BD"/>
      <w:lang w:val="x-none" w:eastAsia="x-none"/>
    </w:rPr>
  </w:style>
  <w:style w:type="paragraph" w:styleId="IndexHeading">
    <w:name w:val="Index Heading"/>
    <w:basedOn w:val="Style22"/>
    <w:pPr/>
    <w:rPr/>
  </w:style>
  <w:style w:type="paragraph" w:styleId="TOCHeading">
    <w:name w:val="TOC Heading"/>
    <w:basedOn w:val="Heading1"/>
    <w:uiPriority w:val="39"/>
    <w:qFormat/>
    <w:rsid w:val="00fe4469"/>
    <w:pPr>
      <w:keepLines/>
      <w:widowControl/>
      <w:suppressAutoHyphens w:val="false"/>
      <w:spacing w:before="480" w:after="60"/>
    </w:pPr>
    <w:rPr>
      <w:rFonts w:ascii="Cambria" w:hAnsi="Cambria" w:eastAsia="Calibri" w:cs="Times New Roman"/>
      <w:color w:val="365F91"/>
      <w:kern w:val="0"/>
      <w:sz w:val="28"/>
      <w:szCs w:val="28"/>
      <w:lang w:val="x-none" w:eastAsia="x-none"/>
    </w:rPr>
  </w:style>
  <w:style w:type="paragraph" w:styleId="E-mailSignature">
    <w:name w:val="E-mail Signature"/>
    <w:basedOn w:val="Normal"/>
    <w:link w:val="16"/>
    <w:uiPriority w:val="99"/>
    <w:unhideWhenUsed/>
    <w:qFormat/>
    <w:rsid w:val="00fe4469"/>
    <w:pPr>
      <w:widowControl/>
      <w:suppressAutoHyphens w:val="false"/>
    </w:pPr>
    <w:rPr>
      <w:rFonts w:eastAsia="Calibri"/>
      <w:sz w:val="24"/>
      <w:szCs w:val="24"/>
      <w:lang w:val="x-none" w:eastAsia="x-none"/>
    </w:rPr>
  </w:style>
  <w:style w:type="paragraph" w:styleId="Style45" w:customStyle="1">
    <w:name w:val="Пункт"/>
    <w:basedOn w:val="Normal"/>
    <w:qFormat/>
    <w:rsid w:val="00fe4469"/>
    <w:pPr>
      <w:tabs>
        <w:tab w:val="clear" w:pos="720"/>
        <w:tab w:val="left" w:pos="1134" w:leader="none"/>
      </w:tabs>
      <w:suppressAutoHyphens w:val="false"/>
      <w:spacing w:lineRule="auto" w:line="360" w:before="120" w:after="0"/>
      <w:ind w:hanging="1134" w:left="1134" w:right="800"/>
      <w:jc w:val="both"/>
    </w:pPr>
    <w:rPr>
      <w:rFonts w:ascii="Arial" w:hAnsi="Arial"/>
      <w:b/>
      <w:i/>
      <w:sz w:val="28"/>
    </w:rPr>
  </w:style>
  <w:style w:type="paragraph" w:styleId="124" w:customStyle="1">
    <w:name w:val="Абзац списка1"/>
    <w:basedOn w:val="Normal"/>
    <w:qFormat/>
    <w:rsid w:val="00fe4469"/>
    <w:pPr>
      <w:widowControl/>
      <w:suppressAutoHyphens w:val="false"/>
      <w:spacing w:lineRule="auto" w:line="276" w:before="0" w:after="200"/>
      <w:ind w:left="720"/>
      <w:contextualSpacing/>
    </w:pPr>
    <w:rPr>
      <w:rFonts w:ascii="Calibri" w:hAnsi="Calibri"/>
      <w:sz w:val="22"/>
      <w:szCs w:val="22"/>
      <w:lang w:eastAsia="en-US"/>
    </w:rPr>
  </w:style>
  <w:style w:type="paragraph" w:styleId="Style46" w:customStyle="1">
    <w:name w:val="Подподпункт"/>
    <w:basedOn w:val="Style42"/>
    <w:qFormat/>
    <w:rsid w:val="00fe4469"/>
    <w:pPr>
      <w:tabs>
        <w:tab w:val="left" w:pos="1134" w:leader="none"/>
        <w:tab w:val="left" w:pos="5104" w:leader="none"/>
      </w:tabs>
      <w:snapToGrid w:val="true"/>
      <w:spacing w:lineRule="auto" w:line="240" w:before="120" w:after="0"/>
      <w:ind w:hanging="567" w:left="5104"/>
    </w:pPr>
    <w:rPr>
      <w:sz w:val="26"/>
      <w:szCs w:val="26"/>
      <w:lang w:val="ru-RU" w:eastAsia="ru-RU"/>
    </w:rPr>
  </w:style>
  <w:style w:type="paragraph" w:styleId="Style47" w:customStyle="1">
    <w:name w:val="УРОВЕНЬ_(а)"/>
    <w:basedOn w:val="ListParagraph"/>
    <w:qFormat/>
    <w:rsid w:val="00fe4469"/>
    <w:pPr>
      <w:widowControl/>
      <w:suppressAutoHyphens w:val="false"/>
      <w:spacing w:lineRule="exact" w:line="360" w:before="120" w:after="0"/>
      <w:contextualSpacing/>
      <w:jc w:val="both"/>
      <w:outlineLvl w:val="3"/>
    </w:pPr>
    <w:rPr>
      <w:rFonts w:eastAsia="Calibri"/>
      <w:sz w:val="26"/>
      <w:szCs w:val="28"/>
      <w:lang w:eastAsia="en-US"/>
    </w:rPr>
  </w:style>
  <w:style w:type="paragraph" w:styleId="-1" w:customStyle="1">
    <w:name w:val="УРОВЕНЬ_-"/>
    <w:basedOn w:val="ListParagraph"/>
    <w:qFormat/>
    <w:rsid w:val="00fe4469"/>
    <w:pPr>
      <w:widowControl/>
      <w:suppressAutoHyphens w:val="false"/>
      <w:spacing w:lineRule="exact" w:line="360" w:before="120" w:after="0"/>
      <w:contextualSpacing/>
      <w:jc w:val="both"/>
      <w:outlineLvl w:val="4"/>
    </w:pPr>
    <w:rPr>
      <w:rFonts w:eastAsia="Calibri"/>
      <w:sz w:val="26"/>
      <w:szCs w:val="28"/>
      <w:lang w:eastAsia="en-US"/>
    </w:rPr>
  </w:style>
  <w:style w:type="paragraph" w:styleId="28" w:customStyle="1">
    <w:name w:val="УРОВЕНЬ_Абзац_тип2"/>
    <w:basedOn w:val="ListParagraph"/>
    <w:qFormat/>
    <w:rsid w:val="00fe4469"/>
    <w:pPr>
      <w:widowControl/>
      <w:suppressAutoHyphens w:val="false"/>
      <w:spacing w:lineRule="exact" w:line="360" w:before="120" w:after="0"/>
      <w:contextualSpacing/>
      <w:jc w:val="both"/>
    </w:pPr>
    <w:rPr>
      <w:rFonts w:eastAsia="Calibri"/>
      <w:sz w:val="26"/>
      <w:szCs w:val="28"/>
      <w:lang w:eastAsia="en-US"/>
    </w:rPr>
  </w:style>
  <w:style w:type="paragraph" w:styleId="36" w:customStyle="1">
    <w:name w:val="УРОВЕНЬ_Абзац_тип3"/>
    <w:basedOn w:val="ListParagraph"/>
    <w:qFormat/>
    <w:rsid w:val="00fe4469"/>
    <w:pPr>
      <w:widowControl/>
      <w:suppressAutoHyphens w:val="false"/>
      <w:spacing w:lineRule="exact" w:line="360" w:before="120" w:after="0"/>
      <w:contextualSpacing/>
      <w:jc w:val="both"/>
    </w:pPr>
    <w:rPr>
      <w:rFonts w:eastAsia="Calibri"/>
      <w:sz w:val="26"/>
      <w:szCs w:val="28"/>
      <w:lang w:eastAsia="en-US"/>
    </w:rPr>
  </w:style>
  <w:style w:type="paragraph" w:styleId="Style48" w:customStyle="1">
    <w:name w:val="УРОВЕНЬ_Подпись"/>
    <w:basedOn w:val="ListParagraph"/>
    <w:qFormat/>
    <w:rsid w:val="00fe4469"/>
    <w:pPr>
      <w:keepNext w:val="true"/>
      <w:widowControl/>
      <w:suppressAutoHyphens w:val="false"/>
      <w:spacing w:lineRule="exact" w:line="360" w:before="120" w:after="120"/>
      <w:contextualSpacing/>
      <w:jc w:val="right"/>
      <w:outlineLvl w:val="3"/>
    </w:pPr>
    <w:rPr>
      <w:rFonts w:eastAsia="Calibri"/>
      <w:sz w:val="26"/>
      <w:szCs w:val="28"/>
      <w:lang w:eastAsia="en-US"/>
    </w:rPr>
  </w:style>
  <w:style w:type="paragraph" w:styleId="125" w:customStyle="1">
    <w:name w:val="Стиль Заголовок 1 + по ширине"/>
    <w:basedOn w:val="Heading1"/>
    <w:qFormat/>
    <w:rsid w:val="00fe4469"/>
    <w:pPr>
      <w:keepLines/>
      <w:widowControl/>
      <w:tabs>
        <w:tab w:val="clear" w:pos="720"/>
        <w:tab w:val="left" w:pos="567" w:leader="none"/>
      </w:tabs>
      <w:spacing w:before="480" w:after="240"/>
      <w:ind w:hanging="567" w:left="567"/>
      <w:jc w:val="both"/>
    </w:pPr>
    <w:rPr>
      <w:rFonts w:cs="Times New Roman"/>
      <w:kern w:val="0"/>
      <w:sz w:val="40"/>
      <w:szCs w:val="20"/>
    </w:rPr>
  </w:style>
  <w:style w:type="paragraph" w:styleId="EndnoteText">
    <w:name w:val="Endnote Text"/>
    <w:basedOn w:val="Normal"/>
    <w:link w:val="17"/>
    <w:qFormat/>
    <w:rsid w:val="00fe4469"/>
    <w:pPr>
      <w:widowControl/>
      <w:suppressAutoHyphens w:val="false"/>
    </w:pPr>
    <w:rPr/>
  </w:style>
  <w:style w:type="paragraph" w:styleId="29" w:customStyle="1">
    <w:name w:val="Заголовок 2 КВВ"/>
    <w:basedOn w:val="Normal"/>
    <w:qFormat/>
    <w:rsid w:val="00fe4469"/>
    <w:pPr>
      <w:keepNext w:val="true"/>
      <w:widowControl/>
      <w:spacing w:before="120" w:after="120"/>
      <w:jc w:val="both"/>
      <w:outlineLvl w:val="0"/>
    </w:pPr>
    <w:rPr>
      <w:b/>
      <w:sz w:val="24"/>
      <w:lang w:eastAsia="x-none"/>
    </w:rPr>
  </w:style>
  <w:style w:type="paragraph" w:styleId="126" w:customStyle="1">
    <w:name w:val="УРОВЕНЬ_1."/>
    <w:basedOn w:val="ListParagraph"/>
    <w:qFormat/>
    <w:rsid w:val="00fe4469"/>
    <w:pPr>
      <w:keepNext w:val="true"/>
      <w:keepLines/>
      <w:widowControl/>
      <w:suppressAutoHyphens w:val="false"/>
      <w:spacing w:lineRule="auto" w:line="276" w:before="240" w:after="120"/>
      <w:ind w:left="0"/>
      <w:contextualSpacing/>
      <w:jc w:val="both"/>
      <w:outlineLvl w:val="0"/>
    </w:pPr>
    <w:rPr>
      <w:rFonts w:eastAsia="Calibri"/>
      <w:caps/>
      <w:sz w:val="28"/>
      <w:szCs w:val="28"/>
      <w:lang w:eastAsia="en-US"/>
    </w:rPr>
  </w:style>
  <w:style w:type="paragraph" w:styleId="TOC6">
    <w:name w:val="TOC 6"/>
    <w:basedOn w:val="Normal"/>
    <w:autoRedefine/>
    <w:unhideWhenUsed/>
    <w:rsid w:val="00fe4469"/>
    <w:pPr>
      <w:widowControl/>
      <w:suppressAutoHyphens w:val="false"/>
      <w:ind w:left="1120"/>
    </w:pPr>
    <w:rPr>
      <w:rFonts w:ascii="Calibri" w:hAnsi="Calibri" w:cs="Calibri" w:asciiTheme="minorHAnsi" w:cstheme="minorHAnsi" w:hAnsiTheme="minorHAnsi"/>
    </w:rPr>
  </w:style>
  <w:style w:type="paragraph" w:styleId="TOC7">
    <w:name w:val="TOC 7"/>
    <w:basedOn w:val="Normal"/>
    <w:autoRedefine/>
    <w:unhideWhenUsed/>
    <w:rsid w:val="00fe4469"/>
    <w:pPr>
      <w:widowControl/>
      <w:suppressAutoHyphens w:val="false"/>
      <w:ind w:left="1400"/>
    </w:pPr>
    <w:rPr>
      <w:rFonts w:ascii="Calibri" w:hAnsi="Calibri" w:cs="Calibri" w:asciiTheme="minorHAnsi" w:cstheme="minorHAnsi" w:hAnsiTheme="minorHAnsi"/>
    </w:rPr>
  </w:style>
  <w:style w:type="paragraph" w:styleId="TOC8">
    <w:name w:val="TOC 8"/>
    <w:basedOn w:val="Normal"/>
    <w:autoRedefine/>
    <w:unhideWhenUsed/>
    <w:rsid w:val="00fe4469"/>
    <w:pPr>
      <w:widowControl/>
      <w:suppressAutoHyphens w:val="false"/>
      <w:ind w:left="1680"/>
    </w:pPr>
    <w:rPr>
      <w:rFonts w:ascii="Calibri" w:hAnsi="Calibri" w:cs="Calibri" w:asciiTheme="minorHAnsi" w:cstheme="minorHAnsi" w:hAnsiTheme="minorHAnsi"/>
    </w:rPr>
  </w:style>
  <w:style w:type="paragraph" w:styleId="TableParagraph" w:customStyle="1">
    <w:name w:val="Table Paragraph"/>
    <w:basedOn w:val="Normal"/>
    <w:uiPriority w:val="1"/>
    <w:qFormat/>
    <w:rsid w:val="00fe4469"/>
    <w:pPr>
      <w:suppressAutoHyphens w:val="false"/>
    </w:pPr>
    <w:rPr>
      <w:rFonts w:ascii="Calibri" w:hAnsi="Calibri" w:eastAsia="Calibri" w:cs="" w:asciiTheme="minorHAnsi" w:cstheme="minorBidi" w:eastAsiaTheme="minorHAnsi" w:hAnsiTheme="minorHAnsi"/>
      <w:sz w:val="22"/>
      <w:szCs w:val="22"/>
      <w:lang w:val="en-US" w:eastAsia="en-US"/>
    </w:rPr>
  </w:style>
  <w:style w:type="paragraph" w:styleId="Index1">
    <w:name w:val="index 1"/>
    <w:basedOn w:val="Normal"/>
    <w:next w:val="Normal"/>
    <w:autoRedefine/>
    <w:uiPriority w:val="99"/>
    <w:semiHidden/>
    <w:unhideWhenUsed/>
    <w:qFormat/>
    <w:rsid w:val="00fe4469"/>
    <w:pPr>
      <w:widowControl/>
      <w:suppressAutoHyphens w:val="false"/>
      <w:ind w:hanging="280" w:left="280"/>
    </w:pPr>
    <w:rPr>
      <w:sz w:val="28"/>
      <w:szCs w:val="28"/>
    </w:rPr>
  </w:style>
  <w:style w:type="paragraph" w:styleId="Tableoffigures">
    <w:name w:val="table of figures"/>
    <w:basedOn w:val="Normal"/>
    <w:next w:val="Normal"/>
    <w:uiPriority w:val="99"/>
    <w:unhideWhenUsed/>
    <w:qFormat/>
    <w:rsid w:val="00fe4469"/>
    <w:pPr>
      <w:widowControl/>
      <w:suppressAutoHyphens w:val="false"/>
      <w:spacing w:lineRule="auto" w:line="360"/>
      <w:jc w:val="both"/>
    </w:pPr>
    <w:rPr>
      <w:rFonts w:eastAsia="Calibri" w:cs="" w:cstheme="minorBidi" w:eastAsiaTheme="minorHAnsi"/>
      <w:sz w:val="24"/>
      <w:szCs w:val="22"/>
      <w:lang w:eastAsia="en-US"/>
    </w:rPr>
  </w:style>
  <w:style w:type="paragraph" w:styleId="-2" w:customStyle="1">
    <w:name w:val="Колонтитул(наз.орган-и)"/>
    <w:basedOn w:val="Normal"/>
    <w:qFormat/>
    <w:rsid w:val="00fe4469"/>
    <w:pPr>
      <w:widowControl/>
      <w:suppressAutoHyphens w:val="false"/>
      <w:spacing w:lineRule="auto" w:line="360" w:before="120" w:after="0"/>
      <w:jc w:val="center"/>
    </w:pPr>
    <w:rPr>
      <w:rFonts w:ascii="ISOCPEUR" w:hAnsi="ISOCPEUR"/>
      <w:i/>
      <w:szCs w:val="24"/>
    </w:rPr>
  </w:style>
  <w:style w:type="paragraph" w:styleId="Headertext" w:customStyle="1">
    <w:name w:val="headertext"/>
    <w:basedOn w:val="Normal"/>
    <w:qFormat/>
    <w:rsid w:val="00fe4469"/>
    <w:pPr>
      <w:widowControl/>
      <w:suppressAutoHyphens w:val="false"/>
      <w:spacing w:beforeAutospacing="1" w:afterAutospacing="1"/>
    </w:pPr>
    <w:rPr>
      <w:sz w:val="24"/>
      <w:szCs w:val="24"/>
    </w:rPr>
  </w:style>
  <w:style w:type="paragraph" w:styleId="Style49" w:customStyle="1">
    <w:name w:val="перечисление абзацев"/>
    <w:basedOn w:val="Normal"/>
    <w:qFormat/>
    <w:rsid w:val="00fe4469"/>
    <w:pPr>
      <w:keepLines/>
      <w:widowControl/>
      <w:numPr>
        <w:ilvl w:val="0"/>
        <w:numId w:val="8"/>
      </w:numPr>
      <w:tabs>
        <w:tab w:val="clear" w:pos="720"/>
        <w:tab w:val="left" w:pos="1418" w:leader="none"/>
      </w:tabs>
      <w:suppressAutoHyphens w:val="false"/>
      <w:spacing w:lineRule="auto" w:line="360" w:before="0" w:after="0"/>
      <w:ind w:firstLine="851" w:left="284" w:right="170"/>
      <w:contextualSpacing/>
      <w:jc w:val="both"/>
    </w:pPr>
    <w:rPr>
      <w:rFonts w:eastAsia="Arial Unicode MS"/>
      <w:iCs/>
      <w:color w:val="000000"/>
      <w:sz w:val="26"/>
      <w:szCs w:val="24"/>
    </w:rPr>
  </w:style>
  <w:style w:type="paragraph" w:styleId="C" w:customStyle="1">
    <w:name w:val="Cписок"/>
    <w:basedOn w:val="Normal"/>
    <w:qFormat/>
    <w:rsid w:val="00fe4469"/>
    <w:pPr>
      <w:widowControl/>
      <w:numPr>
        <w:ilvl w:val="0"/>
        <w:numId w:val="9"/>
      </w:numPr>
      <w:suppressAutoHyphens w:val="false"/>
      <w:spacing w:lineRule="auto" w:line="360"/>
      <w:jc w:val="both"/>
    </w:pPr>
    <w:rPr>
      <w:sz w:val="24"/>
      <w:szCs w:val="24"/>
    </w:rPr>
  </w:style>
  <w:style w:type="paragraph" w:styleId="Caaieiaie3" w:customStyle="1">
    <w:name w:val="caaieiaie 3"/>
    <w:basedOn w:val="Normal"/>
    <w:next w:val="Normal"/>
    <w:qFormat/>
    <w:rsid w:val="00fe4469"/>
    <w:pPr>
      <w:keepNext w:val="true"/>
      <w:widowControl/>
      <w:suppressAutoHyphens w:val="false"/>
      <w:overflowPunct w:val="true"/>
      <w:spacing w:before="240" w:after="60"/>
      <w:ind w:firstLine="720"/>
      <w:jc w:val="both"/>
      <w:textAlignment w:val="baseline"/>
    </w:pPr>
    <w:rPr>
      <w:b/>
      <w:sz w:val="24"/>
      <w:lang w:val="en-US" w:eastAsia="en-US"/>
    </w:rPr>
  </w:style>
  <w:style w:type="numbering" w:styleId="NoList" w:default="1">
    <w:name w:val="No List"/>
    <w:uiPriority w:val="99"/>
    <w:semiHidden/>
    <w:unhideWhenUsed/>
    <w:qFormat/>
  </w:style>
  <w:style w:type="numbering" w:styleId="WW8Num7" w:customStyle="1">
    <w:name w:val="WW8Num7"/>
    <w:qFormat/>
  </w:style>
  <w:style w:type="numbering" w:styleId="127" w:customStyle="1">
    <w:name w:val="Стиль1"/>
    <w:uiPriority w:val="99"/>
    <w:qFormat/>
    <w:rsid w:val="00fe4469"/>
  </w:style>
  <w:style w:type="numbering" w:styleId="210" w:customStyle="1">
    <w:name w:val="Стиль2"/>
    <w:uiPriority w:val="99"/>
    <w:qFormat/>
    <w:rsid w:val="00fe4469"/>
  </w:style>
  <w:style w:type="numbering" w:styleId="OutlineList2">
    <w:name w:val="Outline List 2"/>
    <w:qFormat/>
    <w:rsid w:val="00b75360"/>
  </w:style>
  <w:style w:type="table" w:default="1" w:styleId="a2">
    <w:name w:val="Normal Table"/>
    <w:uiPriority w:val="99"/>
    <w:semiHidden/>
    <w:unhideWhenUsed/>
    <w:tblPr>
      <w:tblCellMar>
        <w:top w:w="0" w:type="dxa"/>
        <w:left w:w="108" w:type="dxa"/>
        <w:bottom w:w="0" w:type="dxa"/>
        <w:right w:w="108" w:type="dxa"/>
      </w:tblCellMar>
    </w:tblPr>
  </w:style>
  <w:style w:type="table" w:styleId="afff7">
    <w:name w:val="Table Grid"/>
    <w:basedOn w:val="a2"/>
    <w:uiPriority w:val="5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1">
    <w:name w:val="Сетка таблицы9"/>
    <w:basedOn w:val="a2"/>
    <w:uiPriority w:val="39"/>
    <w:rsid w:val="003e7a8d"/>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5">
    <w:name w:val="Сетка таблицы1"/>
    <w:basedOn w:val="a2"/>
    <w:uiPriority w:val="39"/>
    <w:rsid w:val="00fe4469"/>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6">
    <w:name w:val="Таблица (ГОСТ)1"/>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0">
    <w:name w:val="Таблица (ГОСТ)2"/>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c">
    <w:name w:val="Таблица (ГОСТ)3"/>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Сетка таблицы8"/>
    <w:basedOn w:val="a2"/>
    <w:uiPriority w:val="59"/>
    <w:rsid w:val="00fe4469"/>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Таблица (ГОСТ)4"/>
    <w:basedOn w:val="a2"/>
    <w:uiPriority w:val="3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Таблица (ГОСТ)5"/>
    <w:basedOn w:val="a2"/>
    <w:uiPriority w:val="3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header" Target="header8.xml"/><Relationship Id="rId17" Type="http://schemas.openxmlformats.org/officeDocument/2006/relationships/header" Target="header9.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Relationship Id="rId26" Type="http://schemas.openxmlformats.org/officeDocument/2006/relationships/customXml" Target="../customXml/item3.xml"/><Relationship Id="rId27"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2.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7F8AEF-69C8-4521-AF6F-5E513E3E618D}">
  <ds:schemaRefs>
    <ds:schemaRef ds:uri="http://schemas.microsoft.com/office/2006/metadata/properties"/>
    <ds:schemaRef ds:uri="http://schemas.microsoft.com/office/infopath/2007/PartnerControls"/>
    <ds:schemaRef ds:uri="6b391926-16e0-4cfb-b110-3d3d4588acaa"/>
    <ds:schemaRef ds:uri="5b921955-840d-4409-aab0-dc43f42745dc"/>
  </ds:schemaRefs>
</ds:datastoreItem>
</file>

<file path=customXml/itemProps4.xml><?xml version="1.0" encoding="utf-8"?>
<ds:datastoreItem xmlns:ds="http://schemas.openxmlformats.org/officeDocument/2006/customXml" ds:itemID="{1D3EAECC-A952-43E5-8169-A640EBE0E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Application>AlterOffice/2026.2.0.0$Linux_X86_64 LibreOffice_project/bc4ef1adf80b36c7a6365f8ed6cbf29021361edd</Application>
  <AppVersion>15.0000</AppVersion>
  <Pages>22</Pages>
  <Words>4410</Words>
  <Characters>31235</Characters>
  <CharactersWithSpaces>35243</CharactersWithSpaces>
  <Paragraphs>869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2026-09-30T12:37:00Z</dcterms:created>
  <dc:creator>tsypilev_ag</dc:creator>
  <dc:description/>
  <dc:language>ru-RU</dc:language>
  <cp:lastModifiedBy/>
  <cp:lastPrinted>2025-08-29T16:35:00Z</cp:lastPrinted>
  <dcterms:modified xsi:type="dcterms:W3CDTF">2026-09-30T17:30:35Z</dcterms:modified>
  <cp:revision>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