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footer1.xml" ContentType="application/vnd.openxmlformats-officedocument.wordprocessingml.footer+xml"/>
  <Override PartName="/word/header7.xml" ContentType="application/vnd.openxmlformats-officedocument.wordprocessingml.header+xml"/>
  <Override PartName="/word/header10.xml" ContentType="application/vnd.openxmlformats-officedocument.wordprocessingml.header+xml"/>
  <Override PartName="/word/theme/theme1.xml" ContentType="application/vnd.openxmlformats-officedocument.theme+xml"/>
  <Override PartName="/word/styles.xml" ContentType="application/vnd.openxmlformats-officedocument.wordprocessingml.styles+xml"/>
  <Override PartName="/word/header8.xml" ContentType="application/vnd.openxmlformats-officedocument.wordprocessingml.header+xml"/>
  <Override PartName="/word/header11.xml" ContentType="application/vnd.openxmlformats-officedocument.wordprocessingml.header+xml"/>
  <Override PartName="/word/header9.xml" ContentType="application/vnd.openxmlformats-officedocument.wordprocessingml.header+xml"/>
  <Override PartName="/word/media/image1.png" ContentType="image/png"/>
  <Override PartName="/word/media/image2.png" ContentType="image/png"/>
  <Override PartName="/word/media/image3.png" ContentType="image/png"/>
  <Override PartName="/word/settings.xml" ContentType="application/vnd.openxmlformats-officedocument.wordprocessingml.settings+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footer9.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footer5.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header6.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ind w:firstLine="567" w:left="720"/>
        <w:jc w:val="right"/>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ind w:firstLine="567" w:left="720"/>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keepNext w:val="true"/>
        <w:keepLines/>
        <w:shd w:val="clear" w:color="auto" w:fill="FFFFFF" w:themeFill="background1"/>
        <w:jc w:val="center"/>
        <w:rPr>
          <w:rFonts w:eastAsia="Calibri"/>
          <w:b/>
          <w:sz w:val="26"/>
          <w:szCs w:val="26"/>
        </w:rPr>
      </w:pPr>
      <w:r>
        <w:rPr>
          <w:rFonts w:eastAsia="Calibri"/>
          <w:b/>
          <w:sz w:val="26"/>
          <w:szCs w:val="26"/>
        </w:rPr>
        <w:t>Технические требования</w:t>
      </w:r>
    </w:p>
    <w:p>
      <w:pPr>
        <w:pStyle w:val="Normal"/>
        <w:keepNext w:val="true"/>
        <w:keepLines/>
        <w:shd w:val="clear" w:color="auto" w:fill="FFFFFF" w:themeFill="background1"/>
        <w:jc w:val="center"/>
        <w:rPr>
          <w:rFonts w:eastAsia="Calibri"/>
          <w:b/>
          <w:sz w:val="26"/>
          <w:szCs w:val="26"/>
        </w:rPr>
      </w:pPr>
      <w:r>
        <w:rPr>
          <w:rFonts w:eastAsia="Calibri"/>
          <w:b/>
          <w:sz w:val="26"/>
          <w:szCs w:val="26"/>
        </w:rPr>
      </w:r>
    </w:p>
    <w:p>
      <w:pPr>
        <w:pStyle w:val="Normal"/>
        <w:keepNext w:val="true"/>
        <w:keepLines/>
        <w:shd w:val="clear" w:color="auto" w:fill="FFFFFF" w:themeFill="background1"/>
        <w:jc w:val="center"/>
        <w:rPr>
          <w:rFonts w:eastAsia="Calibri"/>
          <w:b/>
          <w:bCs/>
          <w:sz w:val="26"/>
          <w:szCs w:val="26"/>
        </w:rPr>
      </w:pPr>
      <w:r>
        <w:rPr>
          <w:rFonts w:eastAsia="Calibri"/>
          <w:b/>
          <w:bCs/>
          <w:sz w:val="26"/>
          <w:szCs w:val="26"/>
        </w:rPr>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t>ОКПД2 27.12.10 Восстановление и поставка электротехнического оборудования в рамках реализации проекта достройки Загорской ГАЭС-2</w:t>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r>
    </w:p>
    <w:p>
      <w:pPr>
        <w:pStyle w:val="Normal"/>
        <w:keepNext w:val="true"/>
        <w:keepLines/>
        <w:shd w:val="clear" w:color="auto" w:fill="FFFFFF" w:themeFill="background1"/>
        <w:jc w:val="center"/>
        <w:rPr>
          <w:rFonts w:eastAsia="Calibri"/>
          <w:color w:val="000000"/>
          <w:sz w:val="26"/>
          <w:szCs w:val="26"/>
        </w:rPr>
      </w:pPr>
      <w:r>
        <w:rPr>
          <w:rFonts w:eastAsia="Calibri"/>
          <w:color w:val="000000"/>
          <w:sz w:val="26"/>
          <w:szCs w:val="26"/>
        </w:rPr>
      </w:r>
    </w:p>
    <w:p>
      <w:pPr>
        <w:pStyle w:val="Normal"/>
        <w:keepNext w:val="true"/>
        <w:keepLines/>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sz w:val="26"/>
          <w:szCs w:val="26"/>
        </w:rPr>
        <w:t xml:space="preserve">Часть 3. Восстановление и поставка оборудования пусковых тиристорных устройств (система пуска агрегата в насосный режим) </w:t>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Normal"/>
        <w:shd w:val="clear" w:color="auto" w:fill="FFFFFF" w:themeFill="background1"/>
        <w:jc w:val="center"/>
        <w:rPr>
          <w:rFonts w:eastAsia="Calibri"/>
          <w:b/>
          <w:i/>
          <w:i/>
          <w:sz w:val="26"/>
          <w:szCs w:val="26"/>
        </w:rPr>
      </w:pPr>
      <w:r>
        <w:rPr>
          <w:rFonts w:eastAsia="Calibri"/>
          <w:b/>
          <w:i/>
          <w:sz w:val="26"/>
          <w:szCs w:val="26"/>
        </w:rPr>
      </w:r>
    </w:p>
    <w:p>
      <w:pPr>
        <w:pStyle w:val="1111"/>
        <w:numPr>
          <w:ilvl w:val="0"/>
          <w:numId w:val="18"/>
        </w:numPr>
        <w:shd w:val="clear" w:color="auto" w:fill="FFFFFF" w:themeFill="background1"/>
        <w:jc w:val="center"/>
        <w:rPr>
          <w:caps/>
        </w:rPr>
      </w:pPr>
      <w:bookmarkStart w:id="0" w:name="_Toc54970174"/>
      <w:bookmarkStart w:id="1" w:name="_Toc51339692"/>
      <w:r>
        <w:rPr/>
        <w:t>Общие сведения</w:t>
      </w:r>
      <w:bookmarkEnd w:id="0"/>
      <w:bookmarkEnd w:id="1"/>
    </w:p>
    <w:p>
      <w:pPr>
        <w:pStyle w:val="411"/>
        <w:numPr>
          <w:ilvl w:val="1"/>
          <w:numId w:val="4"/>
        </w:numPr>
        <w:shd w:val="clear" w:color="auto" w:fill="FFFFFF" w:themeFill="background1"/>
        <w:rPr/>
      </w:pPr>
      <w:bookmarkStart w:id="2" w:name="_Toc46743505"/>
      <w:bookmarkStart w:id="3" w:name="_Toc54970175"/>
      <w:r>
        <w:rPr/>
        <w:t>Обозначения и сокращения</w:t>
      </w:r>
      <w:bookmarkEnd w:id="2"/>
      <w:bookmarkEnd w:id="3"/>
    </w:p>
    <w:p>
      <w:pPr>
        <w:pStyle w:val="Normal"/>
        <w:shd w:val="clear" w:color="auto" w:fill="FFFFFF" w:themeFill="background1"/>
        <w:rPr>
          <w:rStyle w:val="Style5"/>
          <w:b w:val="false"/>
          <w:sz w:val="24"/>
          <w:szCs w:val="24"/>
        </w:rPr>
      </w:pPr>
      <w:r>
        <w:rPr>
          <w:b w:val="false"/>
          <w:sz w:val="24"/>
          <w:szCs w:val="24"/>
        </w:rPr>
      </w:r>
    </w:p>
    <w:tbl>
      <w:tblPr>
        <w:tblW w:w="9783"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5"/>
        <w:gridCol w:w="7997"/>
      </w:tblGrid>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акционерное общество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АИИС КУЭ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автоматизированная информационно-измерительная система коммерческого учёта электроэнергии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АРМ</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автоматизированное рабочее место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АСУТП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автоматизированная система управления технологическими процессами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АУП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автоматическая установка пожаротушения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ВУ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верхний уровень (для АСУ ТП)</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ВН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iCs/>
                <w:color w:val="111111"/>
              </w:rPr>
              <w:t>высокое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ГА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iCs/>
                <w:color w:val="111111"/>
              </w:rPr>
            </w:pPr>
            <w:r>
              <w:rPr>
                <w:iCs/>
                <w:color w:val="111111"/>
              </w:rPr>
              <w:t>Гидроагрегат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ГАЭС</w:t>
            </w:r>
          </w:p>
        </w:tc>
        <w:tc>
          <w:tcPr>
            <w:tcW w:w="7997" w:type="dxa"/>
            <w:tcBorders>
              <w:top w:val="single" w:sz="4" w:space="0" w:color="000000"/>
              <w:left w:val="single" w:sz="4" w:space="0" w:color="000000"/>
              <w:bottom w:val="single" w:sz="4" w:space="0" w:color="000000"/>
              <w:right w:val="single" w:sz="4" w:space="0" w:color="000000"/>
            </w:tcBorders>
          </w:tcPr>
          <w:p>
            <w:pPr>
              <w:pStyle w:val="Normal"/>
              <w:rPr>
                <w:color w:val="000000"/>
              </w:rPr>
            </w:pPr>
            <w:r>
              <w:rPr>
                <w:color w:val="000000"/>
              </w:rPr>
              <w:t>гидроаккумулирующая электростанция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ГД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iCs/>
                <w:color w:val="111111"/>
              </w:rPr>
            </w:pPr>
            <w:r>
              <w:rPr>
                <w:iCs/>
                <w:color w:val="111111"/>
              </w:rPr>
              <w:t>генератор-двигатель</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ГОСТ</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color w:val="000000"/>
              </w:rPr>
              <w:t>государственный стандарт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rPr/>
            </w:pPr>
            <w:r>
              <w:rPr/>
              <w:t>Заказчик</w:t>
            </w:r>
          </w:p>
        </w:tc>
        <w:tc>
          <w:tcPr>
            <w:tcW w:w="7997" w:type="dxa"/>
            <w:tcBorders>
              <w:top w:val="single" w:sz="4" w:space="0" w:color="000000"/>
              <w:left w:val="single" w:sz="4" w:space="0" w:color="000000"/>
              <w:bottom w:val="single" w:sz="4" w:space="0" w:color="000000"/>
              <w:right w:val="single" w:sz="4" w:space="0" w:color="000000"/>
            </w:tcBorders>
          </w:tcPr>
          <w:p>
            <w:pPr>
              <w:pStyle w:val="Normal"/>
              <w:rPr/>
            </w:pPr>
            <w:r>
              <w:rPr/>
              <w:t>АО «Загорская ГАЭС-2»</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ЗИП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запасные части, инструменты, принадлежности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ИЭ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инструкция по монтажу и эксплуатации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ИТТ</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измерительный трансформатор тока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ИТН</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iCs/>
                <w:lang w:eastAsia="x-none"/>
              </w:rPr>
              <w:t>измерительный трансформатор напряжения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iCs/>
                <w:lang w:eastAsia="x-none"/>
              </w:rPr>
            </w:pPr>
            <w:r>
              <w:rPr>
                <w:iCs/>
                <w:lang w:eastAsia="x-none"/>
              </w:rPr>
              <w:t>КД</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t>конструкторск</w:t>
            </w:r>
            <w:r>
              <w:rPr>
                <w:lang w:val="en-US"/>
              </w:rPr>
              <w:t>ая</w:t>
            </w:r>
            <w:r>
              <w:rPr/>
              <w:t xml:space="preserve"> документ</w:t>
            </w:r>
            <w:r>
              <w:rPr>
                <w:lang w:val="en-US"/>
              </w:rPr>
              <w:t>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tcPr>
          <w:p>
            <w:pPr>
              <w:pStyle w:val="Normal"/>
              <w:ind w:left="29"/>
              <w:rPr>
                <w:iCs/>
                <w:lang w:eastAsia="x-none"/>
              </w:rPr>
            </w:pPr>
            <w:r>
              <w:rPr>
                <w:iCs/>
                <w:lang w:eastAsia="x-none"/>
              </w:rPr>
              <w:t>КИП</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color w:val="000000"/>
              </w:rPr>
            </w:pPr>
            <w:r>
              <w:rPr/>
              <w:t>контрольно-измерительный прибор</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МО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механическое оборудование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НТД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нормативно-техническая документация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НН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низкое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Объект / Объект строительства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Загорская ГАЭС-2</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ОПН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t>ограничитель перенапряжений нелинейный</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противоаварийная автоматика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ПАО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публичное акционерное общество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ПМ</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программа и методика заводских испытаний</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ПОР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проект организации работ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ППР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проект производства работ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rFonts w:eastAsia="Calibri"/>
                <w:color w:val="000000"/>
              </w:rPr>
            </w:pPr>
            <w:r>
              <w:rPr>
                <w:rFonts w:eastAsia="Calibri"/>
                <w:color w:val="000000"/>
              </w:rPr>
              <w:t>Продукция</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t>оборудование электротехническое, включая изготовление, поставку на объект, восстановление, шефмонтаж, шефналадку, разработку конструкторской и эксплуатационной документации, поставку ЗИП, техническое консультирование эксплуатационного персонала, участие в приемо-сдаточных испытаниях</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rFonts w:eastAsia="Calibri"/>
                <w:color w:val="000000"/>
              </w:rPr>
            </w:pPr>
            <w:r>
              <w:rPr>
                <w:rFonts w:eastAsia="Calibri"/>
                <w:color w:val="000000"/>
              </w:rPr>
              <w:t>ПТК</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iCs/>
                <w:lang w:eastAsia="x-none"/>
              </w:rPr>
              <w:t>программно-технический комплекс</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rFonts w:eastAsia="Calibri"/>
                <w:color w:val="000000"/>
              </w:rPr>
            </w:pPr>
            <w:r>
              <w:rPr>
                <w:rFonts w:eastAsia="Calibri"/>
                <w:color w:val="000000"/>
              </w:rPr>
              <w:t>ПТУ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пусковое тиристорное устройство</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ПУ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пульт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ПУЭ</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правила устройства электроустановок</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руководящий документ</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РЗА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релейная защита и автоматика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РФ</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Российская Федерация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САУ ГА</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система автоматического управления гидроагрегатом</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t>СИ</w:t>
            </w:r>
          </w:p>
        </w:tc>
        <w:tc>
          <w:tcPr>
            <w:tcW w:w="7997" w:type="dxa"/>
            <w:tcBorders>
              <w:top w:val="single" w:sz="4" w:space="0" w:color="000000"/>
              <w:left w:val="single" w:sz="4" w:space="0" w:color="000000"/>
              <w:bottom w:val="single" w:sz="4" w:space="0" w:color="000000"/>
              <w:right w:val="single" w:sz="4" w:space="0" w:color="000000"/>
            </w:tcBorders>
          </w:tcPr>
          <w:p>
            <w:pPr>
              <w:pStyle w:val="Normal"/>
              <w:ind w:left="29"/>
              <w:rPr/>
            </w:pPr>
            <w:r>
              <w:rPr/>
              <w:t>средства измерения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среднее напряжение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СТО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стандарт организации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ТЗ</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техническое задание</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ТР ТС</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технический регламент Таможенного союза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ТСПД</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технологическая сеть передачи данных</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ТСН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t>трансформатор собственных нужд</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ТТ</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технические требования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ТУ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технические условия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ФЕР</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Федеральные единичные расценки</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rFonts w:eastAsia="Calibri"/>
                <w:color w:val="000000"/>
              </w:rPr>
              <w:t>ФНП</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Федеральные нормы и правила</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ЦПУ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центральный пульт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ШУ</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ind w:left="29"/>
              <w:rPr/>
            </w:pPr>
            <w:r>
              <w:rPr>
                <w:color w:val="000000"/>
              </w:rPr>
              <w:t>шкаф управления</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ЩСН</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rPr>
            </w:pPr>
            <w:r>
              <w:rPr>
                <w:color w:val="000000"/>
              </w:rPr>
              <w:t>щит собственных нужд</w:t>
            </w:r>
          </w:p>
        </w:tc>
      </w:tr>
      <w:tr>
        <w:trPr>
          <w:cantSplit w:val="true"/>
        </w:trPr>
        <w:tc>
          <w:tcPr>
            <w:tcW w:w="1785" w:type="dxa"/>
            <w:tcBorders>
              <w:top w:val="single" w:sz="4" w:space="0" w:color="000000"/>
              <w:left w:val="single" w:sz="4" w:space="0" w:color="000000"/>
              <w:bottom w:val="single" w:sz="4" w:space="0" w:color="000000"/>
              <w:right w:val="single" w:sz="4" w:space="0" w:color="000000"/>
            </w:tcBorders>
            <w:vAlign w:val="center"/>
          </w:tcPr>
          <w:p>
            <w:pPr>
              <w:pStyle w:val="Normal"/>
              <w:ind w:left="29"/>
              <w:rPr>
                <w:color w:val="000000"/>
              </w:rPr>
            </w:pPr>
            <w:r>
              <w:rPr>
                <w:color w:val="000000"/>
              </w:rPr>
              <w:t>ЭТО</w:t>
            </w:r>
          </w:p>
        </w:tc>
        <w:tc>
          <w:tcPr>
            <w:tcW w:w="7997" w:type="dxa"/>
            <w:tcBorders>
              <w:top w:val="single" w:sz="4" w:space="0" w:color="000000"/>
              <w:left w:val="single" w:sz="4" w:space="0" w:color="000000"/>
              <w:bottom w:val="single" w:sz="4" w:space="0" w:color="000000"/>
              <w:right w:val="single" w:sz="4" w:space="0" w:color="000000"/>
            </w:tcBorders>
            <w:vAlign w:val="center"/>
          </w:tcPr>
          <w:p>
            <w:pPr>
              <w:pStyle w:val="Normal"/>
              <w:rPr>
                <w:color w:val="000000"/>
              </w:rPr>
            </w:pPr>
            <w:r>
              <w:rPr>
                <w:color w:val="000000"/>
              </w:rPr>
              <w:t>электротехническое оборудование</w:t>
            </w:r>
          </w:p>
        </w:tc>
      </w:tr>
    </w:tbl>
    <w:p>
      <w:pPr>
        <w:pStyle w:val="411"/>
        <w:numPr>
          <w:ilvl w:val="1"/>
          <w:numId w:val="4"/>
        </w:numPr>
        <w:shd w:val="clear" w:color="auto" w:fill="FFFFFF" w:themeFill="background1"/>
        <w:rPr/>
      </w:pPr>
      <w:bookmarkStart w:id="4" w:name="_Toc46743506"/>
      <w:bookmarkStart w:id="5" w:name="_Toc54970176"/>
      <w:r>
        <w:rPr/>
        <w:t>Наименование закупаемой продукции</w:t>
      </w:r>
      <w:bookmarkEnd w:id="4"/>
      <w:bookmarkEnd w:id="5"/>
    </w:p>
    <w:p>
      <w:pPr>
        <w:pStyle w:val="Normal"/>
        <w:shd w:val="clear" w:color="auto" w:fill="FFFFFF" w:themeFill="background1"/>
        <w:tabs>
          <w:tab w:val="clear" w:pos="720"/>
          <w:tab w:val="left" w:pos="426" w:leader="none"/>
        </w:tabs>
        <w:spacing w:before="120" w:after="120"/>
        <w:jc w:val="both"/>
        <w:rPr>
          <w:rStyle w:val="Style5"/>
          <w:rFonts w:eastAsia="Calibri"/>
          <w:b w:val="false"/>
          <w:bCs w:val="false"/>
          <w:i w:val="false"/>
          <w:i w:val="false"/>
          <w:iCs w:val="false"/>
          <w:sz w:val="24"/>
          <w:szCs w:val="24"/>
          <w:shd w:fill="auto" w:val="clear"/>
        </w:rPr>
      </w:pPr>
      <w:r>
        <w:rPr>
          <w:rStyle w:val="Style5"/>
          <w:rFonts w:eastAsia="Calibri"/>
          <w:b w:val="false"/>
          <w:bCs w:val="false"/>
          <w:i w:val="false"/>
          <w:iCs w:val="false"/>
          <w:sz w:val="24"/>
          <w:szCs w:val="24"/>
          <w:shd w:fill="auto" w:val="clear"/>
        </w:rPr>
        <w:t xml:space="preserve">«ОКПД2 27.12.10 </w:t>
      </w:r>
      <w:r>
        <w:rPr>
          <w:rFonts w:eastAsia="Calibri"/>
          <w:color w:val="000000"/>
          <w:sz w:val="26"/>
          <w:szCs w:val="26"/>
        </w:rPr>
        <w:t>Восстановление и поставка электротехнического оборудования в рамках реализации проекта достройки Загорской ГАЭС-2</w:t>
      </w:r>
      <w:r>
        <w:rPr>
          <w:rStyle w:val="Style5"/>
          <w:rFonts w:eastAsia="Calibri"/>
          <w:b w:val="false"/>
          <w:bCs w:val="false"/>
          <w:i w:val="false"/>
          <w:iCs w:val="false"/>
          <w:sz w:val="24"/>
          <w:szCs w:val="24"/>
          <w:shd w:fill="auto" w:val="clear"/>
        </w:rPr>
        <w:t>»</w:t>
      </w:r>
    </w:p>
    <w:p>
      <w:pPr>
        <w:pStyle w:val="411"/>
        <w:numPr>
          <w:ilvl w:val="1"/>
          <w:numId w:val="4"/>
        </w:numPr>
        <w:shd w:val="clear" w:color="auto" w:fill="FFFFFF" w:themeFill="background1"/>
        <w:rPr/>
      </w:pPr>
      <w:bookmarkStart w:id="6" w:name="_Toc54970177"/>
      <w:bookmarkStart w:id="7" w:name="_Toc46743507"/>
      <w:r>
        <w:rPr/>
        <w:t>Цель использования закупаемой продукции</w:t>
      </w:r>
      <w:bookmarkEnd w:id="7"/>
      <w:r>
        <w:rPr/>
        <w:t xml:space="preserve"> </w:t>
      </w:r>
      <w:bookmarkEnd w:id="6"/>
    </w:p>
    <w:p>
      <w:pPr>
        <w:pStyle w:val="Normal"/>
        <w:shd w:val="clear" w:color="auto" w:fill="FFFFFF" w:themeFill="background1"/>
        <w:tabs>
          <w:tab w:val="clear" w:pos="720"/>
          <w:tab w:val="left" w:pos="426" w:leader="none"/>
        </w:tabs>
        <w:spacing w:before="120" w:after="240"/>
        <w:ind w:firstLine="426"/>
        <w:jc w:val="both"/>
        <w:rPr>
          <w:sz w:val="24"/>
          <w:szCs w:val="24"/>
        </w:rPr>
      </w:pPr>
      <w:r>
        <w:rPr>
          <w:sz w:val="24"/>
          <w:szCs w:val="24"/>
        </w:rPr>
        <w:t xml:space="preserve">Целью поставки электротехнического оборудования, включая ЗИП (далее – ЭТО),  выполнение работ по восстановлению ранее поставленного оборудования, </w:t>
      </w:r>
      <w:r>
        <w:rPr>
          <w:rStyle w:val="Style5"/>
          <w:rFonts w:eastAsia="Calibri"/>
          <w:b w:val="false"/>
          <w:bCs w:val="false"/>
          <w:i w:val="false"/>
          <w:sz w:val="24"/>
          <w:szCs w:val="24"/>
          <w:shd w:fill="auto" w:val="clear"/>
        </w:rPr>
        <w:t xml:space="preserve">оказанию услуг по шефмонтажу и шефналадке, </w:t>
      </w:r>
      <w:r>
        <w:rPr>
          <w:sz w:val="24"/>
          <w:szCs w:val="24"/>
        </w:rPr>
        <w:t xml:space="preserve">является восстановление комплектности и работоспособности электротехнического оборудования до гарантированных заводских параметров в соответствии с заводской конструкторской документацией и требованиями настоящих ТТ, для обеспечения ввода в эксплуатацию. </w:t>
      </w:r>
    </w:p>
    <w:p>
      <w:pPr>
        <w:pStyle w:val="Normal"/>
        <w:shd w:val="clear" w:color="auto" w:fill="FFFFFF" w:themeFill="background1"/>
        <w:tabs>
          <w:tab w:val="clear" w:pos="720"/>
          <w:tab w:val="left" w:pos="426" w:leader="none"/>
        </w:tabs>
        <w:ind w:firstLine="425"/>
        <w:jc w:val="both"/>
        <w:rPr>
          <w:sz w:val="24"/>
          <w:szCs w:val="24"/>
        </w:rPr>
      </w:pPr>
      <w:r>
        <w:rPr>
          <w:sz w:val="24"/>
          <w:szCs w:val="24"/>
        </w:rPr>
        <w:t>Для достижения цели использования закупаемой продукции Исполнитель обязан выполнить следующие задачи:</w:t>
      </w:r>
    </w:p>
    <w:p>
      <w:pPr>
        <w:pStyle w:val="Normal"/>
        <w:shd w:val="clear" w:color="auto" w:fill="FFFFFF" w:themeFill="background1"/>
        <w:tabs>
          <w:tab w:val="clear" w:pos="720"/>
          <w:tab w:val="left" w:pos="426" w:leader="none"/>
        </w:tabs>
        <w:ind w:firstLine="425"/>
        <w:jc w:val="both"/>
        <w:rPr>
          <w:sz w:val="24"/>
          <w:szCs w:val="24"/>
        </w:rPr>
      </w:pPr>
      <w:r>
        <w:rPr>
          <w:sz w:val="24"/>
          <w:szCs w:val="24"/>
        </w:rPr>
        <w:t>- разработка конструкторской и эксплуатационной документации на поставляемое и восстанавливаемое оборудование, согласование документации с Заказчиком;</w:t>
      </w:r>
    </w:p>
    <w:p>
      <w:pPr>
        <w:pStyle w:val="Normal"/>
        <w:shd w:val="clear" w:color="auto" w:fill="FFFFFF" w:themeFill="background1"/>
        <w:tabs>
          <w:tab w:val="clear" w:pos="720"/>
          <w:tab w:val="left" w:pos="426" w:leader="none"/>
        </w:tabs>
        <w:ind w:firstLine="425"/>
        <w:jc w:val="both"/>
        <w:rPr>
          <w:sz w:val="24"/>
          <w:szCs w:val="24"/>
        </w:rPr>
      </w:pPr>
      <w:r>
        <w:rPr>
          <w:sz w:val="24"/>
          <w:szCs w:val="24"/>
        </w:rPr>
        <w:t>- изготовление и комплексная поставка оборудования на площадку строительства Объекта. Комплексная поставка оборудования, материалов и комплектующих, включая ЗИП, должна быть выполнена с транспортировкой до места поставки (складирования) (DDP (delivered duty paid) в терминологии Инкотермс 2020);</w:t>
      </w:r>
    </w:p>
    <w:p>
      <w:pPr>
        <w:pStyle w:val="Normal"/>
        <w:shd w:val="clear" w:color="auto" w:fill="FFFFFF" w:themeFill="background1"/>
        <w:tabs>
          <w:tab w:val="clear" w:pos="720"/>
          <w:tab w:val="left" w:pos="426" w:leader="none"/>
        </w:tabs>
        <w:ind w:firstLine="425"/>
        <w:jc w:val="both"/>
        <w:rPr>
          <w:sz w:val="24"/>
          <w:szCs w:val="24"/>
        </w:rPr>
      </w:pPr>
      <w:r>
        <w:rPr>
          <w:sz w:val="24"/>
          <w:szCs w:val="24"/>
        </w:rPr>
        <w:t>- восстановление оборудования до гарантированных заводских параметров;</w:t>
      </w:r>
    </w:p>
    <w:p>
      <w:pPr>
        <w:pStyle w:val="Normal"/>
        <w:shd w:val="clear" w:color="auto" w:fill="FFFFFF" w:themeFill="background1"/>
        <w:tabs>
          <w:tab w:val="clear" w:pos="720"/>
          <w:tab w:val="left" w:pos="426" w:leader="none"/>
        </w:tabs>
        <w:ind w:firstLine="425"/>
        <w:jc w:val="both"/>
        <w:rPr>
          <w:sz w:val="24"/>
          <w:szCs w:val="24"/>
        </w:rPr>
      </w:pPr>
      <w:r>
        <w:rPr>
          <w:sz w:val="24"/>
          <w:szCs w:val="24"/>
        </w:rPr>
        <w:t>- шефмонтаж и шефналадка для контроля за ходом выполнения монтажных и пусконаладочных работ, общее руководство монтажом и наладкой;</w:t>
      </w:r>
    </w:p>
    <w:p>
      <w:pPr>
        <w:pStyle w:val="Normal"/>
        <w:shd w:val="clear" w:color="auto" w:fill="FFFFFF" w:themeFill="background1"/>
        <w:tabs>
          <w:tab w:val="clear" w:pos="720"/>
          <w:tab w:val="left" w:pos="426" w:leader="none"/>
        </w:tabs>
        <w:ind w:firstLine="425"/>
        <w:jc w:val="both"/>
        <w:rPr>
          <w:sz w:val="24"/>
          <w:szCs w:val="24"/>
        </w:rPr>
      </w:pPr>
      <w:r>
        <w:rPr>
          <w:sz w:val="24"/>
          <w:szCs w:val="24"/>
        </w:rPr>
        <w:t>- разработка индивидуальной программы приёмо-сдаточных испытаний, ее согласование с Заказчиком. Проведение заводских и участие в проведении приёмо-сдаточных испытаний и наладки на месте монтажа;</w:t>
      </w:r>
    </w:p>
    <w:p>
      <w:pPr>
        <w:pStyle w:val="Normal"/>
        <w:shd w:val="clear" w:color="auto" w:fill="FFFFFF" w:themeFill="background1"/>
        <w:tabs>
          <w:tab w:val="clear" w:pos="720"/>
          <w:tab w:val="left" w:pos="426" w:leader="none"/>
        </w:tabs>
        <w:ind w:firstLine="425"/>
        <w:jc w:val="both"/>
        <w:rPr>
          <w:sz w:val="24"/>
          <w:szCs w:val="24"/>
        </w:rPr>
      </w:pPr>
      <w:r>
        <w:rPr>
          <w:sz w:val="24"/>
          <w:szCs w:val="24"/>
        </w:rPr>
        <w:t>- техническое консультирование персонала Заказчика для эксплуатации оборудования в объеме требований настоящих ТТ;</w:t>
      </w:r>
    </w:p>
    <w:p>
      <w:pPr>
        <w:pStyle w:val="Normal"/>
        <w:shd w:val="clear" w:color="auto" w:fill="FFFFFF" w:themeFill="background1"/>
        <w:tabs>
          <w:tab w:val="clear" w:pos="720"/>
          <w:tab w:val="left" w:pos="426" w:leader="none"/>
        </w:tabs>
        <w:ind w:firstLine="425"/>
        <w:jc w:val="both"/>
        <w:rPr>
          <w:sz w:val="24"/>
          <w:szCs w:val="24"/>
        </w:rPr>
      </w:pPr>
      <w:r>
        <w:rPr>
          <w:sz w:val="24"/>
          <w:szCs w:val="24"/>
        </w:rPr>
        <w:t>- гарантийное обслуживание в течение гарантийного срока эксплуатации оборудования.</w:t>
      </w:r>
    </w:p>
    <w:p>
      <w:pPr>
        <w:pStyle w:val="Normal"/>
        <w:shd w:val="clear" w:color="auto" w:fill="FFFFFF" w:themeFill="background1"/>
        <w:tabs>
          <w:tab w:val="clear" w:pos="720"/>
          <w:tab w:val="left" w:pos="426" w:leader="none"/>
        </w:tabs>
        <w:spacing w:before="120" w:after="0"/>
        <w:ind w:firstLine="426"/>
        <w:jc w:val="both"/>
        <w:rPr>
          <w:sz w:val="24"/>
          <w:szCs w:val="24"/>
        </w:rPr>
      </w:pPr>
      <w:r>
        <w:rPr>
          <w:sz w:val="24"/>
          <w:szCs w:val="24"/>
        </w:rPr>
        <w:t>1.3.1. Общие данные об объекте.</w:t>
      </w:r>
    </w:p>
    <w:p>
      <w:pPr>
        <w:pStyle w:val="Style32"/>
        <w:widowControl/>
        <w:numPr>
          <w:ilvl w:val="1"/>
          <w:numId w:val="3"/>
        </w:numPr>
        <w:tabs>
          <w:tab w:val="left" w:pos="720" w:leader="none"/>
          <w:tab w:val="left" w:pos="1260" w:leader="none"/>
        </w:tabs>
        <w:spacing w:before="0" w:after="120"/>
        <w:ind w:firstLine="426"/>
        <w:rPr>
          <w:szCs w:val="24"/>
        </w:rPr>
      </w:pPr>
      <w:r>
        <w:rPr>
          <w:szCs w:val="24"/>
        </w:rPr>
        <w:t>Загорская ГАЭС-2 расположена в Московской области в 100 км от г.Москва и в 20 км от г. Сергиев Посад.</w:t>
      </w:r>
    </w:p>
    <w:p>
      <w:pPr>
        <w:pStyle w:val="Style32"/>
        <w:widowControl/>
        <w:numPr>
          <w:ilvl w:val="1"/>
          <w:numId w:val="3"/>
        </w:numPr>
        <w:tabs>
          <w:tab w:val="left" w:pos="720" w:leader="none"/>
          <w:tab w:val="left" w:pos="1260" w:leader="none"/>
        </w:tabs>
        <w:ind w:firstLine="426"/>
        <w:rPr>
          <w:szCs w:val="24"/>
        </w:rPr>
      </w:pPr>
      <w:r>
        <w:rPr>
          <w:szCs w:val="24"/>
        </w:rPr>
        <w:t>Загорская ГАЭС-2 сооружается в непосредственной близости от находящейся в эксплуатации Загорской ГАЭС; расстояние между осями сооружений ЗаГАЭС и ЗаГАЭС-2 около 900 м к югу от существующей станции. Верховой бассейн ЗаГАЭС-2 примыкает к верховому бассейну ЗаГАЭС и образован ограждающими напорными дамбами. Низовой бассейн, общий с ЗаГАЭС, располагается в долине р.Куньи и образован низовой плотиной по течению реки.</w:t>
      </w:r>
    </w:p>
    <w:p>
      <w:pPr>
        <w:pStyle w:val="Normal"/>
        <w:tabs>
          <w:tab w:val="clear" w:pos="720"/>
          <w:tab w:val="left" w:pos="426" w:leader="none"/>
        </w:tabs>
        <w:jc w:val="both"/>
        <w:rPr>
          <w:sz w:val="24"/>
          <w:szCs w:val="24"/>
        </w:rPr>
      </w:pPr>
      <w:r>
        <w:rPr>
          <w:sz w:val="24"/>
          <w:szCs w:val="24"/>
        </w:rPr>
        <w:tab/>
        <w:t xml:space="preserve">Энергия, вырабатываемая Загорской ГАЭС-2, а также заряд станции будет выполняться через шины объединенного элегазового распределительного устройства КРУЭ500 кВ Загорской ГАЭС и Загорской ГАЭС-2 по существующим линиям 500 кВ на ПС 500 кВ Трубино и на Костромскую ГРЭС, а также по вновь сооружаемым двум ВЛ 500кВ на ОРУ 500 кВ ПС 500 кВ Ярцево. </w:t>
      </w:r>
    </w:p>
    <w:p>
      <w:pPr>
        <w:pStyle w:val="Normal"/>
        <w:tabs>
          <w:tab w:val="clear" w:pos="720"/>
          <w:tab w:val="left" w:pos="426" w:leader="none"/>
        </w:tabs>
        <w:jc w:val="both"/>
        <w:rPr>
          <w:sz w:val="24"/>
          <w:szCs w:val="24"/>
        </w:rPr>
      </w:pPr>
      <w:r>
        <w:rPr>
          <w:sz w:val="24"/>
          <w:szCs w:val="24"/>
        </w:rPr>
        <w:tab/>
        <w:t>Мощность Загорской ГАЭС-2 будет выдаваться двумя объединенными блоками 500кВ. Каждый такой блок состоит из двух одиночных блоков генератор/двигатель – трансформатор, объединенных на стороне 500 кВ (далее блоки Б3 и Б4).</w:t>
      </w:r>
    </w:p>
    <w:p>
      <w:pPr>
        <w:pStyle w:val="Normal"/>
        <w:tabs>
          <w:tab w:val="clear" w:pos="720"/>
          <w:tab w:val="left" w:pos="426" w:leader="none"/>
        </w:tabs>
        <w:jc w:val="both"/>
        <w:rPr>
          <w:sz w:val="24"/>
          <w:szCs w:val="24"/>
        </w:rPr>
      </w:pPr>
      <w:r>
        <w:rPr>
          <w:sz w:val="24"/>
          <w:szCs w:val="24"/>
        </w:rPr>
        <w:tab/>
        <w:t>Загорская ГАЭС присоединена к КРУЭ 500 кВ двумя объединенными электрическими блоками, состоящими каждый из трех одиночных блоков генератор-двигатель/трансформатор (далее блоки Б1 и Б2).</w:t>
      </w:r>
    </w:p>
    <w:p>
      <w:pPr>
        <w:pStyle w:val="Normal"/>
        <w:tabs>
          <w:tab w:val="clear" w:pos="720"/>
          <w:tab w:val="left" w:pos="426" w:leader="none"/>
        </w:tabs>
        <w:jc w:val="both"/>
        <w:rPr>
          <w:sz w:val="24"/>
          <w:szCs w:val="24"/>
        </w:rPr>
      </w:pPr>
      <w:r>
        <w:rPr>
          <w:sz w:val="24"/>
          <w:szCs w:val="24"/>
        </w:rPr>
        <w:tab/>
        <w:t>На Загорской ГАЭС-2 предусматривается к установке четыре обратимых агрегата. Мощность агрегата в генераторном режиме составляет 223,5 МВт, в насосном – 250 МВт. Напряжение генераторов – двигателей принято 15,75 кВ, значения коэффициента мощности cosφ=0,85 для генераторного режима и cosφ=0,95 для режима двигателя.</w:t>
      </w:r>
    </w:p>
    <w:p>
      <w:pPr>
        <w:pStyle w:val="411"/>
        <w:numPr>
          <w:ilvl w:val="1"/>
          <w:numId w:val="4"/>
        </w:numPr>
        <w:shd w:val="clear" w:color="auto" w:fill="FFFFFF" w:themeFill="background1"/>
        <w:rPr/>
      </w:pPr>
      <w:bookmarkStart w:id="8" w:name="_Toc237337335"/>
      <w:r>
        <w:rPr/>
        <w:t>Существующее положение</w:t>
      </w:r>
      <w:bookmarkEnd w:id="8"/>
    </w:p>
    <w:p>
      <w:pPr>
        <w:pStyle w:val="Normal"/>
        <w:tabs>
          <w:tab w:val="clear" w:pos="720"/>
          <w:tab w:val="left" w:pos="426" w:leader="none"/>
        </w:tabs>
        <w:ind w:firstLine="425"/>
        <w:jc w:val="both"/>
        <w:rPr>
          <w:sz w:val="24"/>
          <w:szCs w:val="24"/>
        </w:rPr>
      </w:pPr>
      <w:r>
        <w:rPr>
          <w:sz w:val="24"/>
          <w:szCs w:val="24"/>
        </w:rPr>
        <w:t>По договорам поставки электротехнического оборудования, в период 2010-2013 комплектно партиями, на площадку Заказчика была осуществлена поставка ЭТО для обеспечения ввода Загорской ГАЭС-2 в эксплуатацию.</w:t>
      </w:r>
    </w:p>
    <w:p>
      <w:pPr>
        <w:pStyle w:val="Normal"/>
        <w:tabs>
          <w:tab w:val="clear" w:pos="720"/>
          <w:tab w:val="left" w:pos="426" w:leader="none"/>
        </w:tabs>
        <w:ind w:firstLine="425"/>
        <w:jc w:val="both"/>
        <w:rPr>
          <w:sz w:val="24"/>
          <w:szCs w:val="24"/>
        </w:rPr>
      </w:pPr>
      <w:r>
        <w:rPr>
          <w:sz w:val="24"/>
          <w:szCs w:val="24"/>
        </w:rPr>
        <w:t>В результате инцидента 2013 года произошло подтопление здания ГАЭС, приведшее к длительному нахождению под водой ранее смонтированного оборудования в объеме первого блока и, частично, оборудования для обеспечения пуска второго блока.</w:t>
      </w:r>
    </w:p>
    <w:p>
      <w:pPr>
        <w:pStyle w:val="Normal"/>
        <w:tabs>
          <w:tab w:val="clear" w:pos="720"/>
          <w:tab w:val="left" w:pos="426" w:leader="none"/>
        </w:tabs>
        <w:ind w:firstLine="425"/>
        <w:jc w:val="both"/>
        <w:rPr>
          <w:sz w:val="24"/>
          <w:szCs w:val="24"/>
        </w:rPr>
      </w:pPr>
      <w:r>
        <w:rPr>
          <w:sz w:val="24"/>
          <w:szCs w:val="24"/>
        </w:rPr>
        <w:t>В рамках проведенной в 2025-2026 технической экспертизы ЭТО (далее- обследование ЭТО), часть оборудования была признана непригодной для использования и монтажа и требует замены, часть оборудования признана пригодной с учетом выполнения работ по восстановлению.</w:t>
      </w:r>
    </w:p>
    <w:p>
      <w:pPr>
        <w:pStyle w:val="Normal"/>
        <w:tabs>
          <w:tab w:val="clear" w:pos="720"/>
          <w:tab w:val="left" w:pos="426" w:leader="none"/>
        </w:tabs>
        <w:ind w:firstLine="425"/>
        <w:jc w:val="both"/>
        <w:rPr>
          <w:sz w:val="24"/>
          <w:szCs w:val="24"/>
        </w:rPr>
      </w:pPr>
      <w:r>
        <w:rPr>
          <w:sz w:val="24"/>
          <w:szCs w:val="24"/>
        </w:rPr>
        <w:t xml:space="preserve">Для агрегатов Загорской ГАЭС-2 не предусматривается прямой асинхронный пуск от сети, что позволило значительно упростить конструкцию машины. Система частотного пуска предназначена для поочередного плавного частотного пуска (в насосный режим) и торможения обратимых гидроагрегатов. Таким образом, для Загорской ГАЭС-2 предусматривается плавный частотный пуск в насосный режим четырех обратимых агрегатов от пусковых тиристорных устройств тиристорного преобразователя с регулируемой выходной частотой. </w:t>
      </w:r>
    </w:p>
    <w:p>
      <w:pPr>
        <w:pStyle w:val="Normal"/>
        <w:tabs>
          <w:tab w:val="clear" w:pos="720"/>
          <w:tab w:val="left" w:pos="426" w:leader="none"/>
        </w:tabs>
        <w:ind w:firstLine="425"/>
        <w:jc w:val="both"/>
        <w:rPr>
          <w:sz w:val="24"/>
          <w:szCs w:val="24"/>
        </w:rPr>
      </w:pPr>
      <w:r>
        <w:rPr>
          <w:sz w:val="24"/>
          <w:szCs w:val="24"/>
        </w:rPr>
        <w:t>ПТУ устанавливаются в помещениях на отм. 142,70 здания ГАЭС. Температура воздуха в помещениях может изменяться в пределах +1 ◦С до +50 ◦С. Помещения с принудительной вентиляцией.</w:t>
      </w:r>
    </w:p>
    <w:p>
      <w:pPr>
        <w:pStyle w:val="Heading2"/>
        <w:keepLines/>
        <w:numPr>
          <w:ilvl w:val="0"/>
          <w:numId w:val="0"/>
        </w:numPr>
        <w:ind w:hanging="0" w:left="360"/>
        <w:rPr>
          <w:b w:val="false"/>
          <w:u w:val="single"/>
        </w:rPr>
      </w:pPr>
      <w:bookmarkStart w:id="9" w:name="_Toc239765664"/>
      <w:r>
        <w:rPr>
          <w:b w:val="false"/>
          <w:u w:val="single"/>
        </w:rPr>
        <w:t>Назначение ПТУ</w:t>
      </w:r>
      <w:bookmarkEnd w:id="9"/>
    </w:p>
    <w:p>
      <w:pPr>
        <w:pStyle w:val="Normal"/>
        <w:widowControl/>
        <w:numPr>
          <w:ilvl w:val="0"/>
          <w:numId w:val="14"/>
        </w:numPr>
        <w:shd w:val="clear" w:color="auto" w:fill="FFFFFF"/>
        <w:suppressAutoHyphens w:val="false"/>
        <w:jc w:val="both"/>
        <w:rPr>
          <w:color w:val="0F1115"/>
          <w:sz w:val="24"/>
          <w:szCs w:val="24"/>
        </w:rPr>
      </w:pPr>
      <w:r>
        <w:rPr>
          <w:color w:val="0F1115"/>
          <w:sz w:val="24"/>
          <w:szCs w:val="24"/>
        </w:rPr>
        <w:t>Поочередный плавный частотный пуск обратимых гидроагрегатов ГАЭС-2 в насосный режим, режим синхронного компенсатора с насосным вращением (СКн) и с генераторным вращением (СКг) – до 6 пусков/торможений подряд, цикл 3–5 мин;</w:t>
      </w:r>
    </w:p>
    <w:p>
      <w:pPr>
        <w:pStyle w:val="Normal"/>
        <w:widowControl/>
        <w:numPr>
          <w:ilvl w:val="0"/>
          <w:numId w:val="14"/>
        </w:numPr>
        <w:shd w:val="clear" w:color="auto" w:fill="FFFFFF"/>
        <w:suppressAutoHyphens w:val="false"/>
        <w:jc w:val="both"/>
        <w:rPr>
          <w:color w:val="0F1115"/>
          <w:sz w:val="24"/>
          <w:szCs w:val="24"/>
        </w:rPr>
      </w:pPr>
      <w:r>
        <w:rPr>
          <w:color w:val="0F1115"/>
          <w:sz w:val="24"/>
          <w:szCs w:val="24"/>
        </w:rPr>
        <w:t>Подхват выбегающего гидроагрегата с рекуперативным торможением до полного останова;</w:t>
      </w:r>
    </w:p>
    <w:p>
      <w:pPr>
        <w:pStyle w:val="Normal"/>
        <w:widowControl/>
        <w:numPr>
          <w:ilvl w:val="0"/>
          <w:numId w:val="14"/>
        </w:numPr>
        <w:shd w:val="clear" w:color="auto" w:fill="FFFFFF"/>
        <w:suppressAutoHyphens w:val="false"/>
        <w:jc w:val="both"/>
        <w:rPr>
          <w:color w:val="0F1115"/>
          <w:sz w:val="24"/>
          <w:szCs w:val="24"/>
        </w:rPr>
      </w:pPr>
      <w:r>
        <w:rPr>
          <w:color w:val="0F1115"/>
          <w:sz w:val="24"/>
          <w:szCs w:val="24"/>
        </w:rPr>
        <w:t>Автоматическая точная синхронизация с сетью 15,75 кВ и выдача команды на переключение питания гидроагрегата с ПТУ на сеть;</w:t>
      </w:r>
    </w:p>
    <w:p>
      <w:pPr>
        <w:pStyle w:val="Normal"/>
        <w:widowControl/>
        <w:numPr>
          <w:ilvl w:val="0"/>
          <w:numId w:val="14"/>
        </w:numPr>
        <w:shd w:val="clear" w:color="auto" w:fill="FFFFFF"/>
        <w:suppressAutoHyphens w:val="false"/>
        <w:jc w:val="both"/>
        <w:rPr>
          <w:color w:val="0F1115"/>
          <w:sz w:val="24"/>
          <w:szCs w:val="24"/>
        </w:rPr>
      </w:pPr>
      <w:r>
        <w:rPr>
          <w:color w:val="0F1115"/>
          <w:sz w:val="24"/>
          <w:szCs w:val="24"/>
        </w:rPr>
        <w:t>Ручное регулирование частоты вращения в диапазоне 5–51 Гц в обоих направлениях;</w:t>
      </w:r>
    </w:p>
    <w:p>
      <w:pPr>
        <w:pStyle w:val="Normal"/>
        <w:widowControl/>
        <w:numPr>
          <w:ilvl w:val="0"/>
          <w:numId w:val="14"/>
        </w:numPr>
        <w:shd w:val="clear" w:color="auto" w:fill="FFFFFF"/>
        <w:suppressAutoHyphens w:val="false"/>
        <w:jc w:val="both"/>
        <w:rPr>
          <w:color w:val="0F1115"/>
          <w:sz w:val="24"/>
          <w:szCs w:val="24"/>
        </w:rPr>
      </w:pPr>
      <w:r>
        <w:rPr>
          <w:color w:val="0F1115"/>
          <w:sz w:val="24"/>
          <w:szCs w:val="24"/>
        </w:rPr>
        <w:t>Диагностика состояния силовых элементов и системы управления, формирование сигналов для АСУ ТП, регистрация аварийных событий и параметров.</w:t>
      </w:r>
    </w:p>
    <w:p>
      <w:pPr>
        <w:pStyle w:val="Normal"/>
        <w:widowControl/>
        <w:shd w:val="clear" w:color="auto" w:fill="FFFFFF"/>
        <w:suppressAutoHyphens w:val="false"/>
        <w:ind w:firstLine="360"/>
        <w:jc w:val="both"/>
        <w:rPr>
          <w:color w:val="000000"/>
          <w:sz w:val="23"/>
          <w:szCs w:val="23"/>
        </w:rPr>
      </w:pPr>
      <w:r>
        <w:rPr>
          <w:color w:val="000000"/>
          <w:sz w:val="23"/>
          <w:szCs w:val="23"/>
        </w:rPr>
        <w:t xml:space="preserve">Подключение ПТУ к генераторному токопроводу со стороны блочного трансформатора осуществляется через разделительный масляный трансформатор с ОПН, входной реактор и выключатель. </w:t>
      </w:r>
    </w:p>
    <w:p>
      <w:pPr>
        <w:pStyle w:val="Normal"/>
        <w:widowControl/>
        <w:shd w:val="clear" w:color="auto" w:fill="FFFFFF"/>
        <w:suppressAutoHyphens w:val="false"/>
        <w:ind w:firstLine="360"/>
        <w:jc w:val="both"/>
        <w:rPr>
          <w:color w:val="000000"/>
          <w:sz w:val="23"/>
          <w:szCs w:val="23"/>
        </w:rPr>
      </w:pPr>
      <w:r>
        <w:rPr>
          <w:color w:val="000000"/>
          <w:sz w:val="23"/>
          <w:szCs w:val="23"/>
        </w:rPr>
        <w:t>Подключение ПТУ к пусковым шинам осуществляются через выключатель и выходной реакторы.</w:t>
      </w:r>
    </w:p>
    <w:p>
      <w:pPr>
        <w:pStyle w:val="Normal"/>
        <w:tabs>
          <w:tab w:val="clear" w:pos="720"/>
          <w:tab w:val="left" w:pos="426" w:leader="none"/>
        </w:tabs>
        <w:ind w:firstLine="425"/>
        <w:jc w:val="both"/>
        <w:rPr>
          <w:sz w:val="24"/>
          <w:szCs w:val="24"/>
        </w:rPr>
      </w:pPr>
      <w:r>
        <w:rPr>
          <w:sz w:val="24"/>
          <w:szCs w:val="24"/>
        </w:rPr>
        <w:t>Схема электрических соединений цепей генераторов-двигателей и цепей ПТУ-3 и ПТУ-4 на напряжении 15,75 кВ Загорской ГАЭС-2 приведена в Приложении А.</w:t>
      </w:r>
    </w:p>
    <w:p>
      <w:pPr>
        <w:pStyle w:val="411"/>
        <w:numPr>
          <w:ilvl w:val="1"/>
          <w:numId w:val="4"/>
        </w:numPr>
        <w:shd w:val="clear" w:color="auto" w:fill="FFFFFF" w:themeFill="background1"/>
        <w:rPr/>
      </w:pPr>
      <w:bookmarkStart w:id="10" w:name="_Toc54970180"/>
      <w:bookmarkStart w:id="11" w:name="_Hlk49857604"/>
      <w:bookmarkStart w:id="12" w:name="_Toc46743509"/>
      <w:r>
        <w:rPr/>
        <w:t>Информация, предоставляемая Заказчиком на этапе исполнения Договора</w:t>
      </w:r>
      <w:bookmarkEnd w:id="11"/>
      <w:bookmarkEnd w:id="12"/>
      <w:r>
        <w:rPr/>
        <w:t xml:space="preserve"> </w:t>
      </w:r>
      <w:bookmarkEnd w:id="10"/>
      <w:r>
        <w:rPr>
          <w:bCs w:val="false"/>
          <w:i/>
          <w:iCs/>
        </w:rPr>
        <w:t xml:space="preserve"> </w:t>
      </w:r>
    </w:p>
    <w:p>
      <w:pPr>
        <w:pStyle w:val="411"/>
        <w:numPr>
          <w:ilvl w:val="0"/>
        </w:numPr>
        <w:shd w:val="clear" w:color="auto" w:fill="FFFFFF" w:themeFill="background1"/>
        <w:tabs>
          <w:tab w:val="clear" w:pos="0"/>
        </w:tabs>
        <w:ind w:hanging="0" w:left="0"/>
        <w:jc w:val="both"/>
        <w:rPr/>
      </w:pPr>
      <w:bookmarkStart w:id="13" w:name="__RefHeading___Toc12882_1369258210"/>
      <w:bookmarkStart w:id="14" w:name="_Toc54646401"/>
      <w:bookmarkEnd w:id="13"/>
      <w:bookmarkEnd w:id="14"/>
      <w:r>
        <w:rPr>
          <w:rStyle w:val="Style5"/>
          <w:b/>
          <w:i w:val="false"/>
          <w:shd w:fill="auto" w:val="clear"/>
        </w:rPr>
        <w:tab/>
      </w:r>
      <w:r>
        <w:rPr>
          <w:rStyle w:val="Style5"/>
          <w:b/>
          <w:i w:val="false"/>
          <w:color w:val="000000"/>
          <w:shd w:fill="auto" w:val="clear"/>
        </w:rPr>
        <w:t>Заказчик предоставит Исполнителю имеющуюся в наличии техническую или иную документацию</w:t>
      </w:r>
      <w:r>
        <w:rPr>
          <w:rStyle w:val="Annotationreference"/>
          <w:rFonts w:eastAsia="Times New Roman"/>
          <w:b w:val="false"/>
          <w:bCs w:val="false"/>
          <w:sz w:val="24"/>
          <w:szCs w:val="24"/>
        </w:rPr>
        <w:t xml:space="preserve">, в том числе проектную документацию, </w:t>
      </w:r>
      <w:r>
        <w:rPr>
          <w:rStyle w:val="Style5"/>
          <w:b/>
          <w:i w:val="false"/>
          <w:color w:val="000000"/>
          <w:shd w:fill="auto" w:val="clear"/>
        </w:rPr>
        <w:t>необходимую Исполнителю для выполнения обязательств по Договору, включая, при необходимости, отчеты о техническом обследовании электротехнического оборудования Загорской ГАЭС-2.</w:t>
      </w:r>
      <w:bookmarkStart w:id="15" w:name="_Hlk48209761"/>
    </w:p>
    <w:p>
      <w:pPr>
        <w:pStyle w:val="411"/>
        <w:numPr>
          <w:ilvl w:val="1"/>
          <w:numId w:val="4"/>
        </w:numPr>
        <w:shd w:val="clear" w:color="auto" w:fill="FFFFFF" w:themeFill="background1"/>
        <w:rPr/>
      </w:pPr>
      <w:bookmarkStart w:id="16" w:name="_Toc54970181"/>
      <w:bookmarkStart w:id="17" w:name="_Toc46743510"/>
      <w:bookmarkStart w:id="18" w:name="_Toc50125126"/>
      <w:bookmarkEnd w:id="15"/>
      <w:bookmarkEnd w:id="17"/>
      <w:bookmarkEnd w:id="18"/>
      <w:r>
        <w:rPr/>
        <w:t>Иные требования и сведения общего характера</w:t>
      </w:r>
      <w:bookmarkEnd w:id="16"/>
    </w:p>
    <w:p>
      <w:pPr>
        <w:pStyle w:val="Normal"/>
        <w:shd w:val="clear" w:color="auto" w:fill="FFFFFF" w:themeFill="background1"/>
        <w:ind w:firstLine="737"/>
        <w:jc w:val="both"/>
        <w:rPr>
          <w:sz w:val="24"/>
          <w:szCs w:val="24"/>
        </w:rPr>
      </w:pPr>
      <w:r>
        <w:rPr>
          <w:sz w:val="24"/>
          <w:szCs w:val="24"/>
        </w:rPr>
        <w:t>Комплектность изготовленной и поставленной продукции должна соответствовать требованиям, приведенным в настоящем ТТ, а также требованиям ГОСТ и СТО РусГидро.</w:t>
      </w:r>
    </w:p>
    <w:p>
      <w:pPr>
        <w:pStyle w:val="Normal"/>
        <w:shd w:val="clear" w:color="auto" w:fill="FFFFFF" w:themeFill="background1"/>
        <w:ind w:firstLine="737"/>
        <w:jc w:val="both"/>
        <w:rPr/>
      </w:pPr>
      <w:r>
        <w:rPr>
          <w:sz w:val="24"/>
          <w:szCs w:val="24"/>
        </w:rPr>
        <w:t>При выполнении Работ, оказании Услуг на Загорской ГАЭС-2, должны выполняться требования правил охраны труда, правил пожарной безопасности и правил технической эксплуатации электрических станций и сетей.</w:t>
      </w:r>
    </w:p>
    <w:p>
      <w:pPr>
        <w:pStyle w:val="Normal"/>
        <w:shd w:val="clear" w:color="auto" w:fill="FFFFFF" w:themeFill="background1"/>
        <w:ind w:firstLine="737"/>
        <w:jc w:val="both"/>
        <w:rPr/>
      </w:pPr>
      <w:r>
        <w:rPr>
          <w:sz w:val="24"/>
          <w:szCs w:val="24"/>
        </w:rPr>
        <w:t>Исполнитель обязан соблюдать требования природоохранного законодательства при оказании услуг на территории Заказчика.</w:t>
      </w:r>
    </w:p>
    <w:p>
      <w:pPr>
        <w:pStyle w:val="Normal"/>
        <w:shd w:val="clear" w:color="auto" w:fill="FFFFFF" w:themeFill="background1"/>
        <w:ind w:firstLine="737"/>
        <w:jc w:val="both"/>
        <w:rPr/>
      </w:pPr>
      <w:r>
        <w:rPr>
          <w:rStyle w:val="Style5"/>
          <w:b w:val="false"/>
          <w:i w:val="false"/>
          <w:sz w:val="24"/>
          <w:szCs w:val="24"/>
          <w:shd w:fill="auto" w:val="clear"/>
        </w:rPr>
        <w:t>Необходимые разрешения и документы для оказания услуг должны быть оформлены Исполнителем заблаговременно до начала оказания Услуг. Для разрешения допуска на предприятие и оформления пропусков Исполнитель должен предоставить Заказчику список специалистов, которые будут задействованы в оказании Услуг с указанием Ф.И.О.; занимаемой должности или квалификации</w:t>
      </w:r>
      <w:r>
        <w:rPr>
          <w:rStyle w:val="Style5"/>
          <w:b w:val="false"/>
          <w:sz w:val="24"/>
          <w:szCs w:val="24"/>
          <w:shd w:fill="auto" w:val="clear"/>
        </w:rPr>
        <w:t>.</w:t>
      </w:r>
    </w:p>
    <w:p>
      <w:pPr>
        <w:pStyle w:val="1111"/>
        <w:numPr>
          <w:ilvl w:val="0"/>
          <w:numId w:val="0"/>
        </w:numPr>
        <w:shd w:val="clear" w:color="auto" w:fill="FFFFFF" w:themeFill="background1"/>
        <w:ind w:hanging="0" w:left="720"/>
        <w:jc w:val="center"/>
        <w:rPr>
          <w:sz w:val="24"/>
          <w:szCs w:val="24"/>
        </w:rPr>
      </w:pPr>
      <w:r>
        <w:rPr>
          <w:sz w:val="24"/>
          <w:szCs w:val="24"/>
        </w:rPr>
        <w:t xml:space="preserve">2. </w:t>
      </w:r>
      <w:bookmarkStart w:id="19" w:name="_Toc51339693"/>
      <w:bookmarkStart w:id="20" w:name="_Toc54970182"/>
      <w:r>
        <w:rPr>
          <w:sz w:val="24"/>
          <w:szCs w:val="24"/>
        </w:rPr>
        <w:t xml:space="preserve">Требования к </w:t>
      </w:r>
      <w:bookmarkEnd w:id="19"/>
      <w:bookmarkEnd w:id="20"/>
      <w:r>
        <w:rPr>
          <w:sz w:val="24"/>
          <w:szCs w:val="24"/>
        </w:rPr>
        <w:t>продукции</w:t>
      </w:r>
    </w:p>
    <w:p>
      <w:pPr>
        <w:pStyle w:val="ListParagraph"/>
        <w:keepNext w:val="true"/>
        <w:numPr>
          <w:ilvl w:val="0"/>
          <w:numId w:val="4"/>
        </w:numPr>
        <w:shd w:val="clear" w:color="auto" w:fill="FFFFFF" w:themeFill="background1"/>
        <w:tabs>
          <w:tab w:val="clear" w:pos="720"/>
          <w:tab w:val="left" w:pos="0" w:leader="none"/>
        </w:tabs>
        <w:spacing w:before="120" w:after="60"/>
        <w:contextualSpacing w:val="false"/>
        <w:outlineLvl w:val="3"/>
        <w:rPr>
          <w:rFonts w:eastAsia="Calibri"/>
          <w:b/>
          <w:bCs/>
          <w:vanish/>
          <w:sz w:val="24"/>
          <w:szCs w:val="24"/>
        </w:rPr>
      </w:pPr>
      <w:r>
        <w:rPr>
          <w:rFonts w:eastAsia="Calibri"/>
          <w:b/>
          <w:bCs/>
          <w:vanish/>
          <w:sz w:val="24"/>
          <w:szCs w:val="24"/>
        </w:rPr>
      </w:r>
    </w:p>
    <w:p>
      <w:pPr>
        <w:pStyle w:val="411"/>
        <w:numPr>
          <w:ilvl w:val="0"/>
          <w:numId w:val="0"/>
        </w:numPr>
        <w:shd w:val="clear" w:color="auto" w:fill="FFFFFF" w:themeFill="background1"/>
        <w:ind w:hanging="0" w:left="792"/>
        <w:rPr/>
      </w:pPr>
      <w:r>
        <w:rPr/>
        <w:t>2.1. Требования к закупаемому оборудованию</w:t>
      </w:r>
    </w:p>
    <w:p>
      <w:pPr>
        <w:pStyle w:val="Normal"/>
        <w:tabs>
          <w:tab w:val="clear" w:pos="720"/>
          <w:tab w:val="left" w:pos="426" w:leader="none"/>
        </w:tabs>
        <w:ind w:firstLine="425"/>
        <w:jc w:val="both"/>
        <w:rPr>
          <w:sz w:val="24"/>
          <w:szCs w:val="24"/>
        </w:rPr>
      </w:pPr>
      <w:r>
        <w:rPr>
          <w:sz w:val="24"/>
          <w:szCs w:val="24"/>
        </w:rPr>
        <w:t>Оборудование системы пуска агрегата в насосный режим должно быть новым, ранее не использованными и соответствовать техническим требованиям Заказчика. Под новым следует понимать оборудование, которое не было в употреблении, не проходило ремонт, в том числе восстановление, замену составных частей, восстановление потребительских свойств.</w:t>
      </w:r>
    </w:p>
    <w:p>
      <w:pPr>
        <w:pStyle w:val="Normal"/>
        <w:tabs>
          <w:tab w:val="clear" w:pos="720"/>
          <w:tab w:val="left" w:pos="426" w:leader="none"/>
        </w:tabs>
        <w:ind w:firstLine="425"/>
        <w:jc w:val="both"/>
        <w:rPr>
          <w:sz w:val="24"/>
          <w:szCs w:val="24"/>
        </w:rPr>
      </w:pPr>
      <w:r>
        <w:rPr>
          <w:sz w:val="24"/>
          <w:szCs w:val="24"/>
        </w:rPr>
        <w:t>Закупаемая продукция должна быть укомплектована комплектом ЗИП в объеме, рекомендованном заводом Изготовителем и необходимом для обеспечения безаварийной эксплуатации в течение гарантийного срока и на пять лет послегарантийной эксплуатации. В составе передаваемой эксплуатационной документации необходимо привести спецификацию комплектов ЗИП.</w:t>
      </w:r>
    </w:p>
    <w:p>
      <w:pPr>
        <w:pStyle w:val="Normal"/>
        <w:tabs>
          <w:tab w:val="clear" w:pos="720"/>
          <w:tab w:val="left" w:pos="426" w:leader="none"/>
        </w:tabs>
        <w:ind w:firstLine="425"/>
        <w:jc w:val="both"/>
        <w:rPr>
          <w:sz w:val="24"/>
          <w:szCs w:val="24"/>
        </w:rPr>
      </w:pPr>
      <w:r>
        <w:rPr>
          <w:sz w:val="24"/>
          <w:szCs w:val="24"/>
        </w:rPr>
        <w:t>Шефперсонал должен быть обеспечен Исполнителем по письменной заявке Заказчика на основании графика проведения монтажных и пусконаладочных работ. Исполнитель обязан обеспечить работу шефперсонала в привязке к графику выполнения монтажных и пуско-наладочных работ, т.е. при необходимости продленного рабочего дня, в выходные и праздничные дни.</w:t>
      </w:r>
    </w:p>
    <w:p>
      <w:pPr>
        <w:pStyle w:val="Normal"/>
        <w:tabs>
          <w:tab w:val="clear" w:pos="720"/>
          <w:tab w:val="left" w:pos="426" w:leader="none"/>
        </w:tabs>
        <w:ind w:firstLine="425"/>
        <w:jc w:val="both"/>
        <w:rPr>
          <w:sz w:val="24"/>
          <w:szCs w:val="24"/>
        </w:rPr>
      </w:pPr>
      <w:r>
        <w:rPr>
          <w:sz w:val="24"/>
          <w:szCs w:val="24"/>
        </w:rPr>
        <w:t>В период проведения шеф-монтажных и шеф-наладочных работ подготовить к работе с поставляемым Оборудованием эксплуатационный персонал на Объекте Заказчика, согласно условиям настоящих ТТ и Договора.</w:t>
      </w:r>
    </w:p>
    <w:p>
      <w:pPr>
        <w:pStyle w:val="Normal"/>
        <w:tabs>
          <w:tab w:val="clear" w:pos="720"/>
          <w:tab w:val="left" w:pos="426" w:leader="none"/>
        </w:tabs>
        <w:ind w:firstLine="425"/>
        <w:jc w:val="both"/>
        <w:rPr>
          <w:sz w:val="24"/>
          <w:szCs w:val="24"/>
        </w:rPr>
      </w:pPr>
      <w:r>
        <w:rPr>
          <w:sz w:val="24"/>
          <w:szCs w:val="24"/>
        </w:rPr>
        <w:t>В поставку оборудования системы пуска агрегата в насосный режим должны входить все вспомогательные устройства, приборы и аппаратура, необходимые для его надежной и безотказной работы.</w:t>
      </w:r>
    </w:p>
    <w:p>
      <w:pPr>
        <w:pStyle w:val="-4"/>
        <w:shd w:val="clear" w:color="auto" w:fill="FFFFFF" w:themeFill="background1"/>
        <w:tabs>
          <w:tab w:val="clear" w:pos="9354"/>
          <w:tab w:val="left" w:pos="0" w:leader="none"/>
          <w:tab w:val="left" w:pos="1418" w:leader="none"/>
        </w:tabs>
        <w:ind w:hanging="0" w:left="0"/>
        <w:jc w:val="left"/>
        <w:rPr>
          <w:sz w:val="24"/>
          <w:szCs w:val="24"/>
        </w:rPr>
      </w:pPr>
      <w:r>
        <w:rPr>
          <w:sz w:val="24"/>
          <w:szCs w:val="24"/>
        </w:rPr>
        <w:t>Все работы по проектированию, изготовлению, поставке, заводские испытания оборудования должны проводиться в соответствии с требованиями данной документации.</w:t>
      </w:r>
    </w:p>
    <w:p>
      <w:pPr>
        <w:pStyle w:val="BodyText2"/>
        <w:spacing w:lineRule="auto" w:line="240" w:before="0" w:after="0"/>
        <w:ind w:firstLine="567"/>
        <w:jc w:val="both"/>
        <w:rPr/>
      </w:pPr>
      <w:r>
        <w:rPr/>
        <w:t>Основной цвет оборудования ПТУ светло-серый (RAL 7035), цвет трансформатора RAL 9002. Наружные поверхности индивидуальных шкафов управления и сигнализации должны иметь пофазную маркировку (фаза «А», фаза «В», фаза «С») и должны быть нанесены полосы, окрашенные в разные цвета:</w:t>
      </w:r>
    </w:p>
    <w:p>
      <w:pPr>
        <w:pStyle w:val="Style32"/>
        <w:ind w:firstLine="567"/>
        <w:rPr>
          <w:szCs w:val="24"/>
        </w:rPr>
      </w:pPr>
      <w:r>
        <w:rPr>
          <w:szCs w:val="24"/>
        </w:rPr>
        <w:t>фаза «А»     RAL  1016 (желтый);</w:t>
      </w:r>
    </w:p>
    <w:p>
      <w:pPr>
        <w:pStyle w:val="Style32"/>
        <w:ind w:firstLine="567"/>
        <w:rPr>
          <w:szCs w:val="24"/>
        </w:rPr>
      </w:pPr>
      <w:r>
        <w:rPr>
          <w:szCs w:val="24"/>
        </w:rPr>
        <w:t xml:space="preserve">фаза «В»     RAL  6032 (зеленый);  </w:t>
      </w:r>
    </w:p>
    <w:p>
      <w:pPr>
        <w:pStyle w:val="-4"/>
        <w:shd w:val="clear" w:color="auto" w:fill="FFFFFF" w:themeFill="background1"/>
        <w:tabs>
          <w:tab w:val="clear" w:pos="9354"/>
          <w:tab w:val="left" w:pos="0" w:leader="none"/>
          <w:tab w:val="left" w:pos="1418" w:leader="none"/>
        </w:tabs>
        <w:ind w:hanging="0" w:left="0"/>
        <w:rPr>
          <w:sz w:val="24"/>
          <w:szCs w:val="24"/>
        </w:rPr>
      </w:pPr>
      <w:r>
        <w:rPr>
          <w:sz w:val="24"/>
          <w:szCs w:val="24"/>
        </w:rPr>
        <w:t xml:space="preserve">          </w:t>
      </w:r>
      <w:r>
        <w:rPr>
          <w:sz w:val="24"/>
          <w:szCs w:val="24"/>
        </w:rPr>
        <w:t>фаза «С»     RAL  3020 (красный).</w:t>
      </w:r>
    </w:p>
    <w:p>
      <w:pPr>
        <w:pStyle w:val="411"/>
        <w:numPr>
          <w:ilvl w:val="0"/>
          <w:numId w:val="0"/>
        </w:numPr>
        <w:shd w:val="clear" w:color="auto" w:fill="FFFFFF" w:themeFill="background1"/>
        <w:ind w:hanging="0" w:left="792"/>
        <w:rPr/>
      </w:pPr>
      <w:r>
        <w:rPr/>
        <w:t>2.2. Требования к восстанавливаемому оборудованию</w:t>
      </w:r>
    </w:p>
    <w:p>
      <w:pPr>
        <w:pStyle w:val="Normal"/>
        <w:tabs>
          <w:tab w:val="clear" w:pos="720"/>
          <w:tab w:val="left" w:pos="426" w:leader="none"/>
        </w:tabs>
        <w:spacing w:before="120" w:after="120"/>
        <w:jc w:val="both"/>
        <w:rPr>
          <w:sz w:val="24"/>
          <w:szCs w:val="24"/>
        </w:rPr>
      </w:pPr>
      <w:r>
        <w:rPr>
          <w:sz w:val="24"/>
          <w:szCs w:val="24"/>
        </w:rPr>
        <w:tab/>
        <w:t xml:space="preserve">Исполнитель должен обеспечить восстановление оборудования Заказчика, </w:t>
      </w:r>
      <w:r>
        <w:rPr>
          <w:color w:val="000000"/>
          <w:sz w:val="24"/>
          <w:szCs w:val="24"/>
        </w:rPr>
        <w:t>в соответствии с выводами проведенного обследования (на основании отчета по обследованию электротехнического оборудования Загорской ГАЭС-2),</w:t>
      </w:r>
      <w:r>
        <w:rPr>
          <w:sz w:val="24"/>
          <w:szCs w:val="24"/>
        </w:rPr>
        <w:t xml:space="preserve"> до гарантированных заводских параметров и включить в объем поставки всё, что необходимо для восстановления работоспособности и обеспечения последующей нормальной эксплуатации оборудования, даже если это специально не оговорено в данных технических требованиях. </w:t>
      </w:r>
    </w:p>
    <w:p>
      <w:pPr>
        <w:pStyle w:val="Normal"/>
        <w:widowControl/>
        <w:shd w:val="clear" w:color="auto" w:fill="FFFFFF"/>
        <w:suppressAutoHyphens w:val="false"/>
        <w:ind w:firstLine="360"/>
        <w:jc w:val="both"/>
        <w:rPr>
          <w:color w:val="0F1115"/>
          <w:sz w:val="24"/>
          <w:szCs w:val="24"/>
        </w:rPr>
      </w:pPr>
      <w:r>
        <w:rPr>
          <w:color w:val="0F1115"/>
          <w:sz w:val="24"/>
          <w:szCs w:val="24"/>
        </w:rPr>
        <w:t xml:space="preserve">Восстановлению подлежит полный комплект оборудования, заменяющий все неисправные и подлежащие замене шкафы и узлы ПТУ, согласно отчёту №12 «Обследования оборудования для Загорской ГАЭС-2». В поставку восстанавливаемого ПТУ </w:t>
      </w:r>
      <w:r>
        <w:rPr>
          <w:bCs/>
          <w:color w:val="0F1115"/>
          <w:sz w:val="24"/>
          <w:szCs w:val="24"/>
        </w:rPr>
        <w:t>не входят</w:t>
      </w:r>
      <w:r>
        <w:rPr>
          <w:color w:val="0F1115"/>
          <w:sz w:val="24"/>
          <w:szCs w:val="24"/>
        </w:rPr>
        <w:t xml:space="preserve"> токоограничивающие реакторы РТОС и сглаживающие реакторы СРОС, так как они признаны годными к дальнейшей эксплуатации. Всё поставляемое оборудование должно быть полностью совместимо с этими реакторами по электрическим параметрам (индуктивность, сопротивление, токи, напряжения), по габаритам и присоединительным размерам. Шкафы ПТУ, подлежащего восстановлению, должны быть модернизированы и иметь те же функции и характеристики, что и для поставляемого нового ПТУ, с учётом монтажа в существующие габаритные места, занятые ранее оборудованием ПТУ. Конструктивные решения, схемотехника, программное обеспечение и алгоритмы управления восстанавливаемого ПТУ должны быть идентичны оборудованию поставляемого нового ПТУ.</w:t>
      </w:r>
    </w:p>
    <w:p>
      <w:pPr>
        <w:pStyle w:val="411"/>
        <w:numPr>
          <w:ilvl w:val="0"/>
          <w:numId w:val="0"/>
        </w:numPr>
        <w:shd w:val="clear" w:color="auto" w:fill="FFFFFF" w:themeFill="background1"/>
        <w:ind w:hanging="0" w:left="792"/>
        <w:rPr/>
      </w:pPr>
      <w:r>
        <w:rPr/>
        <w:t xml:space="preserve">2.3. </w:t>
      </w:r>
      <w:bookmarkStart w:id="21" w:name="_Toc54970183"/>
      <w:r>
        <w:rPr/>
        <w:t>Требования по объемам и срокам</w:t>
      </w:r>
      <w:bookmarkEnd w:id="21"/>
      <w:r>
        <w:rPr/>
        <w:t xml:space="preserve"> </w:t>
      </w:r>
    </w:p>
    <w:p>
      <w:pPr>
        <w:pStyle w:val="411"/>
        <w:numPr>
          <w:ilvl w:val="0"/>
          <w:numId w:val="0"/>
        </w:numPr>
        <w:shd w:val="clear" w:color="auto" w:fill="FFFFFF" w:themeFill="background1"/>
        <w:ind w:hanging="0" w:left="1224"/>
        <w:rPr/>
      </w:pPr>
      <w:r>
        <w:rPr/>
        <w:t xml:space="preserve">2.3.1. </w:t>
      </w:r>
      <w:bookmarkStart w:id="22" w:name="_Toc237337342"/>
      <w:r>
        <w:rPr/>
        <w:t>Перечень и объем закупаемой продукции</w:t>
      </w:r>
      <w:bookmarkEnd w:id="22"/>
    </w:p>
    <w:p>
      <w:pPr>
        <w:pStyle w:val="Style37"/>
        <w:ind w:left="0"/>
        <w:jc w:val="left"/>
        <w:rPr>
          <w:b/>
        </w:rPr>
      </w:pPr>
      <w:bookmarkStart w:id="23" w:name="_Toc237337349"/>
      <w:r>
        <w:rPr>
          <w:b/>
        </w:rPr>
        <w:t xml:space="preserve">Таблица 2.1 Перечень и объем </w:t>
      </w:r>
      <w:bookmarkEnd w:id="23"/>
      <w:r>
        <w:rPr>
          <w:b/>
        </w:rPr>
        <w:t>поставляемого оборудования</w:t>
      </w:r>
    </w:p>
    <w:tbl>
      <w:tblPr>
        <w:tblW w:w="10065" w:type="dxa"/>
        <w:jc w:val="left"/>
        <w:tblInd w:w="-289" w:type="dxa"/>
        <w:tblLayout w:type="fixed"/>
        <w:tblCellMar>
          <w:top w:w="0" w:type="dxa"/>
          <w:left w:w="108" w:type="dxa"/>
          <w:bottom w:w="0" w:type="dxa"/>
          <w:right w:w="108" w:type="dxa"/>
        </w:tblCellMar>
        <w:tblLook w:val="0000" w:noHBand="0" w:noVBand="0" w:firstColumn="0" w:lastRow="0" w:lastColumn="0" w:firstRow="0"/>
      </w:tblPr>
      <w:tblGrid>
        <w:gridCol w:w="849"/>
        <w:gridCol w:w="4648"/>
        <w:gridCol w:w="1134"/>
        <w:gridCol w:w="854"/>
        <w:gridCol w:w="2580"/>
      </w:tblGrid>
      <w:tr>
        <w:trPr>
          <w:tblHeader w:val="true"/>
        </w:trPr>
        <w:tc>
          <w:tcPr>
            <w:tcW w:w="849"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w:t>
            </w:r>
          </w:p>
          <w:p>
            <w:pPr>
              <w:pStyle w:val="Normal"/>
              <w:keepNext w:val="true"/>
              <w:jc w:val="center"/>
              <w:rPr>
                <w:sz w:val="24"/>
                <w:szCs w:val="24"/>
              </w:rPr>
            </w:pPr>
            <w:r>
              <w:rPr>
                <w:sz w:val="24"/>
                <w:szCs w:val="24"/>
              </w:rPr>
              <w:t>п/п</w:t>
            </w:r>
          </w:p>
        </w:tc>
        <w:tc>
          <w:tcPr>
            <w:tcW w:w="4648"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Наименование продукции</w:t>
            </w:r>
          </w:p>
        </w:tc>
        <w:tc>
          <w:tcPr>
            <w:tcW w:w="1134"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Единица измерения</w:t>
            </w:r>
          </w:p>
        </w:tc>
        <w:tc>
          <w:tcPr>
            <w:tcW w:w="854"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Количество</w:t>
            </w:r>
          </w:p>
        </w:tc>
        <w:tc>
          <w:tcPr>
            <w:tcW w:w="2580"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Примечание</w:t>
            </w:r>
          </w:p>
        </w:tc>
      </w:tr>
      <w:tr>
        <w:trPr>
          <w:tblHeader w:val="true"/>
        </w:trPr>
        <w:tc>
          <w:tcPr>
            <w:tcW w:w="849"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1</w:t>
            </w:r>
          </w:p>
        </w:tc>
        <w:tc>
          <w:tcPr>
            <w:tcW w:w="4648"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2</w:t>
            </w:r>
          </w:p>
        </w:tc>
        <w:tc>
          <w:tcPr>
            <w:tcW w:w="1134"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3</w:t>
            </w:r>
          </w:p>
        </w:tc>
        <w:tc>
          <w:tcPr>
            <w:tcW w:w="854"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4</w:t>
            </w:r>
          </w:p>
        </w:tc>
        <w:tc>
          <w:tcPr>
            <w:tcW w:w="2580" w:type="dxa"/>
            <w:tcBorders>
              <w:top w:val="single" w:sz="4" w:space="0" w:color="00000A"/>
              <w:left w:val="single" w:sz="4" w:space="0" w:color="00000A"/>
              <w:bottom w:val="single" w:sz="4" w:space="0" w:color="000000"/>
              <w:right w:val="single" w:sz="4" w:space="0" w:color="00000A"/>
            </w:tcBorders>
          </w:tcPr>
          <w:p>
            <w:pPr>
              <w:pStyle w:val="Normal"/>
              <w:jc w:val="center"/>
              <w:rPr>
                <w:b/>
                <w:sz w:val="24"/>
                <w:szCs w:val="24"/>
              </w:rPr>
            </w:pPr>
            <w:r>
              <w:rPr>
                <w:b/>
                <w:sz w:val="24"/>
                <w:szCs w:val="24"/>
              </w:rPr>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5"/>
              </w:numPr>
              <w:spacing w:before="0" w:after="0"/>
              <w:contextualSpacing/>
              <w:jc w:val="both"/>
              <w:rPr>
                <w:rFonts w:eastAsia="Calibri"/>
                <w:sz w:val="24"/>
                <w:szCs w:val="24"/>
              </w:rPr>
            </w:pPr>
            <w:r>
              <w:rPr>
                <w:rFonts w:eastAsia="Calibri"/>
                <w:sz w:val="24"/>
                <w:szCs w:val="24"/>
              </w:rPr>
            </w:r>
          </w:p>
        </w:tc>
        <w:tc>
          <w:tcPr>
            <w:tcW w:w="4648" w:type="dxa"/>
            <w:tcBorders>
              <w:top w:val="single" w:sz="4" w:space="0" w:color="000000"/>
              <w:left w:val="single" w:sz="4" w:space="0" w:color="000000"/>
              <w:bottom w:val="single" w:sz="4" w:space="0" w:color="000000"/>
              <w:right w:val="single" w:sz="4" w:space="0" w:color="000000"/>
            </w:tcBorders>
          </w:tcPr>
          <w:p>
            <w:pPr>
              <w:pStyle w:val="Normal"/>
              <w:rPr>
                <w:rFonts w:eastAsia="Calibri"/>
                <w:sz w:val="24"/>
                <w:szCs w:val="24"/>
              </w:rPr>
            </w:pPr>
            <w:r>
              <w:rPr>
                <w:rFonts w:eastAsia="Calibri"/>
                <w:sz w:val="24"/>
                <w:szCs w:val="24"/>
              </w:rPr>
              <w:t>Высоковольтный преобразователь частоты номинальным напряжением 15,75 кВ, включая шкафы с силовыми тиристорными блоками выпрямителя и инвертора, шкафы ввода-вывода питания, шкафы с резисторами и конденсаторами для демпфирования коммутационных перенапряжений относительно земли, шкафы с устройством управления, автоматики, защиты и отображения информации, устройством связи с объектом, обеспечивающим обмен информацией и передачу сигналов управления, защит, сигнализации АСУ ТП ПТУ с АСУ ТП Загорской ГАЭС-2</w:t>
            </w:r>
          </w:p>
        </w:tc>
        <w:tc>
          <w:tcPr>
            <w:tcW w:w="1134" w:type="dxa"/>
            <w:tcBorders>
              <w:top w:val="single" w:sz="4" w:space="0" w:color="000000"/>
              <w:left w:val="single" w:sz="4" w:space="0" w:color="000000"/>
              <w:bottom w:val="single" w:sz="4" w:space="0" w:color="000000"/>
              <w:right w:val="single" w:sz="4" w:space="0" w:color="000000"/>
            </w:tcBorders>
          </w:tcPr>
          <w:p>
            <w:pPr>
              <w:pStyle w:val="Normal"/>
              <w:keepNext w:val="true"/>
              <w:jc w:val="center"/>
              <w:rPr>
                <w:rFonts w:eastAsia="Calibri"/>
                <w:sz w:val="24"/>
                <w:szCs w:val="24"/>
              </w:rPr>
            </w:pPr>
            <w:r>
              <w:rPr>
                <w:rFonts w:eastAsia="Calibri"/>
                <w:sz w:val="24"/>
                <w:szCs w:val="24"/>
              </w:rPr>
              <w:t>компл.</w:t>
            </w:r>
          </w:p>
        </w:tc>
        <w:tc>
          <w:tcPr>
            <w:tcW w:w="854" w:type="dxa"/>
            <w:tcBorders>
              <w:top w:val="single" w:sz="4" w:space="0" w:color="000000"/>
              <w:left w:val="single" w:sz="4" w:space="0" w:color="000000"/>
              <w:bottom w:val="single" w:sz="4" w:space="0" w:color="000000"/>
              <w:right w:val="single" w:sz="4" w:space="0" w:color="000000"/>
            </w:tcBorders>
          </w:tcPr>
          <w:p>
            <w:pPr>
              <w:pStyle w:val="Normal"/>
              <w:keepNext w:val="true"/>
              <w:jc w:val="center"/>
              <w:rPr>
                <w:rFonts w:eastAsia="Calibri"/>
                <w:sz w:val="24"/>
                <w:szCs w:val="24"/>
              </w:rPr>
            </w:pPr>
            <w:r>
              <w:rPr>
                <w:rFonts w:eastAsia="Calibri"/>
                <w:sz w:val="24"/>
                <w:szCs w:val="24"/>
              </w:rPr>
              <w:t>1</w:t>
            </w:r>
          </w:p>
        </w:tc>
        <w:tc>
          <w:tcPr>
            <w:tcW w:w="2580" w:type="dxa"/>
            <w:tcBorders>
              <w:top w:val="single" w:sz="4" w:space="0" w:color="00000A"/>
              <w:left w:val="single" w:sz="4" w:space="0" w:color="00000A"/>
              <w:bottom w:val="single" w:sz="4" w:space="0" w:color="00000A"/>
              <w:right w:val="single" w:sz="4" w:space="0" w:color="00000A"/>
            </w:tcBorders>
          </w:tcPr>
          <w:p>
            <w:pPr>
              <w:pStyle w:val="Normal"/>
              <w:keepNext w:val="true"/>
              <w:jc w:val="center"/>
              <w:rPr>
                <w:rFonts w:eastAsia="Calibri"/>
                <w:color w:val="FF0000"/>
                <w:sz w:val="24"/>
                <w:szCs w:val="24"/>
              </w:rPr>
            </w:pPr>
            <w:r>
              <w:rPr>
                <w:rFonts w:eastAsia="Calibri"/>
                <w:color w:val="FF0000"/>
                <w:sz w:val="24"/>
                <w:szCs w:val="24"/>
              </w:rPr>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5"/>
              </w:numPr>
              <w:spacing w:before="0" w:after="0"/>
              <w:contextualSpacing/>
              <w:jc w:val="both"/>
              <w:rPr>
                <w:rFonts w:eastAsia="Calibri"/>
                <w:sz w:val="24"/>
                <w:szCs w:val="24"/>
              </w:rPr>
            </w:pPr>
            <w:r>
              <w:rPr>
                <w:rFonts w:eastAsia="Calibri"/>
                <w:sz w:val="24"/>
                <w:szCs w:val="24"/>
              </w:rPr>
            </w:r>
          </w:p>
        </w:tc>
        <w:tc>
          <w:tcPr>
            <w:tcW w:w="4648" w:type="dxa"/>
            <w:tcBorders>
              <w:top w:val="single" w:sz="4" w:space="0" w:color="000000"/>
              <w:left w:val="single" w:sz="4" w:space="0" w:color="000000"/>
              <w:bottom w:val="single" w:sz="4" w:space="0" w:color="000000"/>
              <w:right w:val="single" w:sz="4" w:space="0" w:color="000000"/>
            </w:tcBorders>
          </w:tcPr>
          <w:p>
            <w:pPr>
              <w:pStyle w:val="Normal"/>
              <w:rPr>
                <w:rFonts w:eastAsia="Calibri"/>
                <w:sz w:val="24"/>
                <w:szCs w:val="24"/>
              </w:rPr>
            </w:pPr>
            <w:r>
              <w:rPr>
                <w:rFonts w:eastAsia="Calibri"/>
                <w:sz w:val="24"/>
                <w:szCs w:val="24"/>
              </w:rPr>
              <w:t>Токоограничивающие реакторы 15,7кВ; 1250А; 0,56ОМ (по типу РТСТ 15,7-1250-0,56 У3), устанавливаемые со стороны входа высоковольтного преобразователя частоты и на его выходе.</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sz w:val="24"/>
                <w:szCs w:val="24"/>
              </w:rPr>
            </w:pPr>
            <w:r>
              <w:rPr>
                <w:rFonts w:eastAsia="Calibri"/>
                <w:sz w:val="24"/>
                <w:szCs w:val="24"/>
              </w:rPr>
              <w:t>компл.</w:t>
            </w:r>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sz w:val="24"/>
                <w:szCs w:val="24"/>
              </w:rPr>
            </w:pPr>
            <w:r>
              <w:rPr>
                <w:rFonts w:eastAsia="Calibri"/>
                <w:sz w:val="24"/>
                <w:szCs w:val="24"/>
              </w:rPr>
              <w:t>2</w:t>
            </w:r>
          </w:p>
          <w:p>
            <w:pPr>
              <w:pStyle w:val="Normal"/>
              <w:jc w:val="center"/>
              <w:rPr>
                <w:rFonts w:eastAsia="Calibri"/>
                <w:sz w:val="24"/>
                <w:szCs w:val="24"/>
              </w:rPr>
            </w:pPr>
            <w:r>
              <w:rPr>
                <w:rFonts w:eastAsia="Calibri"/>
                <w:sz w:val="24"/>
                <w:szCs w:val="24"/>
              </w:rPr>
            </w:r>
          </w:p>
        </w:tc>
        <w:tc>
          <w:tcPr>
            <w:tcW w:w="2580"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5"/>
              </w:numPr>
              <w:spacing w:before="0" w:after="0"/>
              <w:contextualSpacing/>
              <w:jc w:val="both"/>
              <w:rPr>
                <w:rFonts w:eastAsia="Calibri"/>
                <w:sz w:val="24"/>
                <w:szCs w:val="24"/>
              </w:rPr>
            </w:pPr>
            <w:r>
              <w:rPr>
                <w:rFonts w:eastAsia="Calibri"/>
                <w:sz w:val="24"/>
                <w:szCs w:val="24"/>
              </w:rPr>
            </w:r>
          </w:p>
        </w:tc>
        <w:tc>
          <w:tcPr>
            <w:tcW w:w="4648"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Реакторы сглаживающие (*)</w:t>
            </w:r>
          </w:p>
          <w:p>
            <w:pPr>
              <w:pStyle w:val="Normal"/>
              <w:rPr>
                <w:rFonts w:eastAsia="Calibri"/>
                <w:color w:val="FF0000"/>
                <w:sz w:val="24"/>
                <w:szCs w:val="24"/>
              </w:rPr>
            </w:pPr>
            <w:r>
              <w:rPr>
                <w:rFonts w:eastAsia="Calibri"/>
                <w:color w:val="FF0000"/>
                <w:sz w:val="24"/>
                <w:szCs w:val="24"/>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sz w:val="24"/>
                <w:szCs w:val="24"/>
              </w:rPr>
            </w:pPr>
            <w:r>
              <w:rPr>
                <w:rFonts w:eastAsia="Calibri"/>
                <w:sz w:val="24"/>
                <w:szCs w:val="24"/>
              </w:rPr>
              <w:t>шт.</w:t>
            </w:r>
          </w:p>
        </w:tc>
        <w:tc>
          <w:tcPr>
            <w:tcW w:w="85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Calibri"/>
                <w:sz w:val="24"/>
                <w:szCs w:val="24"/>
              </w:rPr>
            </w:pPr>
            <w:r>
              <w:rPr>
                <w:rFonts w:eastAsia="Calibri"/>
                <w:sz w:val="24"/>
                <w:szCs w:val="24"/>
              </w:rPr>
              <w:t>*</w:t>
            </w:r>
          </w:p>
        </w:tc>
        <w:tc>
          <w:tcPr>
            <w:tcW w:w="2580" w:type="dxa"/>
            <w:tcBorders>
              <w:top w:val="single" w:sz="4" w:space="0" w:color="00000A"/>
              <w:left w:val="single" w:sz="4" w:space="0" w:color="00000A"/>
              <w:bottom w:val="single" w:sz="4" w:space="0" w:color="00000A"/>
              <w:right w:val="single" w:sz="4" w:space="0" w:color="00000A"/>
            </w:tcBorders>
          </w:tcPr>
          <w:p>
            <w:pPr>
              <w:pStyle w:val="Normal"/>
              <w:keepNext w:val="true"/>
              <w:jc w:val="center"/>
              <w:rPr/>
            </w:pPr>
            <w:r>
              <w:rPr/>
              <w:t>* типа (марка) и количество, определяется КД, с учетом требований п.7 Таблицы 2.6</w:t>
            </w:r>
          </w:p>
          <w:p>
            <w:pPr>
              <w:pStyle w:val="Normal"/>
              <w:keepNext w:val="true"/>
              <w:jc w:val="center"/>
              <w:rPr/>
            </w:pPr>
            <w:r>
              <w:rPr/>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5"/>
              </w:numPr>
              <w:suppressAutoHyphens w:val="true"/>
              <w:bidi w:val="0"/>
              <w:spacing w:before="0" w:after="0"/>
              <w:contextualSpacing/>
              <w:jc w:val="both"/>
              <w:rPr>
                <w:rFonts w:eastAsia="Calibri"/>
                <w:sz w:val="24"/>
                <w:szCs w:val="24"/>
              </w:rPr>
            </w:pPr>
            <w:r>
              <w:rPr>
                <w:rFonts w:eastAsia="Calibri"/>
                <w:sz w:val="24"/>
                <w:szCs w:val="24"/>
              </w:rPr>
            </w:r>
          </w:p>
        </w:tc>
        <w:tc>
          <w:tcPr>
            <w:tcW w:w="4648" w:type="dxa"/>
            <w:tcBorders>
              <w:top w:val="single" w:sz="4" w:space="0" w:color="00000A"/>
              <w:left w:val="single" w:sz="4" w:space="0" w:color="00000A"/>
              <w:bottom w:val="single" w:sz="4" w:space="0" w:color="00000A"/>
              <w:right w:val="single" w:sz="4" w:space="0" w:color="00000A"/>
            </w:tcBorders>
            <w:vAlign w:val="center"/>
          </w:tcPr>
          <w:p>
            <w:pPr>
              <w:pStyle w:val="Normal"/>
              <w:rPr>
                <w:rFonts w:eastAsia="Calibri"/>
                <w:sz w:val="24"/>
                <w:szCs w:val="24"/>
              </w:rPr>
            </w:pPr>
            <w:r>
              <w:rPr>
                <w:rFonts w:eastAsia="Calibri"/>
                <w:sz w:val="24"/>
                <w:szCs w:val="24"/>
              </w:rPr>
              <w:t xml:space="preserve">Комплект запасных частей из расчета одного преобразователя частоты </w:t>
            </w:r>
          </w:p>
        </w:tc>
        <w:tc>
          <w:tcPr>
            <w:tcW w:w="1134" w:type="dxa"/>
            <w:tcBorders>
              <w:top w:val="single" w:sz="4" w:space="0" w:color="00000A"/>
              <w:left w:val="single" w:sz="4" w:space="0" w:color="00000A"/>
              <w:bottom w:val="single" w:sz="4" w:space="0" w:color="00000A"/>
              <w:right w:val="single" w:sz="4" w:space="0" w:color="00000A"/>
            </w:tcBorders>
            <w:vAlign w:val="center"/>
          </w:tcPr>
          <w:p>
            <w:pPr>
              <w:pStyle w:val="Normal"/>
              <w:jc w:val="center"/>
              <w:rPr>
                <w:rFonts w:eastAsia="Calibri"/>
                <w:sz w:val="24"/>
                <w:szCs w:val="24"/>
              </w:rPr>
            </w:pPr>
            <w:r>
              <w:rPr>
                <w:rFonts w:eastAsia="Calibri"/>
                <w:sz w:val="24"/>
                <w:szCs w:val="24"/>
              </w:rPr>
              <w:t>компл.</w:t>
            </w:r>
          </w:p>
        </w:tc>
        <w:tc>
          <w:tcPr>
            <w:tcW w:w="854" w:type="dxa"/>
            <w:tcBorders>
              <w:top w:val="single" w:sz="4" w:space="0" w:color="00000A"/>
              <w:left w:val="single" w:sz="4" w:space="0" w:color="00000A"/>
              <w:bottom w:val="single" w:sz="4" w:space="0" w:color="00000A"/>
              <w:right w:val="single" w:sz="4" w:space="0" w:color="00000A"/>
            </w:tcBorders>
            <w:vAlign w:val="center"/>
          </w:tcPr>
          <w:p>
            <w:pPr>
              <w:pStyle w:val="Normal"/>
              <w:jc w:val="center"/>
              <w:rPr>
                <w:rFonts w:eastAsia="Calibri"/>
                <w:sz w:val="24"/>
                <w:szCs w:val="24"/>
              </w:rPr>
            </w:pPr>
            <w:r>
              <w:rPr>
                <w:rFonts w:eastAsia="Calibri"/>
                <w:sz w:val="24"/>
                <w:szCs w:val="24"/>
              </w:rPr>
            </w:r>
          </w:p>
          <w:p>
            <w:pPr>
              <w:pStyle w:val="Normal"/>
              <w:jc w:val="center"/>
              <w:rPr>
                <w:rFonts w:eastAsia="Calibri"/>
                <w:sz w:val="24"/>
                <w:szCs w:val="24"/>
              </w:rPr>
            </w:pPr>
            <w:r>
              <w:rPr>
                <w:rFonts w:eastAsia="Calibri"/>
                <w:sz w:val="24"/>
                <w:szCs w:val="24"/>
              </w:rPr>
              <w:t>1</w:t>
            </w:r>
          </w:p>
          <w:p>
            <w:pPr>
              <w:pStyle w:val="Normal"/>
              <w:jc w:val="center"/>
              <w:rPr>
                <w:rFonts w:eastAsia="Calibri"/>
                <w:sz w:val="24"/>
                <w:szCs w:val="24"/>
              </w:rPr>
            </w:pPr>
            <w:r>
              <w:rPr>
                <w:rFonts w:eastAsia="Calibri"/>
                <w:sz w:val="24"/>
                <w:szCs w:val="24"/>
              </w:rPr>
            </w:r>
          </w:p>
        </w:tc>
        <w:tc>
          <w:tcPr>
            <w:tcW w:w="2580" w:type="dxa"/>
            <w:tcBorders>
              <w:top w:val="single" w:sz="4" w:space="0" w:color="00000A"/>
              <w:left w:val="single" w:sz="4" w:space="0" w:color="00000A"/>
              <w:bottom w:val="single" w:sz="4" w:space="0" w:color="00000A"/>
              <w:right w:val="single" w:sz="4" w:space="0" w:color="00000A"/>
            </w:tcBorders>
          </w:tcPr>
          <w:p>
            <w:pPr>
              <w:pStyle w:val="Normal"/>
              <w:keepNext w:val="true"/>
              <w:rPr>
                <w:sz w:val="24"/>
                <w:szCs w:val="24"/>
              </w:rPr>
            </w:pPr>
            <w:r>
              <w:rPr>
                <w:sz w:val="24"/>
                <w:szCs w:val="24"/>
              </w:rPr>
              <w:t>ЗИП, рекомендованный Изготовителем</w:t>
            </w:r>
          </w:p>
        </w:tc>
      </w:tr>
    </w:tbl>
    <w:p>
      <w:pPr>
        <w:pStyle w:val="BodyTextIndent2"/>
        <w:widowControl/>
        <w:suppressAutoHyphens w:val="false"/>
        <w:ind w:left="357"/>
        <w:rPr>
          <w:color w:val="000000"/>
          <w:szCs w:val="24"/>
        </w:rPr>
      </w:pPr>
      <w:r>
        <w:rPr>
          <w:color w:val="000000"/>
          <w:szCs w:val="24"/>
        </w:rPr>
      </w:r>
    </w:p>
    <w:p>
      <w:pPr>
        <w:pStyle w:val="Normal"/>
        <w:ind w:firstLine="567"/>
        <w:jc w:val="both"/>
        <w:rPr>
          <w:sz w:val="24"/>
          <w:szCs w:val="24"/>
        </w:rPr>
      </w:pPr>
      <w:r>
        <w:rPr>
          <w:sz w:val="24"/>
          <w:szCs w:val="24"/>
        </w:rPr>
        <w:t>В поставку оборудования ПТУ должны входить все вспомогательные устройства, приборы и аппаратура, необходимые для его надежной и безотказной работы, а также:</w:t>
      </w:r>
    </w:p>
    <w:p>
      <w:pPr>
        <w:pStyle w:val="Normal"/>
        <w:ind w:firstLine="567"/>
        <w:jc w:val="both"/>
        <w:rPr>
          <w:sz w:val="24"/>
          <w:szCs w:val="24"/>
        </w:rPr>
      </w:pPr>
      <w:r>
        <w:rPr>
          <w:sz w:val="24"/>
          <w:szCs w:val="24"/>
        </w:rPr>
        <w:t>-</w:t>
      </w:r>
      <w:r>
        <w:rPr/>
        <w:t xml:space="preserve"> </w:t>
      </w:r>
      <w:r>
        <w:rPr>
          <w:sz w:val="24"/>
          <w:szCs w:val="24"/>
        </w:rPr>
        <w:t>комплект силовых и контрольных кабелей с медными жилами, с изоляцией, не распространяющей горение, с низким дымо- и газовыделением, при необходимости экранированных, а также комплект оптоволоконных и медных цифровых кабелей связи для организации блочных межшкафных соединений;</w:t>
      </w:r>
    </w:p>
    <w:p>
      <w:pPr>
        <w:pStyle w:val="Normal"/>
        <w:ind w:firstLine="567"/>
        <w:jc w:val="both"/>
        <w:rPr>
          <w:sz w:val="24"/>
          <w:szCs w:val="24"/>
        </w:rPr>
      </w:pPr>
      <w:r>
        <w:rPr>
          <w:sz w:val="24"/>
          <w:szCs w:val="24"/>
        </w:rPr>
        <w:t xml:space="preserve">- комплекты частей и расходуемых материалов, необходимых в процессе монтажа, наладки. </w:t>
      </w:r>
    </w:p>
    <w:p>
      <w:pPr>
        <w:pStyle w:val="Normal"/>
        <w:ind w:firstLine="567"/>
        <w:jc w:val="both"/>
        <w:rPr>
          <w:sz w:val="24"/>
          <w:szCs w:val="24"/>
        </w:rPr>
      </w:pPr>
      <w:r>
        <w:rPr>
          <w:sz w:val="24"/>
          <w:szCs w:val="24"/>
        </w:rPr>
      </w:r>
    </w:p>
    <w:p>
      <w:pPr>
        <w:pStyle w:val="Style37"/>
        <w:ind w:left="0"/>
        <w:jc w:val="left"/>
        <w:rPr>
          <w:b/>
        </w:rPr>
      </w:pPr>
      <w:r>
        <w:rPr>
          <w:b/>
        </w:rPr>
        <w:t>Таблица 2.2 Перечень и объем восстанавливаемого оборудования</w:t>
      </w:r>
    </w:p>
    <w:tbl>
      <w:tblPr>
        <w:tblW w:w="10065" w:type="dxa"/>
        <w:jc w:val="left"/>
        <w:tblInd w:w="-289" w:type="dxa"/>
        <w:tblLayout w:type="fixed"/>
        <w:tblCellMar>
          <w:top w:w="0" w:type="dxa"/>
          <w:left w:w="108" w:type="dxa"/>
          <w:bottom w:w="0" w:type="dxa"/>
          <w:right w:w="108" w:type="dxa"/>
        </w:tblCellMar>
        <w:tblLook w:val="0000" w:noHBand="0" w:noVBand="0" w:firstColumn="0" w:lastRow="0" w:lastColumn="0" w:firstRow="0"/>
      </w:tblPr>
      <w:tblGrid>
        <w:gridCol w:w="849"/>
        <w:gridCol w:w="4649"/>
        <w:gridCol w:w="1276"/>
        <w:gridCol w:w="1136"/>
        <w:gridCol w:w="2155"/>
      </w:tblGrid>
      <w:tr>
        <w:trPr>
          <w:tblHeader w:val="true"/>
        </w:trPr>
        <w:tc>
          <w:tcPr>
            <w:tcW w:w="849"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w:t>
            </w:r>
          </w:p>
          <w:p>
            <w:pPr>
              <w:pStyle w:val="Normal"/>
              <w:keepNext w:val="true"/>
              <w:jc w:val="center"/>
              <w:rPr>
                <w:sz w:val="24"/>
                <w:szCs w:val="24"/>
              </w:rPr>
            </w:pPr>
            <w:r>
              <w:rPr>
                <w:sz w:val="24"/>
                <w:szCs w:val="24"/>
              </w:rPr>
              <w:t>п/п</w:t>
            </w:r>
          </w:p>
        </w:tc>
        <w:tc>
          <w:tcPr>
            <w:tcW w:w="4649"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Наименование продукции</w:t>
            </w:r>
          </w:p>
        </w:tc>
        <w:tc>
          <w:tcPr>
            <w:tcW w:w="1276"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Единица измерения</w:t>
            </w:r>
          </w:p>
        </w:tc>
        <w:tc>
          <w:tcPr>
            <w:tcW w:w="1136" w:type="dxa"/>
            <w:tcBorders>
              <w:top w:val="single" w:sz="4" w:space="0" w:color="00000A"/>
              <w:left w:val="single" w:sz="4" w:space="0" w:color="00000A"/>
              <w:bottom w:val="single" w:sz="4" w:space="0" w:color="00000A"/>
              <w:right w:val="single" w:sz="4" w:space="0" w:color="00000A"/>
            </w:tcBorders>
            <w:vAlign w:val="center"/>
          </w:tcPr>
          <w:p>
            <w:pPr>
              <w:pStyle w:val="Normal"/>
              <w:keepNext w:val="true"/>
              <w:jc w:val="center"/>
              <w:rPr>
                <w:sz w:val="24"/>
                <w:szCs w:val="24"/>
              </w:rPr>
            </w:pPr>
            <w:r>
              <w:rPr>
                <w:sz w:val="24"/>
                <w:szCs w:val="24"/>
              </w:rPr>
              <w:t>Количество</w:t>
            </w:r>
          </w:p>
        </w:tc>
        <w:tc>
          <w:tcPr>
            <w:tcW w:w="2155"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Примечание</w:t>
            </w:r>
          </w:p>
        </w:tc>
      </w:tr>
      <w:tr>
        <w:trPr>
          <w:tblHeader w:val="true"/>
        </w:trPr>
        <w:tc>
          <w:tcPr>
            <w:tcW w:w="849"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1</w:t>
            </w:r>
          </w:p>
        </w:tc>
        <w:tc>
          <w:tcPr>
            <w:tcW w:w="4649"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2</w:t>
            </w:r>
          </w:p>
        </w:tc>
        <w:tc>
          <w:tcPr>
            <w:tcW w:w="1276"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3</w:t>
            </w:r>
          </w:p>
        </w:tc>
        <w:tc>
          <w:tcPr>
            <w:tcW w:w="1136" w:type="dxa"/>
            <w:tcBorders>
              <w:top w:val="single" w:sz="4" w:space="0" w:color="00000A"/>
              <w:left w:val="single" w:sz="4" w:space="0" w:color="00000A"/>
              <w:bottom w:val="single" w:sz="4" w:space="0" w:color="000000"/>
              <w:right w:val="single" w:sz="4" w:space="0" w:color="00000A"/>
            </w:tcBorders>
          </w:tcPr>
          <w:p>
            <w:pPr>
              <w:pStyle w:val="Normal"/>
              <w:jc w:val="center"/>
              <w:rPr>
                <w:sz w:val="24"/>
                <w:szCs w:val="24"/>
              </w:rPr>
            </w:pPr>
            <w:r>
              <w:rPr>
                <w:sz w:val="24"/>
                <w:szCs w:val="24"/>
              </w:rPr>
              <w:t>4</w:t>
            </w:r>
          </w:p>
        </w:tc>
        <w:tc>
          <w:tcPr>
            <w:tcW w:w="2155" w:type="dxa"/>
            <w:tcBorders>
              <w:top w:val="single" w:sz="4" w:space="0" w:color="00000A"/>
              <w:left w:val="single" w:sz="4" w:space="0" w:color="00000A"/>
              <w:bottom w:val="single" w:sz="4" w:space="0" w:color="000000"/>
              <w:right w:val="single" w:sz="4" w:space="0" w:color="00000A"/>
            </w:tcBorders>
          </w:tcPr>
          <w:p>
            <w:pPr>
              <w:pStyle w:val="Normal"/>
              <w:jc w:val="center"/>
              <w:rPr>
                <w:b/>
                <w:sz w:val="24"/>
                <w:szCs w:val="24"/>
              </w:rPr>
            </w:pPr>
            <w:r>
              <w:rPr>
                <w:b/>
                <w:sz w:val="24"/>
                <w:szCs w:val="24"/>
              </w:rPr>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13"/>
              </w:numPr>
              <w:spacing w:before="0" w:after="0"/>
              <w:contextualSpacing/>
              <w:jc w:val="both"/>
              <w:rPr>
                <w:rFonts w:eastAsia="Calibri"/>
                <w:sz w:val="24"/>
                <w:szCs w:val="24"/>
              </w:rPr>
            </w:pPr>
            <w:r>
              <w:rPr>
                <w:rFonts w:eastAsia="Calibri"/>
                <w:sz w:val="24"/>
                <w:szCs w:val="24"/>
              </w:rPr>
            </w:r>
          </w:p>
        </w:tc>
        <w:tc>
          <w:tcPr>
            <w:tcW w:w="4649" w:type="dxa"/>
            <w:tcBorders>
              <w:top w:val="single" w:sz="4" w:space="0" w:color="00000A"/>
              <w:left w:val="single" w:sz="4" w:space="0" w:color="00000A"/>
              <w:bottom w:val="single" w:sz="4" w:space="0" w:color="00000A"/>
              <w:right w:val="single" w:sz="4" w:space="0" w:color="00000A"/>
            </w:tcBorders>
          </w:tcPr>
          <w:p>
            <w:pPr>
              <w:pStyle w:val="Normal"/>
              <w:rPr>
                <w:rFonts w:eastAsia="Calibri"/>
                <w:sz w:val="24"/>
                <w:szCs w:val="24"/>
              </w:rPr>
            </w:pPr>
            <w:r>
              <w:rPr>
                <w:rFonts w:eastAsia="Calibri"/>
                <w:sz w:val="24"/>
                <w:szCs w:val="24"/>
              </w:rPr>
              <w:t>Высоковольтный преобразователь частоты номинальным напряжением 15,7 кВ, включая шкафы с силовыми тиристорными блоками выпрямителя и инвертора, шкафы ввода-вывода питания, шкафы с резисторами и конденсаторами для демпфирования коммутационных перенапряжений относительно земли, шкафы с устройством управления, автоматики, защиты и отображения информации, устройством связи с объектом, обеспечивающим обмен информацией и передачу сигналов управления, защит, сигнализации АСУ ТП ПТУ с АСУ ТП Загорской ГАЭС-2</w:t>
            </w:r>
          </w:p>
        </w:tc>
        <w:tc>
          <w:tcPr>
            <w:tcW w:w="127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rFonts w:eastAsia="Calibri"/>
                <w:sz w:val="24"/>
                <w:szCs w:val="24"/>
              </w:rPr>
            </w:pPr>
            <w:r>
              <w:rPr>
                <w:rFonts w:eastAsia="Calibri"/>
                <w:sz w:val="24"/>
                <w:szCs w:val="24"/>
              </w:rPr>
              <w:t>компл.</w:t>
            </w:r>
          </w:p>
        </w:tc>
        <w:tc>
          <w:tcPr>
            <w:tcW w:w="113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rFonts w:eastAsia="Calibri"/>
                <w:sz w:val="24"/>
                <w:szCs w:val="24"/>
              </w:rPr>
            </w:pPr>
            <w:r>
              <w:rPr>
                <w:rFonts w:eastAsia="Calibri"/>
                <w:sz w:val="24"/>
                <w:szCs w:val="24"/>
              </w:rPr>
              <w:t>1</w:t>
            </w:r>
          </w:p>
        </w:tc>
        <w:tc>
          <w:tcPr>
            <w:tcW w:w="2155" w:type="dxa"/>
            <w:tcBorders>
              <w:top w:val="single" w:sz="4" w:space="0" w:color="00000A"/>
              <w:left w:val="single" w:sz="4" w:space="0" w:color="00000A"/>
              <w:bottom w:val="single" w:sz="4" w:space="0" w:color="00000A"/>
              <w:right w:val="single" w:sz="4" w:space="0" w:color="00000A"/>
            </w:tcBorders>
          </w:tcPr>
          <w:p>
            <w:pPr>
              <w:pStyle w:val="Normal"/>
              <w:keepNext w:val="true"/>
              <w:jc w:val="both"/>
              <w:rPr>
                <w:rFonts w:eastAsia="Calibri"/>
                <w:sz w:val="24"/>
                <w:szCs w:val="24"/>
              </w:rPr>
            </w:pPr>
            <w:r>
              <w:rPr>
                <w:rFonts w:eastAsia="Calibri"/>
                <w:sz w:val="24"/>
                <w:szCs w:val="24"/>
              </w:rPr>
              <w:t xml:space="preserve">Восстановление с доукомплектацией (поставкой) и модернизацией шкафов </w:t>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13"/>
              </w:numPr>
              <w:spacing w:before="0" w:after="0"/>
              <w:contextualSpacing/>
              <w:jc w:val="both"/>
              <w:rPr>
                <w:rFonts w:eastAsia="Calibri"/>
                <w:sz w:val="24"/>
                <w:szCs w:val="24"/>
              </w:rPr>
            </w:pPr>
            <w:r>
              <w:rPr>
                <w:rFonts w:eastAsia="Calibri"/>
                <w:sz w:val="24"/>
                <w:szCs w:val="24"/>
              </w:rPr>
            </w:r>
          </w:p>
        </w:tc>
        <w:tc>
          <w:tcPr>
            <w:tcW w:w="46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Реакторы токоограничивающие 15,75 кВ</w:t>
            </w:r>
          </w:p>
          <w:p>
            <w:pPr>
              <w:pStyle w:val="BodyTextIndent2"/>
              <w:ind w:left="0"/>
              <w:rPr>
                <w:szCs w:val="24"/>
              </w:rPr>
            </w:pPr>
            <w:r>
              <w:rPr>
                <w:szCs w:val="24"/>
              </w:rPr>
              <w:t>трехфазный, внутренней установки, 1250А, 0,56Ом в цепи переменного тока РТСТУ-15,75-1250-0,56/У3. (ПТУ-4), устанавливаемые со стороны входа высоковольтного преобразователя частоты и на его выходе.</w:t>
            </w:r>
          </w:p>
          <w:p>
            <w:pPr>
              <w:pStyle w:val="Normal"/>
              <w:rPr>
                <w:sz w:val="24"/>
                <w:szCs w:val="24"/>
              </w:rPr>
            </w:pPr>
            <w:r>
              <w:rPr>
                <w:sz w:val="24"/>
                <w:szCs w:val="24"/>
              </w:rPr>
              <w:t>Завод-изготовитель ЗАО «Группа «Свердлов Электро».</w:t>
            </w:r>
          </w:p>
        </w:tc>
        <w:tc>
          <w:tcPr>
            <w:tcW w:w="127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шт.</w:t>
            </w:r>
          </w:p>
        </w:tc>
        <w:tc>
          <w:tcPr>
            <w:tcW w:w="113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2</w:t>
            </w:r>
          </w:p>
        </w:tc>
        <w:tc>
          <w:tcPr>
            <w:tcW w:w="2155" w:type="dxa"/>
            <w:tcBorders>
              <w:top w:val="single" w:sz="4" w:space="0" w:color="00000A"/>
              <w:left w:val="single" w:sz="4" w:space="0" w:color="00000A"/>
              <w:bottom w:val="single" w:sz="4" w:space="0" w:color="00000A"/>
              <w:right w:val="single" w:sz="4" w:space="0" w:color="00000A"/>
            </w:tcBorders>
          </w:tcPr>
          <w:p>
            <w:pPr>
              <w:pStyle w:val="Normal"/>
              <w:keepNext w:val="true"/>
              <w:rPr>
                <w:sz w:val="24"/>
                <w:szCs w:val="24"/>
              </w:rPr>
            </w:pPr>
            <w:r>
              <w:rPr>
                <w:sz w:val="24"/>
                <w:szCs w:val="24"/>
              </w:rPr>
              <w:t>Выполнение технического обслуживания в рамках СМР (шефмонтаж/шефналака)</w:t>
            </w:r>
          </w:p>
        </w:tc>
      </w:tr>
      <w:tr>
        <w:trPr/>
        <w:tc>
          <w:tcPr>
            <w:tcW w:w="849" w:type="dxa"/>
            <w:tcBorders>
              <w:top w:val="single" w:sz="4" w:space="0" w:color="00000A"/>
              <w:left w:val="single" w:sz="4" w:space="0" w:color="00000A"/>
              <w:bottom w:val="single" w:sz="4" w:space="0" w:color="00000A"/>
              <w:right w:val="single" w:sz="4" w:space="0" w:color="00000A"/>
            </w:tcBorders>
          </w:tcPr>
          <w:p>
            <w:pPr>
              <w:pStyle w:val="Normal"/>
              <w:widowControl/>
              <w:numPr>
                <w:ilvl w:val="0"/>
                <w:numId w:val="13"/>
              </w:numPr>
              <w:spacing w:before="0" w:after="0"/>
              <w:contextualSpacing/>
              <w:jc w:val="both"/>
              <w:rPr>
                <w:rFonts w:eastAsia="Calibri"/>
                <w:sz w:val="24"/>
                <w:szCs w:val="24"/>
              </w:rPr>
            </w:pPr>
            <w:r>
              <w:rPr>
                <w:rFonts w:eastAsia="Calibri"/>
                <w:sz w:val="24"/>
                <w:szCs w:val="24"/>
              </w:rPr>
            </w:r>
          </w:p>
        </w:tc>
        <w:tc>
          <w:tcPr>
            <w:tcW w:w="46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Реакторы сглаживающие СРОС-4300/15 (ПТУ-4)</w:t>
            </w:r>
          </w:p>
        </w:tc>
        <w:tc>
          <w:tcPr>
            <w:tcW w:w="127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шт.</w:t>
            </w:r>
          </w:p>
        </w:tc>
        <w:tc>
          <w:tcPr>
            <w:tcW w:w="1136" w:type="dxa"/>
            <w:tcBorders>
              <w:top w:val="single" w:sz="4" w:space="0" w:color="00000A"/>
              <w:left w:val="single" w:sz="4" w:space="0" w:color="00000A"/>
              <w:bottom w:val="single" w:sz="4" w:space="0" w:color="00000A"/>
              <w:right w:val="single" w:sz="4" w:space="0" w:color="00000A"/>
            </w:tcBorders>
          </w:tcPr>
          <w:p>
            <w:pPr>
              <w:pStyle w:val="Normal"/>
              <w:keepNext w:val="true"/>
              <w:jc w:val="center"/>
              <w:rPr>
                <w:sz w:val="24"/>
                <w:szCs w:val="24"/>
              </w:rPr>
            </w:pPr>
            <w:r>
              <w:rPr>
                <w:sz w:val="24"/>
                <w:szCs w:val="24"/>
              </w:rPr>
              <w:t>6</w:t>
            </w:r>
          </w:p>
        </w:tc>
        <w:tc>
          <w:tcPr>
            <w:tcW w:w="2155" w:type="dxa"/>
            <w:tcBorders>
              <w:top w:val="single" w:sz="4" w:space="0" w:color="00000A"/>
              <w:left w:val="single" w:sz="4" w:space="0" w:color="00000A"/>
              <w:bottom w:val="single" w:sz="4" w:space="0" w:color="00000A"/>
              <w:right w:val="single" w:sz="4" w:space="0" w:color="00000A"/>
            </w:tcBorders>
          </w:tcPr>
          <w:p>
            <w:pPr>
              <w:pStyle w:val="Normal"/>
              <w:keepNext w:val="true"/>
              <w:rPr>
                <w:sz w:val="24"/>
                <w:szCs w:val="24"/>
              </w:rPr>
            </w:pPr>
            <w:r>
              <w:rPr>
                <w:sz w:val="24"/>
                <w:szCs w:val="24"/>
              </w:rPr>
              <w:t>Выполнение технического обслуживания в рамках СМР (шефмонтаж/шефналака)</w:t>
            </w:r>
          </w:p>
        </w:tc>
      </w:tr>
    </w:tbl>
    <w:p>
      <w:pPr>
        <w:pStyle w:val="Normal"/>
        <w:ind w:firstLine="567"/>
        <w:rPr>
          <w:sz w:val="24"/>
          <w:szCs w:val="24"/>
        </w:rPr>
      </w:pPr>
      <w:r>
        <w:rPr>
          <w:sz w:val="24"/>
          <w:szCs w:val="24"/>
        </w:rPr>
      </w:r>
    </w:p>
    <w:p>
      <w:pPr>
        <w:pStyle w:val="Normal"/>
        <w:ind w:firstLine="567"/>
        <w:jc w:val="both"/>
        <w:rPr>
          <w:sz w:val="24"/>
          <w:szCs w:val="24"/>
        </w:rPr>
      </w:pPr>
      <w:r>
        <w:rPr>
          <w:sz w:val="24"/>
          <w:szCs w:val="24"/>
        </w:rPr>
        <w:t>Объем работ по восстановлению оборудования, приведенного в таблице 2.2, разрабатывается Исполнителем и согласовывается с Заказчиком на этапе исполнения договора.</w:t>
      </w:r>
    </w:p>
    <w:p>
      <w:pPr>
        <w:pStyle w:val="Normal"/>
        <w:ind w:firstLine="567"/>
        <w:jc w:val="both"/>
        <w:rPr>
          <w:sz w:val="24"/>
          <w:szCs w:val="24"/>
        </w:rPr>
      </w:pPr>
      <w:r>
        <w:rPr>
          <w:sz w:val="24"/>
          <w:szCs w:val="24"/>
        </w:rPr>
        <w:t>Должны входить все вспомогательные устройства, приборы и аппаратура, необходимые для его надежной и безотказной работы восстанавливаемого ПТУ, а также:</w:t>
      </w:r>
    </w:p>
    <w:p>
      <w:pPr>
        <w:pStyle w:val="Normal"/>
        <w:ind w:firstLine="567"/>
        <w:jc w:val="both"/>
        <w:rPr>
          <w:sz w:val="24"/>
          <w:szCs w:val="24"/>
        </w:rPr>
      </w:pPr>
      <w:r>
        <w:rPr>
          <w:sz w:val="24"/>
          <w:szCs w:val="24"/>
        </w:rPr>
        <w:t>- комплект силовых и контрольных кабелей с медными жилами, с изоляцией, не распространяющей горение, с низким дымо- и газовыделением, при необходимости экранированных, а также комплект оптоволоконных и медных цифровых кабелей связи для организации блочных межшкафных соединений;</w:t>
      </w:r>
    </w:p>
    <w:p>
      <w:pPr>
        <w:pStyle w:val="Normal"/>
        <w:ind w:firstLine="567"/>
        <w:jc w:val="both"/>
        <w:rPr>
          <w:sz w:val="24"/>
          <w:szCs w:val="24"/>
        </w:rPr>
      </w:pPr>
      <w:r>
        <w:rPr>
          <w:sz w:val="24"/>
          <w:szCs w:val="24"/>
        </w:rPr>
        <w:t xml:space="preserve">Восстановление разъединителей и выключателей, входящих в состав системы пуска агрегата в насосный режим, предусмотрен в объеме требований на восстановление оборудования 15,75кВ. </w:t>
      </w:r>
    </w:p>
    <w:p>
      <w:pPr>
        <w:pStyle w:val="Normal"/>
        <w:ind w:firstLine="567"/>
        <w:jc w:val="both"/>
        <w:rPr>
          <w:sz w:val="24"/>
          <w:szCs w:val="24"/>
        </w:rPr>
      </w:pPr>
      <w:r>
        <w:rPr>
          <w:sz w:val="24"/>
          <w:szCs w:val="24"/>
        </w:rPr>
        <w:t xml:space="preserve">Исполнитель должен обеспечить комплектность поставки оборудования ПТУ № 3,4 и системы пуска агрегата в насосный режим, и включить в объем поставки все, что необходимо для восстановления работоспособности оборудования и обеспечения последующей нормальной эксплуатации, даже если это специально не оговорено в данных технических требованиях. </w:t>
      </w:r>
    </w:p>
    <w:p>
      <w:pPr>
        <w:sectPr>
          <w:headerReference w:type="default" r:id="rId2"/>
          <w:footerReference w:type="default" r:id="rId3"/>
          <w:type w:val="nextPage"/>
          <w:pgSz w:w="11906" w:h="16838"/>
          <w:pgMar w:left="1418" w:right="851" w:gutter="0" w:header="709" w:top="1134" w:footer="709" w:bottom="851"/>
          <w:pgNumType w:fmt="decimal"/>
          <w:formProt w:val="false"/>
          <w:textDirection w:val="lrTb"/>
          <w:docGrid w:type="default" w:linePitch="360" w:charSpace="114688"/>
        </w:sectPr>
        <w:pStyle w:val="Normal"/>
        <w:ind w:firstLine="567"/>
        <w:jc w:val="both"/>
        <w:rPr>
          <w:sz w:val="24"/>
          <w:szCs w:val="24"/>
        </w:rPr>
      </w:pPr>
      <w:r>
        <w:rPr>
          <w:sz w:val="24"/>
          <w:szCs w:val="24"/>
        </w:rPr>
        <w:t>Исполнитель обязан использовать комплексную и эффективную систему обеспечения качества, обязательную для всей группы участвующих в проекте компаний и включающую в себя вопросы разработки, проектирования, производства и монтажа оборудования в соответствии со стандартом обеспечения качества ISO 9001:2026.</w:t>
      </w:r>
    </w:p>
    <w:p>
      <w:pPr>
        <w:pStyle w:val="Normal"/>
        <w:rPr>
          <w:highlight w:val="none"/>
          <w:shd w:fill="auto" w:val="clear"/>
        </w:rPr>
      </w:pPr>
      <w:r>
        <w:rPr>
          <w:bCs/>
          <w:sz w:val="24"/>
          <w:szCs w:val="24"/>
          <w:shd w:fill="auto" w:val="clear"/>
        </w:rPr>
        <w:t>Таблица 2.3 Объем поставки и восстановления</w:t>
      </w:r>
    </w:p>
    <w:tbl>
      <w:tblPr>
        <w:tblW w:w="1563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34"/>
        <w:gridCol w:w="2192"/>
        <w:gridCol w:w="3832"/>
        <w:gridCol w:w="1235"/>
        <w:gridCol w:w="1701"/>
        <w:gridCol w:w="1135"/>
        <w:gridCol w:w="1742"/>
        <w:gridCol w:w="3158"/>
        <w:gridCol w:w="3"/>
      </w:tblGrid>
      <w:tr>
        <w:trPr>
          <w:tblHeader w:val="true"/>
          <w:trHeight w:val="20" w:hRule="atLeast"/>
        </w:trPr>
        <w:tc>
          <w:tcPr>
            <w:tcW w:w="634" w:type="dxa"/>
            <w:tcBorders>
              <w:top w:val="single" w:sz="4" w:space="0" w:color="000000"/>
              <w:left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w:t>
            </w:r>
          </w:p>
        </w:tc>
        <w:tc>
          <w:tcPr>
            <w:tcW w:w="2192" w:type="dxa"/>
            <w:tcBorders>
              <w:top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Наименование</w:t>
            </w:r>
          </w:p>
        </w:tc>
        <w:tc>
          <w:tcPr>
            <w:tcW w:w="3832" w:type="dxa"/>
            <w:tcBorders>
              <w:top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Тип</w:t>
            </w:r>
          </w:p>
        </w:tc>
        <w:tc>
          <w:tcPr>
            <w:tcW w:w="2936" w:type="dxa"/>
            <w:gridSpan w:val="2"/>
            <w:tcBorders>
              <w:top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Восстанавливаемое</w:t>
            </w:r>
          </w:p>
        </w:tc>
        <w:tc>
          <w:tcPr>
            <w:tcW w:w="2877" w:type="dxa"/>
            <w:gridSpan w:val="2"/>
            <w:tcBorders>
              <w:top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Поставка нового</w:t>
            </w:r>
          </w:p>
        </w:tc>
        <w:tc>
          <w:tcPr>
            <w:tcW w:w="3158" w:type="dxa"/>
            <w:tcBorders>
              <w:top w:val="single" w:sz="4" w:space="0" w:color="000000"/>
              <w:bottom w:val="single" w:sz="4" w:space="0" w:color="000000"/>
              <w:right w:val="single" w:sz="4" w:space="0" w:color="000000"/>
            </w:tcBorders>
            <w:shd w:color="auto" w:fill="DEEAF6" w:themeFill="accent1" w:themeFillTint="33" w:val="clear"/>
            <w:vAlign w:val="center"/>
          </w:tcPr>
          <w:p>
            <w:pPr>
              <w:pStyle w:val="Normal"/>
              <w:jc w:val="center"/>
              <w:rPr>
                <w:color w:val="000000"/>
              </w:rPr>
            </w:pPr>
            <w:r>
              <w:rPr>
                <w:color w:val="000000"/>
              </w:rPr>
              <w:t>Примечание</w:t>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Силовые шкафы тиристоров (ШТВ и ШТИ):</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выпрямителя фазы А</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restart"/>
            <w:tcBorders>
              <w:bottom w:val="single" w:sz="4" w:space="0" w:color="000000"/>
              <w:right w:val="single" w:sz="4" w:space="0" w:color="000000"/>
            </w:tcBorders>
            <w:vAlign w:val="center"/>
          </w:tcPr>
          <w:p>
            <w:pPr>
              <w:pStyle w:val="Normal"/>
              <w:jc w:val="center"/>
              <w:rPr>
                <w:color w:val="000000"/>
              </w:rPr>
            </w:pPr>
            <w:r>
              <w:rPr>
                <w:color w:val="000000"/>
              </w:rPr>
              <w:t>Восстановление: на основании результатов из Отчета №12</w:t>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1.2</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выпрямителя фазы В</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continue"/>
            <w:tcBorders>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1.3</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выпрямителя фазы С</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continue"/>
            <w:tcBorders>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1.4</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инвертора фазы А</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continue"/>
            <w:tcBorders>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1.5</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инвертора фазы В</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continue"/>
            <w:tcBorders>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1.6</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шкафы тиристоров инвертора фазы С</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vMerge w:val="continue"/>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2</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Шкафы пускового ввода (ШВП):</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2.1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ШПВ2</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2.2</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ШПВ5</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2.3</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ШПВ3</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2.4</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ШПВ6</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3</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Шкафы резисторов и конденсаторов (ШРК):</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3.1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ШПВ1</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3.2</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ШПВ4</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4</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Шкафы демпфирования (ШД):</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4.1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ШПВ7</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4.2</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ШПВ8</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5</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 управления (ШУ):</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5.1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ШУП</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w:t>
            </w:r>
          </w:p>
        </w:tc>
        <w:tc>
          <w:tcPr>
            <w:tcW w:w="11837" w:type="dxa"/>
            <w:gridSpan w:val="6"/>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Шкафы системы управления, автоматики и питания:</w:t>
            </w:r>
          </w:p>
        </w:tc>
        <w:tc>
          <w:tcPr>
            <w:tcW w:w="3161" w:type="dxa"/>
            <w:gridSpan w:val="2"/>
            <w:tcBorders>
              <w:bottom w:val="single" w:sz="4" w:space="0" w:color="000000"/>
              <w:right w:val="single" w:sz="4" w:space="0" w:color="000000"/>
            </w:tcBorders>
            <w:vAlign w:val="center"/>
          </w:tcPr>
          <w:p>
            <w:pPr>
              <w:pStyle w:val="Normal"/>
              <w:jc w:val="center"/>
              <w:rPr>
                <w:color w:val="000000"/>
              </w:rPr>
            </w:pPr>
            <w:r>
              <w:rPr>
                <w:color w:val="000000"/>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6.1</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ШСУ</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6.2</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ШУТМ</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6.3</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ШАРМ</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6.4</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ШСО</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6.5</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ШУС</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6.6</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ШУКА</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1</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1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6.7</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ШЗТ</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2</w:t>
            </w:r>
          </w:p>
        </w:tc>
        <w:tc>
          <w:tcPr>
            <w:tcW w:w="1701" w:type="dxa"/>
            <w:tcBorders>
              <w:bottom w:val="single" w:sz="4" w:space="0" w:color="000000"/>
              <w:right w:val="single" w:sz="4" w:space="0" w:color="000000"/>
            </w:tcBorders>
            <w:vAlign w:val="center"/>
          </w:tcPr>
          <w:p>
            <w:pPr>
              <w:pStyle w:val="Normal"/>
              <w:rPr>
                <w:color w:val="000000"/>
              </w:rPr>
            </w:pPr>
            <w:r>
              <w:rPr>
                <w:color w:val="000000"/>
              </w:rPr>
              <w:t>восстановление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2</w:t>
            </w:r>
          </w:p>
        </w:tc>
        <w:tc>
          <w:tcPr>
            <w:tcW w:w="1742" w:type="dxa"/>
            <w:tcBorders>
              <w:bottom w:val="single" w:sz="4" w:space="0" w:color="000000"/>
              <w:right w:val="single" w:sz="4" w:space="0" w:color="000000"/>
            </w:tcBorders>
            <w:vAlign w:val="center"/>
          </w:tcPr>
          <w:p>
            <w:pPr>
              <w:pStyle w:val="Normal"/>
              <w:rPr>
                <w:color w:val="000000"/>
              </w:rPr>
            </w:pPr>
            <w:r>
              <w:rPr>
                <w:color w:val="000000"/>
              </w:rPr>
              <w:t>новое</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7</w:t>
            </w:r>
          </w:p>
        </w:tc>
        <w:tc>
          <w:tcPr>
            <w:tcW w:w="14998" w:type="dxa"/>
            <w:gridSpan w:val="8"/>
            <w:tcBorders>
              <w:top w:val="single" w:sz="4" w:space="0" w:color="000000"/>
              <w:bottom w:val="single" w:sz="4" w:space="0" w:color="000000"/>
              <w:right w:val="single" w:sz="4" w:space="0" w:color="000000"/>
            </w:tcBorders>
            <w:vAlign w:val="center"/>
          </w:tcPr>
          <w:p>
            <w:pPr>
              <w:pStyle w:val="Normal"/>
              <w:rPr>
                <w:color w:val="000000"/>
              </w:rPr>
            </w:pPr>
            <w:r>
              <w:rPr>
                <w:color w:val="000000"/>
              </w:rPr>
              <w:t>Реакторы:</w:t>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 </w:t>
            </w:r>
            <w:r>
              <w:rPr>
                <w:color w:val="000000"/>
              </w:rPr>
              <w:t>7.1</w:t>
            </w:r>
          </w:p>
        </w:tc>
        <w:tc>
          <w:tcPr>
            <w:tcW w:w="2192" w:type="dxa"/>
            <w:tcBorders>
              <w:bottom w:val="single" w:sz="4" w:space="0" w:color="000000"/>
              <w:right w:val="single" w:sz="4" w:space="0" w:color="000000"/>
            </w:tcBorders>
            <w:vAlign w:val="center"/>
          </w:tcPr>
          <w:p>
            <w:pPr>
              <w:pStyle w:val="Normal"/>
              <w:rPr>
                <w:color w:val="000000"/>
              </w:rPr>
            </w:pPr>
            <w:r>
              <w:rPr>
                <w:color w:val="000000"/>
              </w:rPr>
              <w:t>токоограничивающий</w:t>
            </w:r>
          </w:p>
        </w:tc>
        <w:tc>
          <w:tcPr>
            <w:tcW w:w="3832" w:type="dxa"/>
            <w:tcBorders>
              <w:bottom w:val="single" w:sz="4" w:space="0" w:color="000000"/>
              <w:right w:val="single" w:sz="4" w:space="0" w:color="000000"/>
            </w:tcBorders>
            <w:vAlign w:val="center"/>
          </w:tcPr>
          <w:p>
            <w:pPr>
              <w:pStyle w:val="Normal"/>
              <w:rPr>
                <w:color w:val="000000"/>
              </w:rPr>
            </w:pPr>
            <w:r>
              <w:rPr>
                <w:color w:val="000000"/>
              </w:rPr>
              <w:t>РТСТ</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2 трехфазных комплекта</w:t>
            </w:r>
          </w:p>
        </w:tc>
        <w:tc>
          <w:tcPr>
            <w:tcW w:w="1701" w:type="dxa"/>
            <w:tcBorders>
              <w:bottom w:val="single" w:sz="4" w:space="0" w:color="000000"/>
              <w:right w:val="single" w:sz="4" w:space="0" w:color="000000"/>
            </w:tcBorders>
            <w:vAlign w:val="center"/>
          </w:tcPr>
          <w:p>
            <w:pPr>
              <w:pStyle w:val="Normal"/>
              <w:rPr>
                <w:color w:val="000000"/>
              </w:rPr>
            </w:pPr>
            <w:r>
              <w:rPr>
                <w:color w:val="000000"/>
              </w:rPr>
              <w:t>новое</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r>
          </w:p>
        </w:tc>
        <w:tc>
          <w:tcPr>
            <w:tcW w:w="1742" w:type="dxa"/>
            <w:tcBorders>
              <w:bottom w:val="single" w:sz="4" w:space="0" w:color="000000"/>
              <w:right w:val="single" w:sz="4" w:space="0" w:color="000000"/>
            </w:tcBorders>
            <w:vAlign w:val="center"/>
          </w:tcPr>
          <w:p>
            <w:pPr>
              <w:pStyle w:val="Normal"/>
              <w:rPr>
                <w:color w:val="000000"/>
              </w:rPr>
            </w:pPr>
            <w:r>
              <w:rPr>
                <w:color w:val="000000"/>
              </w:rPr>
              <w:t>применяется</w:t>
            </w:r>
          </w:p>
          <w:p>
            <w:pPr>
              <w:pStyle w:val="Normal"/>
              <w:rPr>
                <w:color w:val="000000"/>
              </w:rPr>
            </w:pPr>
            <w:r>
              <w:rPr>
                <w:color w:val="000000"/>
              </w:rPr>
              <w:t>существующий</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 </w:t>
            </w:r>
            <w:r>
              <w:rPr>
                <w:color w:val="000000"/>
              </w:rPr>
              <w:t>7.2</w:t>
            </w:r>
          </w:p>
        </w:tc>
        <w:tc>
          <w:tcPr>
            <w:tcW w:w="2192" w:type="dxa"/>
            <w:tcBorders>
              <w:bottom w:val="single" w:sz="4" w:space="0" w:color="000000"/>
              <w:right w:val="single" w:sz="4" w:space="0" w:color="000000"/>
            </w:tcBorders>
            <w:vAlign w:val="center"/>
          </w:tcPr>
          <w:p>
            <w:pPr>
              <w:pStyle w:val="Normal"/>
              <w:rPr>
                <w:color w:val="000000"/>
              </w:rPr>
            </w:pPr>
            <w:r>
              <w:rPr>
                <w:color w:val="000000"/>
              </w:rPr>
              <w:t>сглаживающий</w:t>
            </w:r>
          </w:p>
        </w:tc>
        <w:tc>
          <w:tcPr>
            <w:tcW w:w="3832" w:type="dxa"/>
            <w:tcBorders>
              <w:bottom w:val="single" w:sz="4" w:space="0" w:color="000000"/>
              <w:right w:val="single" w:sz="4" w:space="0" w:color="000000"/>
            </w:tcBorders>
            <w:vAlign w:val="center"/>
          </w:tcPr>
          <w:p>
            <w:pPr>
              <w:pStyle w:val="Normal"/>
              <w:rPr>
                <w:color w:val="000000"/>
              </w:rPr>
            </w:pPr>
            <w:r>
              <w:rPr>
                <w:color w:val="000000"/>
              </w:rPr>
              <w:t>определяются КД</w:t>
            </w:r>
          </w:p>
        </w:tc>
        <w:tc>
          <w:tcPr>
            <w:tcW w:w="1235" w:type="dxa"/>
            <w:tcBorders>
              <w:bottom w:val="single" w:sz="4" w:space="0" w:color="000000"/>
              <w:right w:val="single" w:sz="4" w:space="0" w:color="000000"/>
            </w:tcBorders>
            <w:vAlign w:val="center"/>
          </w:tcPr>
          <w:p>
            <w:pPr>
              <w:pStyle w:val="Normal"/>
              <w:jc w:val="center"/>
              <w:rPr>
                <w:color w:val="000000"/>
              </w:rPr>
            </w:pPr>
            <w:r>
              <w:rPr>
                <w:color w:val="000000"/>
              </w:rPr>
              <w:t> </w:t>
            </w:r>
          </w:p>
        </w:tc>
        <w:tc>
          <w:tcPr>
            <w:tcW w:w="1701" w:type="dxa"/>
            <w:tcBorders>
              <w:bottom w:val="single" w:sz="4" w:space="0" w:color="000000"/>
              <w:right w:val="single" w:sz="4" w:space="0" w:color="000000"/>
            </w:tcBorders>
            <w:vAlign w:val="center"/>
          </w:tcPr>
          <w:p>
            <w:pPr>
              <w:pStyle w:val="Normal"/>
              <w:rPr>
                <w:color w:val="000000"/>
              </w:rPr>
            </w:pPr>
            <w:r>
              <w:rPr>
                <w:color w:val="000000"/>
              </w:rPr>
              <w:t>определяется КД</w:t>
            </w:r>
          </w:p>
        </w:tc>
        <w:tc>
          <w:tcPr>
            <w:tcW w:w="1135" w:type="dxa"/>
            <w:tcBorders>
              <w:bottom w:val="single" w:sz="4" w:space="0" w:color="000000"/>
              <w:right w:val="single" w:sz="4" w:space="0" w:color="000000"/>
            </w:tcBorders>
            <w:vAlign w:val="center"/>
          </w:tcPr>
          <w:p>
            <w:pPr>
              <w:pStyle w:val="Normal"/>
              <w:jc w:val="center"/>
              <w:rPr>
                <w:color w:val="000000"/>
              </w:rPr>
            </w:pPr>
            <w:r>
              <w:rPr>
                <w:color w:val="000000"/>
              </w:rPr>
              <w:t> </w:t>
            </w:r>
          </w:p>
        </w:tc>
        <w:tc>
          <w:tcPr>
            <w:tcW w:w="1742" w:type="dxa"/>
            <w:tcBorders>
              <w:bottom w:val="single" w:sz="4" w:space="0" w:color="000000"/>
              <w:right w:val="single" w:sz="4" w:space="0" w:color="000000"/>
            </w:tcBorders>
            <w:vAlign w:val="center"/>
          </w:tcPr>
          <w:p>
            <w:pPr>
              <w:pStyle w:val="Normal"/>
              <w:rPr>
                <w:color w:val="000000"/>
              </w:rPr>
            </w:pPr>
            <w:r>
              <w:rPr>
                <w:color w:val="000000"/>
              </w:rPr>
              <w:t>применяется</w:t>
            </w:r>
          </w:p>
          <w:p>
            <w:pPr>
              <w:pStyle w:val="Normal"/>
              <w:rPr>
                <w:color w:val="000000"/>
              </w:rPr>
            </w:pPr>
            <w:r>
              <w:rPr>
                <w:color w:val="000000"/>
              </w:rPr>
              <w:t>существующий</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8</w:t>
            </w:r>
          </w:p>
        </w:tc>
        <w:tc>
          <w:tcPr>
            <w:tcW w:w="2192" w:type="dxa"/>
            <w:tcBorders>
              <w:bottom w:val="single" w:sz="4" w:space="0" w:color="000000"/>
              <w:right w:val="single" w:sz="4" w:space="0" w:color="000000"/>
            </w:tcBorders>
            <w:vAlign w:val="center"/>
          </w:tcPr>
          <w:p>
            <w:pPr>
              <w:pStyle w:val="Normal"/>
              <w:rPr>
                <w:color w:val="000000"/>
              </w:rPr>
            </w:pPr>
            <w:r>
              <w:rPr>
                <w:color w:val="000000"/>
              </w:rPr>
              <w:t>ЗИП:</w:t>
            </w:r>
          </w:p>
        </w:tc>
        <w:tc>
          <w:tcPr>
            <w:tcW w:w="3832" w:type="dxa"/>
            <w:tcBorders>
              <w:bottom w:val="single" w:sz="4" w:space="0" w:color="000000"/>
              <w:right w:val="single" w:sz="4" w:space="0" w:color="000000"/>
            </w:tcBorders>
            <w:vAlign w:val="center"/>
          </w:tcPr>
          <w:p>
            <w:pPr>
              <w:pStyle w:val="Normal"/>
              <w:rPr>
                <w:color w:val="000000"/>
              </w:rPr>
            </w:pPr>
            <w:r>
              <w:rPr>
                <w:color w:val="000000"/>
              </w:rPr>
              <w:t xml:space="preserve">Комплект ЗИП на период </w:t>
            </w:r>
          </w:p>
        </w:tc>
        <w:tc>
          <w:tcPr>
            <w:tcW w:w="2936" w:type="dxa"/>
            <w:gridSpan w:val="2"/>
            <w:tcBorders>
              <w:bottom w:val="single" w:sz="4" w:space="0" w:color="000000"/>
              <w:right w:val="single" w:sz="4" w:space="0" w:color="000000"/>
            </w:tcBorders>
            <w:vAlign w:val="center"/>
          </w:tcPr>
          <w:p>
            <w:pPr>
              <w:pStyle w:val="Normal"/>
              <w:rPr>
                <w:color w:val="000000"/>
              </w:rPr>
            </w:pPr>
            <w:r>
              <w:rPr>
                <w:color w:val="000000"/>
              </w:rPr>
              <w:t>В объеме, необходимом для эксплуатации в гарантийный период</w:t>
            </w:r>
          </w:p>
        </w:tc>
        <w:tc>
          <w:tcPr>
            <w:tcW w:w="2877" w:type="dxa"/>
            <w:gridSpan w:val="2"/>
            <w:tcBorders>
              <w:bottom w:val="single" w:sz="4" w:space="0" w:color="000000"/>
              <w:right w:val="single" w:sz="4" w:space="0" w:color="000000"/>
            </w:tcBorders>
            <w:vAlign w:val="center"/>
          </w:tcPr>
          <w:p>
            <w:pPr>
              <w:pStyle w:val="Normal"/>
              <w:rPr>
                <w:color w:val="000000"/>
              </w:rPr>
            </w:pPr>
            <w:r>
              <w:rPr>
                <w:color w:val="000000"/>
              </w:rPr>
              <w:t>В объеме, необходимом для эксплуатации в гарантийный период</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9</w:t>
            </w:r>
          </w:p>
        </w:tc>
        <w:tc>
          <w:tcPr>
            <w:tcW w:w="14998" w:type="dxa"/>
            <w:gridSpan w:val="8"/>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Шкафы питания ШП:</w:t>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 </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 переменной 220</w:t>
            </w:r>
          </w:p>
        </w:tc>
        <w:tc>
          <w:tcPr>
            <w:tcW w:w="2936" w:type="dxa"/>
            <w:gridSpan w:val="2"/>
            <w:tcBorders>
              <w:bottom w:val="single" w:sz="4" w:space="0" w:color="000000"/>
              <w:right w:val="single" w:sz="4" w:space="0" w:color="000000"/>
            </w:tcBorders>
            <w:vAlign w:val="center"/>
          </w:tcPr>
          <w:p>
            <w:pPr>
              <w:pStyle w:val="Normal"/>
              <w:jc w:val="center"/>
              <w:rPr>
                <w:color w:val="000000"/>
              </w:rPr>
            </w:pPr>
            <w:r>
              <w:rPr>
                <w:color w:val="000000"/>
              </w:rPr>
            </w:r>
          </w:p>
          <w:p>
            <w:pPr>
              <w:pStyle w:val="Normal"/>
              <w:jc w:val="center"/>
              <w:rPr>
                <w:color w:val="000000"/>
              </w:rPr>
            </w:pPr>
            <w:r>
              <w:rPr>
                <w:color w:val="000000"/>
              </w:rPr>
              <w:t>учтены в объеме СОПТиСН</w:t>
            </w:r>
          </w:p>
        </w:tc>
        <w:tc>
          <w:tcPr>
            <w:tcW w:w="2877" w:type="dxa"/>
            <w:gridSpan w:val="2"/>
            <w:tcBorders>
              <w:bottom w:val="single" w:sz="4" w:space="0" w:color="000000"/>
              <w:right w:val="single" w:sz="4" w:space="0" w:color="000000"/>
            </w:tcBorders>
            <w:vAlign w:val="center"/>
          </w:tcPr>
          <w:p>
            <w:pPr>
              <w:pStyle w:val="Normal"/>
              <w:jc w:val="center"/>
              <w:rPr>
                <w:color w:val="000000"/>
              </w:rPr>
            </w:pPr>
            <w:r>
              <w:rPr>
                <w:color w:val="000000"/>
              </w:rPr>
              <w:t>учтены в объеме СОПТиСН</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t>Учтены в объеме СОПТиСН</w:t>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 </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ШП постоянной 220</w:t>
            </w:r>
          </w:p>
        </w:tc>
        <w:tc>
          <w:tcPr>
            <w:tcW w:w="2936" w:type="dxa"/>
            <w:gridSpan w:val="2"/>
            <w:tcBorders>
              <w:bottom w:val="single" w:sz="4" w:space="0" w:color="000000"/>
              <w:right w:val="single" w:sz="4" w:space="0" w:color="000000"/>
            </w:tcBorders>
            <w:vAlign w:val="center"/>
          </w:tcPr>
          <w:p>
            <w:pPr>
              <w:pStyle w:val="Normal"/>
              <w:jc w:val="center"/>
              <w:rPr>
                <w:color w:val="000000"/>
              </w:rPr>
            </w:pPr>
            <w:r>
              <w:rPr>
                <w:color w:val="000000"/>
              </w:rPr>
            </w:r>
          </w:p>
          <w:p>
            <w:pPr>
              <w:pStyle w:val="Normal"/>
              <w:jc w:val="center"/>
              <w:rPr>
                <w:color w:val="000000"/>
              </w:rPr>
            </w:pPr>
            <w:r>
              <w:rPr>
                <w:color w:val="000000"/>
              </w:rPr>
              <w:t>учтены в объеме СОПТиСН</w:t>
            </w:r>
          </w:p>
        </w:tc>
        <w:tc>
          <w:tcPr>
            <w:tcW w:w="2877" w:type="dxa"/>
            <w:gridSpan w:val="2"/>
            <w:tcBorders>
              <w:bottom w:val="single" w:sz="4" w:space="0" w:color="000000"/>
              <w:right w:val="single" w:sz="4" w:space="0" w:color="000000"/>
            </w:tcBorders>
            <w:vAlign w:val="center"/>
          </w:tcPr>
          <w:p>
            <w:pPr>
              <w:pStyle w:val="Normal"/>
              <w:jc w:val="center"/>
              <w:rPr>
                <w:color w:val="000000"/>
              </w:rPr>
            </w:pPr>
            <w:r>
              <w:rPr>
                <w:color w:val="000000"/>
              </w:rPr>
              <w:t>учтены в объеме СОПТиСН</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t>Учтены в объеме СОПТиСН</w:t>
            </w:r>
          </w:p>
        </w:tc>
        <w:tc>
          <w:tcPr>
            <w:tcW w:w="3" w:type="dxa"/>
            <w:tcBorders/>
          </w:tcPr>
          <w:p>
            <w:pPr>
              <w:pStyle w:val="Normal"/>
              <w:rPr/>
            </w:pPr>
            <w:r>
              <w:rPr/>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10</w:t>
            </w:r>
          </w:p>
        </w:tc>
        <w:tc>
          <w:tcPr>
            <w:tcW w:w="14998" w:type="dxa"/>
            <w:gridSpan w:val="8"/>
            <w:tcBorders>
              <w:top w:val="single" w:sz="4" w:space="0" w:color="000000"/>
              <w:bottom w:val="single" w:sz="4" w:space="0" w:color="000000"/>
              <w:right w:val="single" w:sz="4" w:space="0" w:color="000000"/>
            </w:tcBorders>
            <w:vAlign w:val="center"/>
          </w:tcPr>
          <w:p>
            <w:pPr>
              <w:pStyle w:val="Normal"/>
              <w:rPr>
                <w:color w:val="000000"/>
              </w:rPr>
            </w:pPr>
            <w:r>
              <w:rPr>
                <w:color w:val="000000"/>
              </w:rPr>
              <w:t>Шкаф мониторинга трансформатора АСМУТ:</w:t>
            </w:r>
          </w:p>
        </w:tc>
      </w:tr>
      <w:tr>
        <w:trPr>
          <w:trHeight w:val="20" w:hRule="atLeast"/>
        </w:trPr>
        <w:tc>
          <w:tcPr>
            <w:tcW w:w="634" w:type="dxa"/>
            <w:tcBorders>
              <w:left w:val="single" w:sz="4" w:space="0" w:color="000000"/>
              <w:bottom w:val="single" w:sz="4" w:space="0" w:color="000000"/>
              <w:right w:val="single" w:sz="4" w:space="0" w:color="000000"/>
            </w:tcBorders>
            <w:vAlign w:val="center"/>
          </w:tcPr>
          <w:p>
            <w:pPr>
              <w:pStyle w:val="Normal"/>
              <w:jc w:val="center"/>
              <w:rPr>
                <w:color w:val="000000"/>
              </w:rPr>
            </w:pPr>
            <w:r>
              <w:rPr>
                <w:color w:val="000000"/>
              </w:rPr>
              <w:t> </w:t>
            </w:r>
          </w:p>
        </w:tc>
        <w:tc>
          <w:tcPr>
            <w:tcW w:w="2192" w:type="dxa"/>
            <w:tcBorders>
              <w:bottom w:val="single" w:sz="4" w:space="0" w:color="000000"/>
              <w:right w:val="single" w:sz="4" w:space="0" w:color="000000"/>
            </w:tcBorders>
            <w:vAlign w:val="center"/>
          </w:tcPr>
          <w:p>
            <w:pPr>
              <w:pStyle w:val="Normal"/>
              <w:rPr>
                <w:color w:val="000000"/>
              </w:rPr>
            </w:pPr>
            <w:r>
              <w:rPr>
                <w:color w:val="000000"/>
              </w:rPr>
              <w:t> </w:t>
            </w:r>
          </w:p>
        </w:tc>
        <w:tc>
          <w:tcPr>
            <w:tcW w:w="3832" w:type="dxa"/>
            <w:tcBorders>
              <w:bottom w:val="single" w:sz="4" w:space="0" w:color="000000"/>
              <w:right w:val="single" w:sz="4" w:space="0" w:color="000000"/>
            </w:tcBorders>
            <w:vAlign w:val="center"/>
          </w:tcPr>
          <w:p>
            <w:pPr>
              <w:pStyle w:val="Normal"/>
              <w:rPr>
                <w:color w:val="000000"/>
              </w:rPr>
            </w:pPr>
            <w:r>
              <w:rPr>
                <w:color w:val="000000"/>
              </w:rPr>
              <w:t>АСМУТ</w:t>
            </w:r>
          </w:p>
        </w:tc>
        <w:tc>
          <w:tcPr>
            <w:tcW w:w="2936" w:type="dxa"/>
            <w:gridSpan w:val="2"/>
            <w:tcBorders>
              <w:bottom w:val="single" w:sz="4" w:space="0" w:color="000000"/>
              <w:right w:val="single" w:sz="4" w:space="0" w:color="000000"/>
            </w:tcBorders>
            <w:vAlign w:val="center"/>
          </w:tcPr>
          <w:p>
            <w:pPr>
              <w:pStyle w:val="Normal"/>
              <w:jc w:val="center"/>
              <w:rPr>
                <w:color w:val="000000"/>
              </w:rPr>
            </w:pPr>
            <w:r>
              <w:rPr>
                <w:color w:val="000000"/>
              </w:rPr>
              <w:t>учтен в объеме работ по согласующим трансформаторам</w:t>
            </w:r>
          </w:p>
        </w:tc>
        <w:tc>
          <w:tcPr>
            <w:tcW w:w="2877" w:type="dxa"/>
            <w:gridSpan w:val="2"/>
            <w:tcBorders>
              <w:bottom w:val="single" w:sz="4" w:space="0" w:color="000000"/>
              <w:right w:val="single" w:sz="4" w:space="0" w:color="000000"/>
            </w:tcBorders>
            <w:vAlign w:val="center"/>
          </w:tcPr>
          <w:p>
            <w:pPr>
              <w:pStyle w:val="Normal"/>
              <w:jc w:val="center"/>
              <w:rPr>
                <w:color w:val="000000"/>
              </w:rPr>
            </w:pPr>
            <w:r>
              <w:rPr>
                <w:color w:val="000000"/>
              </w:rPr>
              <w:t>учтен в объеме работ по согласующим трансформаторам</w:t>
            </w:r>
          </w:p>
        </w:tc>
        <w:tc>
          <w:tcPr>
            <w:tcW w:w="3158" w:type="dxa"/>
            <w:tcBorders>
              <w:bottom w:val="single" w:sz="4" w:space="0" w:color="000000"/>
              <w:right w:val="single" w:sz="4" w:space="0" w:color="000000"/>
            </w:tcBorders>
            <w:vAlign w:val="center"/>
          </w:tcPr>
          <w:p>
            <w:pPr>
              <w:pStyle w:val="Normal"/>
              <w:jc w:val="center"/>
              <w:rPr>
                <w:color w:val="000000"/>
              </w:rPr>
            </w:pPr>
            <w:r>
              <w:rPr>
                <w:color w:val="000000"/>
              </w:rPr>
              <w:t>учтен в объеме работ по согласующим трансформаторам</w:t>
            </w:r>
          </w:p>
        </w:tc>
        <w:tc>
          <w:tcPr>
            <w:tcW w:w="3" w:type="dxa"/>
            <w:tcBorders/>
          </w:tcPr>
          <w:p>
            <w:pPr>
              <w:pStyle w:val="Normal"/>
              <w:rPr/>
            </w:pPr>
            <w:r>
              <w:rPr/>
            </w:r>
          </w:p>
        </w:tc>
      </w:tr>
    </w:tbl>
    <w:p>
      <w:pPr>
        <w:sectPr>
          <w:headerReference w:type="default" r:id="rId4"/>
          <w:headerReference w:type="first" r:id="rId5"/>
          <w:footerReference w:type="default" r:id="rId6"/>
          <w:footerReference w:type="first" r:id="rId7"/>
          <w:type w:val="nextPage"/>
          <w:pgSz w:orient="landscape" w:w="16838" w:h="11906"/>
          <w:pgMar w:left="851" w:right="1134" w:gutter="0" w:header="709" w:top="1418" w:footer="709" w:bottom="851"/>
          <w:pgNumType w:fmt="decimal"/>
          <w:formProt w:val="false"/>
          <w:textDirection w:val="lrTb"/>
          <w:docGrid w:type="default" w:linePitch="360" w:charSpace="114688"/>
        </w:sectPr>
      </w:pPr>
    </w:p>
    <w:p>
      <w:pPr>
        <w:pStyle w:val="Style37"/>
        <w:ind w:firstLine="567" w:left="0"/>
        <w:rPr>
          <w:b/>
        </w:rPr>
      </w:pPr>
      <w:bookmarkStart w:id="24" w:name="_Toc237337350"/>
      <w:bookmarkStart w:id="25" w:name="_Toc75446577"/>
      <w:r>
        <w:rPr>
          <w:b/>
        </w:rPr>
        <w:t>Таблица 2.4 Перечень и объем закупаемых работ и сопутствующих услуг</w:t>
      </w:r>
      <w:bookmarkEnd w:id="24"/>
      <w:bookmarkEnd w:id="25"/>
    </w:p>
    <w:tbl>
      <w:tblPr>
        <w:tblW w:w="9810"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849"/>
        <w:gridCol w:w="4679"/>
        <w:gridCol w:w="2158"/>
        <w:gridCol w:w="2123"/>
      </w:tblGrid>
      <w:tr>
        <w:trPr/>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w:t>
            </w:r>
          </w:p>
          <w:p>
            <w:pPr>
              <w:pStyle w:val="Normal"/>
              <w:keepNext w:val="true"/>
              <w:jc w:val="center"/>
              <w:rPr>
                <w:sz w:val="24"/>
                <w:szCs w:val="24"/>
              </w:rPr>
            </w:pPr>
            <w:r>
              <w:rPr>
                <w:sz w:val="24"/>
                <w:szCs w:val="24"/>
              </w:rPr>
              <w:t>п/п</w:t>
            </w:r>
          </w:p>
        </w:tc>
        <w:tc>
          <w:tcPr>
            <w:tcW w:w="4679"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Наименование услуг</w:t>
            </w:r>
          </w:p>
        </w:tc>
        <w:tc>
          <w:tcPr>
            <w:tcW w:w="2158"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Единица измерения</w:t>
            </w:r>
          </w:p>
        </w:tc>
        <w:tc>
          <w:tcPr>
            <w:tcW w:w="2123" w:type="dxa"/>
            <w:tcBorders>
              <w:top w:val="single" w:sz="4" w:space="0" w:color="000000"/>
              <w:left w:val="single" w:sz="4" w:space="0" w:color="000000"/>
              <w:bottom w:val="single" w:sz="4" w:space="0" w:color="000000"/>
              <w:right w:val="single" w:sz="4" w:space="0" w:color="000000"/>
            </w:tcBorders>
            <w:vAlign w:val="center"/>
          </w:tcPr>
          <w:p>
            <w:pPr>
              <w:pStyle w:val="Normal"/>
              <w:keepNext w:val="true"/>
              <w:jc w:val="center"/>
              <w:rPr>
                <w:sz w:val="24"/>
                <w:szCs w:val="24"/>
              </w:rPr>
            </w:pPr>
            <w:r>
              <w:rPr>
                <w:sz w:val="24"/>
                <w:szCs w:val="24"/>
              </w:rPr>
              <w:t>Количество</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7"/>
              </w:numPr>
              <w:spacing w:before="0" w:after="0"/>
              <w:contextualSpacing/>
              <w:rPr>
                <w:rFonts w:eastAsia="Calibri"/>
                <w:sz w:val="24"/>
                <w:szCs w:val="24"/>
              </w:rPr>
            </w:pPr>
            <w:r>
              <w:rPr>
                <w:rFonts w:eastAsia="Calibri"/>
                <w:sz w:val="24"/>
                <w:szCs w:val="24"/>
              </w:rPr>
            </w:r>
          </w:p>
        </w:tc>
        <w:tc>
          <w:tcPr>
            <w:tcW w:w="4679" w:type="dxa"/>
            <w:tcBorders>
              <w:top w:val="single" w:sz="4" w:space="0" w:color="000000"/>
              <w:left w:val="single" w:sz="4" w:space="0" w:color="000000"/>
              <w:bottom w:val="single" w:sz="4" w:space="0" w:color="000000"/>
              <w:right w:val="single" w:sz="4" w:space="0" w:color="000000"/>
            </w:tcBorders>
          </w:tcPr>
          <w:p>
            <w:pPr>
              <w:pStyle w:val="Normal"/>
              <w:rPr>
                <w:iCs/>
                <w:sz w:val="24"/>
                <w:szCs w:val="24"/>
              </w:rPr>
            </w:pPr>
            <w:r>
              <w:rPr>
                <w:iCs/>
                <w:sz w:val="24"/>
                <w:szCs w:val="24"/>
              </w:rPr>
              <w:t>Работы по восстановлению оборудования</w:t>
            </w:r>
          </w:p>
        </w:tc>
        <w:tc>
          <w:tcPr>
            <w:tcW w:w="2158"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Условная единица</w:t>
            </w:r>
          </w:p>
        </w:tc>
        <w:tc>
          <w:tcPr>
            <w:tcW w:w="2123"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1</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7"/>
              </w:numPr>
              <w:spacing w:before="0" w:after="0"/>
              <w:contextualSpacing/>
              <w:rPr>
                <w:rFonts w:eastAsia="Calibri"/>
                <w:sz w:val="24"/>
                <w:szCs w:val="24"/>
              </w:rPr>
            </w:pPr>
            <w:r>
              <w:rPr>
                <w:rFonts w:eastAsia="Calibri"/>
                <w:sz w:val="24"/>
                <w:szCs w:val="24"/>
              </w:rPr>
            </w:r>
          </w:p>
        </w:tc>
        <w:tc>
          <w:tcPr>
            <w:tcW w:w="467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iCs/>
                <w:sz w:val="24"/>
                <w:szCs w:val="24"/>
              </w:rPr>
              <w:t>Шефмонтаж</w:t>
            </w:r>
          </w:p>
        </w:tc>
        <w:tc>
          <w:tcPr>
            <w:tcW w:w="2158"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Условная единица</w:t>
            </w:r>
          </w:p>
        </w:tc>
        <w:tc>
          <w:tcPr>
            <w:tcW w:w="2123"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1</w:t>
            </w:r>
          </w:p>
        </w:tc>
      </w:tr>
      <w:tr>
        <w:trPr/>
        <w:tc>
          <w:tcPr>
            <w:tcW w:w="849" w:type="dxa"/>
            <w:tcBorders>
              <w:top w:val="single" w:sz="4" w:space="0" w:color="000000"/>
              <w:left w:val="single" w:sz="4" w:space="0" w:color="000000"/>
              <w:bottom w:val="single" w:sz="4" w:space="0" w:color="000000"/>
              <w:right w:val="single" w:sz="4" w:space="0" w:color="000000"/>
            </w:tcBorders>
          </w:tcPr>
          <w:p>
            <w:pPr>
              <w:pStyle w:val="Normal"/>
              <w:widowControl/>
              <w:numPr>
                <w:ilvl w:val="0"/>
                <w:numId w:val="7"/>
              </w:numPr>
              <w:spacing w:before="0" w:after="0"/>
              <w:contextualSpacing/>
              <w:rPr>
                <w:rFonts w:eastAsia="Calibri"/>
                <w:sz w:val="24"/>
                <w:szCs w:val="24"/>
              </w:rPr>
            </w:pPr>
            <w:r>
              <w:rPr>
                <w:rFonts w:eastAsia="Calibri"/>
                <w:sz w:val="24"/>
                <w:szCs w:val="24"/>
              </w:rPr>
            </w:r>
          </w:p>
        </w:tc>
        <w:tc>
          <w:tcPr>
            <w:tcW w:w="4679" w:type="dxa"/>
            <w:tcBorders>
              <w:top w:val="single" w:sz="4" w:space="0" w:color="000000"/>
              <w:left w:val="single" w:sz="4" w:space="0" w:color="000000"/>
              <w:bottom w:val="single" w:sz="4" w:space="0" w:color="000000"/>
              <w:right w:val="single" w:sz="4" w:space="0" w:color="000000"/>
            </w:tcBorders>
          </w:tcPr>
          <w:p>
            <w:pPr>
              <w:pStyle w:val="Normal"/>
              <w:rPr>
                <w:iCs/>
                <w:sz w:val="24"/>
                <w:szCs w:val="24"/>
              </w:rPr>
            </w:pPr>
            <w:r>
              <w:rPr>
                <w:iCs/>
                <w:sz w:val="24"/>
                <w:szCs w:val="24"/>
              </w:rPr>
              <w:t>Шефналадка</w:t>
            </w:r>
          </w:p>
        </w:tc>
        <w:tc>
          <w:tcPr>
            <w:tcW w:w="2158"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Условная единица</w:t>
            </w:r>
          </w:p>
        </w:tc>
        <w:tc>
          <w:tcPr>
            <w:tcW w:w="2123" w:type="dxa"/>
            <w:tcBorders>
              <w:top w:val="single" w:sz="4" w:space="0" w:color="000000"/>
              <w:left w:val="single" w:sz="4" w:space="0" w:color="000000"/>
              <w:bottom w:val="single" w:sz="4" w:space="0" w:color="000000"/>
              <w:right w:val="single" w:sz="4" w:space="0" w:color="000000"/>
            </w:tcBorders>
          </w:tcPr>
          <w:p>
            <w:pPr>
              <w:pStyle w:val="Normal"/>
              <w:jc w:val="center"/>
              <w:rPr>
                <w:sz w:val="24"/>
                <w:szCs w:val="24"/>
              </w:rPr>
            </w:pPr>
            <w:r>
              <w:rPr>
                <w:iCs/>
                <w:sz w:val="24"/>
                <w:szCs w:val="24"/>
              </w:rPr>
              <w:t>1</w:t>
            </w:r>
          </w:p>
        </w:tc>
      </w:tr>
    </w:tbl>
    <w:p>
      <w:pPr>
        <w:pStyle w:val="411"/>
        <w:numPr>
          <w:ilvl w:val="0"/>
          <w:numId w:val="0"/>
        </w:numPr>
        <w:shd w:val="clear" w:color="auto" w:fill="FFFFFF" w:themeFill="background1"/>
        <w:ind w:hanging="0" w:left="1224"/>
        <w:rPr/>
      </w:pPr>
      <w:bookmarkStart w:id="26" w:name="_Toc127455449"/>
      <w:bookmarkStart w:id="27" w:name="_Toc127455429"/>
      <w:bookmarkStart w:id="28" w:name="_Toc127455444"/>
      <w:bookmarkStart w:id="29" w:name="_Toc127455427"/>
      <w:bookmarkStart w:id="30" w:name="_Toc127455434"/>
      <w:bookmarkStart w:id="31" w:name="_Toc127455439"/>
      <w:bookmarkEnd w:id="26"/>
      <w:bookmarkEnd w:id="27"/>
      <w:bookmarkEnd w:id="28"/>
      <w:bookmarkEnd w:id="29"/>
      <w:bookmarkEnd w:id="30"/>
      <w:bookmarkEnd w:id="31"/>
      <w:r>
        <w:rPr/>
        <w:t xml:space="preserve">2.3.2. </w:t>
      </w:r>
      <w:bookmarkStart w:id="32" w:name="_Toc51339696"/>
      <w:bookmarkStart w:id="33" w:name="_Toc237337343"/>
      <w:r>
        <w:rPr/>
        <w:t xml:space="preserve">Требования </w:t>
      </w:r>
      <w:bookmarkEnd w:id="32"/>
      <w:r>
        <w:rPr/>
        <w:t>к срокам поставки продукции и оказания сопутствующих услуг</w:t>
      </w:r>
      <w:bookmarkEnd w:id="33"/>
    </w:p>
    <w:p>
      <w:pPr>
        <w:pStyle w:val="Style37"/>
        <w:ind w:left="0"/>
        <w:jc w:val="left"/>
        <w:rPr>
          <w:b/>
        </w:rPr>
      </w:pPr>
      <w:bookmarkStart w:id="34" w:name="_Toc237337351"/>
      <w:bookmarkStart w:id="35" w:name="_Toc50125127"/>
      <w:bookmarkStart w:id="36" w:name="_Toc51339697"/>
      <w:r>
        <w:rPr>
          <w:b/>
        </w:rPr>
        <w:t>Таблица 2.</w:t>
      </w:r>
      <w:bookmarkStart w:id="37" w:name="_Hlk50465284"/>
      <w:r>
        <w:rPr>
          <w:b/>
        </w:rPr>
        <w:t xml:space="preserve">5 Требования по срокам </w:t>
      </w:r>
      <w:bookmarkEnd w:id="35"/>
      <w:bookmarkEnd w:id="36"/>
      <w:bookmarkEnd w:id="37"/>
      <w:r>
        <w:rPr>
          <w:b/>
        </w:rPr>
        <w:t>поставки продукции</w:t>
      </w:r>
      <w:bookmarkEnd w:id="34"/>
      <w:r>
        <w:rPr>
          <w:b/>
        </w:rPr>
        <w:t xml:space="preserve"> </w:t>
      </w:r>
    </w:p>
    <w:tbl>
      <w:tblPr>
        <w:tblW w:w="977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131"/>
        <w:gridCol w:w="2549"/>
        <w:gridCol w:w="2979"/>
        <w:gridCol w:w="3116"/>
      </w:tblGrid>
      <w:tr>
        <w:trPr/>
        <w:tc>
          <w:tcPr>
            <w:tcW w:w="1131"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 xml:space="preserve">№ </w:t>
            </w:r>
            <w:r>
              <w:rPr>
                <w:sz w:val="24"/>
                <w:szCs w:val="24"/>
              </w:rPr>
              <w:t>п/п</w:t>
            </w:r>
          </w:p>
        </w:tc>
        <w:tc>
          <w:tcPr>
            <w:tcW w:w="2549"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Наименование продукции / партии продукции</w:t>
            </w:r>
          </w:p>
        </w:tc>
        <w:tc>
          <w:tcPr>
            <w:tcW w:w="2979" w:type="dxa"/>
            <w:tcBorders>
              <w:top w:val="single" w:sz="4" w:space="0" w:color="00000A"/>
              <w:left w:val="single" w:sz="4" w:space="0" w:color="00000A"/>
              <w:bottom w:val="single" w:sz="4" w:space="0" w:color="00000A"/>
              <w:right w:val="single" w:sz="4" w:space="0" w:color="00000A"/>
            </w:tcBorders>
          </w:tcPr>
          <w:p>
            <w:pPr>
              <w:pStyle w:val="Normal"/>
              <w:jc w:val="center"/>
              <w:rPr>
                <w:sz w:val="24"/>
                <w:szCs w:val="24"/>
              </w:rPr>
            </w:pPr>
            <w:r>
              <w:rPr>
                <w:sz w:val="24"/>
                <w:szCs w:val="24"/>
              </w:rPr>
              <w:t>Требования к началу срока поставки продукции</w:t>
            </w:r>
          </w:p>
        </w:tc>
        <w:tc>
          <w:tcPr>
            <w:tcW w:w="3116" w:type="dxa"/>
            <w:tcBorders>
              <w:top w:val="single" w:sz="4" w:space="0" w:color="00000A"/>
              <w:left w:val="single" w:sz="4" w:space="0" w:color="00000A"/>
              <w:bottom w:val="single" w:sz="4" w:space="0" w:color="00000A"/>
              <w:right w:val="single" w:sz="4" w:space="0" w:color="00000A"/>
            </w:tcBorders>
            <w:vAlign w:val="center"/>
          </w:tcPr>
          <w:p>
            <w:pPr>
              <w:pStyle w:val="Normal"/>
              <w:jc w:val="center"/>
              <w:rPr>
                <w:sz w:val="24"/>
                <w:szCs w:val="24"/>
              </w:rPr>
            </w:pPr>
            <w:r>
              <w:rPr>
                <w:sz w:val="24"/>
                <w:szCs w:val="24"/>
              </w:rPr>
              <w:t>Требования к окончанию срока поставки продукции</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0"/>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Поставка оборудования</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30.06.2027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Этап 1: ПТУ 3</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30.06.2027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Этап 2: токоограничивающие реакторы</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30.12.2027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Этап 2: сглаживающие реакторы</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30.12.2027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0"/>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iCs/>
                <w:sz w:val="24"/>
                <w:szCs w:val="24"/>
              </w:rPr>
              <w:t>Работы по восстановлению оборудования</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30.04.2028</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iCs/>
                <w:sz w:val="24"/>
                <w:szCs w:val="24"/>
              </w:rPr>
            </w:pPr>
            <w:r>
              <w:rPr>
                <w:iCs/>
                <w:sz w:val="24"/>
                <w:szCs w:val="24"/>
              </w:rPr>
              <w:t>Этап 2: ПТУ 4</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30.12.2027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iCs/>
                <w:sz w:val="24"/>
                <w:szCs w:val="24"/>
              </w:rPr>
            </w:pPr>
            <w:r>
              <w:rPr>
                <w:iCs/>
                <w:sz w:val="24"/>
                <w:szCs w:val="24"/>
              </w:rPr>
              <w:t>Этап 1: токоограничивающие реакторы</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30.06.2027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1"/>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iCs/>
                <w:sz w:val="24"/>
                <w:szCs w:val="24"/>
              </w:rPr>
            </w:pPr>
            <w:r>
              <w:rPr>
                <w:sz w:val="24"/>
                <w:szCs w:val="24"/>
              </w:rPr>
              <w:t>Этап 1: сглаживающие реакторы</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 календарных дней 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30.06.2027</w:t>
            </w:r>
          </w:p>
        </w:tc>
      </w:tr>
      <w:tr>
        <w:trPr/>
        <w:tc>
          <w:tcPr>
            <w:tcW w:w="1131" w:type="dxa"/>
            <w:tcBorders>
              <w:top w:val="single" w:sz="4" w:space="0" w:color="00000A"/>
              <w:left w:val="single" w:sz="4" w:space="0" w:color="00000A"/>
              <w:bottom w:val="single" w:sz="4" w:space="0" w:color="00000A"/>
              <w:right w:val="single" w:sz="4" w:space="0" w:color="00000A"/>
            </w:tcBorders>
          </w:tcPr>
          <w:p>
            <w:pPr>
              <w:pStyle w:val="ListParagraph"/>
              <w:widowControl/>
              <w:numPr>
                <w:ilvl w:val="0"/>
                <w:numId w:val="6"/>
              </w:numPr>
              <w:rPr/>
            </w:pPr>
            <w:r>
              <w:rPr/>
            </w:r>
          </w:p>
        </w:tc>
        <w:tc>
          <w:tcPr>
            <w:tcW w:w="254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Сопутствующие услуги по пп.2÷3 Таблицы 2.4</w:t>
            </w:r>
          </w:p>
        </w:tc>
        <w:tc>
          <w:tcPr>
            <w:tcW w:w="2979"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С даты, следующей за датой подписания Договора</w:t>
            </w:r>
          </w:p>
        </w:tc>
        <w:tc>
          <w:tcPr>
            <w:tcW w:w="3116" w:type="dxa"/>
            <w:tcBorders>
              <w:top w:val="single" w:sz="4" w:space="0" w:color="00000A"/>
              <w:left w:val="single" w:sz="4" w:space="0" w:color="00000A"/>
              <w:bottom w:val="single" w:sz="4" w:space="0" w:color="00000A"/>
              <w:right w:val="single" w:sz="4" w:space="0" w:color="00000A"/>
            </w:tcBorders>
          </w:tcPr>
          <w:p>
            <w:pPr>
              <w:pStyle w:val="Normal"/>
              <w:rPr>
                <w:sz w:val="24"/>
                <w:szCs w:val="24"/>
              </w:rPr>
            </w:pPr>
            <w:r>
              <w:rPr>
                <w:sz w:val="24"/>
                <w:szCs w:val="24"/>
              </w:rPr>
              <w:t>Не позднее 30.10.2028</w:t>
            </w:r>
          </w:p>
        </w:tc>
      </w:tr>
    </w:tbl>
    <w:p>
      <w:pPr>
        <w:sectPr>
          <w:headerReference w:type="default" r:id="rId8"/>
          <w:headerReference w:type="first" r:id="rId9"/>
          <w:footerReference w:type="default" r:id="rId10"/>
          <w:footerReference w:type="first" r:id="rId11"/>
          <w:type w:val="nextPage"/>
          <w:pgSz w:w="11906" w:h="16838"/>
          <w:pgMar w:left="1418" w:right="851" w:gutter="0" w:header="709" w:top="1134" w:footer="709" w:bottom="851"/>
          <w:pgNumType w:fmt="decimal"/>
          <w:formProt w:val="false"/>
          <w:textDirection w:val="lrTb"/>
          <w:docGrid w:type="default" w:linePitch="360" w:charSpace="114688"/>
        </w:sectPr>
      </w:pPr>
      <w:r>
        <w:br w:type="page"/>
      </w:r>
    </w:p>
    <w:p>
      <w:pPr>
        <w:pStyle w:val="411"/>
        <w:numPr>
          <w:ilvl w:val="0"/>
          <w:numId w:val="0"/>
        </w:numPr>
        <w:shd w:val="clear" w:color="auto" w:fill="FFFFFF" w:themeFill="background1"/>
        <w:ind w:hanging="0" w:left="792"/>
        <w:rPr>
          <w:bCs w:val="false"/>
          <w:iCs/>
        </w:rPr>
      </w:pPr>
      <w:bookmarkStart w:id="38" w:name="_Toc46743511_Копия_1"/>
      <w:bookmarkEnd w:id="38"/>
      <w:r>
        <w:rPr>
          <w:bCs w:val="false"/>
          <w:iCs/>
        </w:rPr>
        <w:t xml:space="preserve">2.4. </w:t>
      </w:r>
      <w:bookmarkStart w:id="39" w:name="_Toc54970190"/>
      <w:r>
        <w:rPr>
          <w:bCs w:val="false"/>
          <w:iCs/>
        </w:rPr>
        <w:t xml:space="preserve">Требования к качеству </w:t>
      </w:r>
      <w:bookmarkEnd w:id="39"/>
      <w:r>
        <w:rPr>
          <w:bCs w:val="false"/>
          <w:iCs/>
        </w:rPr>
        <w:t>продукции</w:t>
      </w:r>
    </w:p>
    <w:p>
      <w:pPr>
        <w:pStyle w:val="411"/>
        <w:numPr>
          <w:ilvl w:val="0"/>
          <w:numId w:val="0"/>
        </w:numPr>
        <w:shd w:val="clear" w:color="auto" w:fill="FFFFFF" w:themeFill="background1"/>
        <w:ind w:hanging="0" w:left="1224"/>
        <w:rPr/>
      </w:pPr>
      <w:bookmarkStart w:id="40" w:name="_Toc54970191"/>
      <w:bookmarkEnd w:id="40"/>
      <w:r>
        <w:rPr>
          <w:bCs w:val="false"/>
          <w:iCs/>
        </w:rPr>
        <w:t xml:space="preserve">2.4.1. </w:t>
      </w:r>
      <w:bookmarkStart w:id="41" w:name="_Toc237337345"/>
      <w:r>
        <w:rPr>
          <w:bCs w:val="false"/>
          <w:iCs/>
        </w:rPr>
        <w:t xml:space="preserve">Требования к техническим характеристикам </w:t>
      </w:r>
      <w:bookmarkEnd w:id="41"/>
      <w:r>
        <w:rPr>
          <w:bCs w:val="false"/>
          <w:iCs/>
        </w:rPr>
        <w:t>преобразователя частоты номинальным напряжением 15,75 кВ</w:t>
      </w:r>
    </w:p>
    <w:p>
      <w:pPr>
        <w:pStyle w:val="Style37"/>
        <w:ind w:left="0"/>
        <w:rPr>
          <w:rStyle w:val="1"/>
          <w:b/>
          <w:color w:val="auto"/>
          <w:u w:val="none"/>
        </w:rPr>
      </w:pPr>
      <w:bookmarkStart w:id="42" w:name="_Toc237337352"/>
      <w:r>
        <w:rPr>
          <w:rStyle w:val="1"/>
          <w:b/>
          <w:color w:val="auto"/>
          <w:u w:val="none"/>
        </w:rPr>
        <w:t xml:space="preserve">Таблица 2.6 Требования к техническим характеристикам </w:t>
      </w:r>
      <w:bookmarkEnd w:id="42"/>
      <w:r>
        <w:rPr>
          <w:b/>
          <w:bCs/>
          <w:iCs/>
        </w:rPr>
        <w:t>преобразователя частоты</w:t>
      </w:r>
      <w:r>
        <w:rPr>
          <w:b/>
          <w:bCs/>
          <w:szCs w:val="24"/>
        </w:rPr>
        <w:t xml:space="preserve"> номинальным напряжением 15,75 кВ</w:t>
      </w:r>
    </w:p>
    <w:tbl>
      <w:tblPr>
        <w:tblStyle w:val="afffff7"/>
        <w:tblW w:w="14917"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963"/>
        <w:gridCol w:w="3685"/>
        <w:gridCol w:w="3733"/>
        <w:gridCol w:w="2362"/>
        <w:gridCol w:w="2125"/>
        <w:gridCol w:w="2"/>
        <w:gridCol w:w="2045"/>
        <w:gridCol w:w="1"/>
      </w:tblGrid>
      <w:tr>
        <w:trPr>
          <w:tblHeader w:val="true"/>
        </w:trPr>
        <w:tc>
          <w:tcPr>
            <w:tcW w:w="963" w:type="dxa"/>
            <w:vMerge w:val="restart"/>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 xml:space="preserve">№ </w:t>
            </w:r>
            <w:r>
              <w:rPr>
                <w:rFonts w:eastAsia="Times New Roman" w:cs="Times New Roman"/>
                <w:b/>
                <w:bCs/>
                <w:kern w:val="0"/>
                <w:sz w:val="24"/>
                <w:szCs w:val="24"/>
                <w:lang w:val="ru-RU" w:eastAsia="ru-RU" w:bidi="ar-SA"/>
              </w:rPr>
              <w:t>п/п</w:t>
            </w:r>
          </w:p>
        </w:tc>
        <w:tc>
          <w:tcPr>
            <w:tcW w:w="3685" w:type="dxa"/>
            <w:vMerge w:val="restart"/>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Наименование параметра</w:t>
            </w:r>
          </w:p>
        </w:tc>
        <w:tc>
          <w:tcPr>
            <w:tcW w:w="3733" w:type="dxa"/>
            <w:vMerge w:val="restart"/>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Требование заказчика</w:t>
            </w:r>
          </w:p>
        </w:tc>
        <w:tc>
          <w:tcPr>
            <w:tcW w:w="4489" w:type="dxa"/>
            <w:gridSpan w:val="3"/>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Способ подтверждения участником соответствия требованиям</w:t>
            </w:r>
          </w:p>
        </w:tc>
        <w:tc>
          <w:tcPr>
            <w:tcW w:w="2045" w:type="dxa"/>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Предложение участника по характеристикам и параметрам</w:t>
            </w:r>
          </w:p>
        </w:tc>
        <w:tc>
          <w:tcPr>
            <w:tcW w:w="1" w:type="dxa"/>
            <w:tcBorders>
              <w:top w:val="nil"/>
              <w:left w:val="nil"/>
              <w:bottom w:val="nil"/>
              <w:right w:val="nil"/>
            </w:tcBorders>
          </w:tcPr>
          <w:p>
            <w:pPr>
              <w:pStyle w:val="Normal"/>
              <w:suppressAutoHyphens w:val="true"/>
              <w:spacing w:before="0" w:after="0"/>
              <w:jc w:val="lef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r>
      <w:tr>
        <w:trPr>
          <w:tblHeader w:val="true"/>
        </w:trPr>
        <w:tc>
          <w:tcPr>
            <w:tcW w:w="963" w:type="dxa"/>
            <w:vMerge w:val="continue"/>
            <w:tcBorders/>
            <w:vAlign w:val="center"/>
          </w:tcPr>
          <w:p>
            <w:pPr>
              <w:pStyle w:val="Normal"/>
              <w:suppressAutoHyphens w:val="true"/>
              <w:spacing w:before="0" w:after="0"/>
              <w:jc w:val="left"/>
              <w:rPr>
                <w:b/>
                <w:bCs/>
                <w:sz w:val="24"/>
              </w:rPr>
            </w:pPr>
            <w:r>
              <w:rPr>
                <w:b/>
                <w:bCs/>
                <w:sz w:val="24"/>
              </w:rPr>
            </w:r>
          </w:p>
        </w:tc>
        <w:tc>
          <w:tcPr>
            <w:tcW w:w="3685" w:type="dxa"/>
            <w:vMerge w:val="continue"/>
            <w:tcBorders/>
            <w:vAlign w:val="center"/>
          </w:tcPr>
          <w:p>
            <w:pPr>
              <w:pStyle w:val="Normal"/>
              <w:suppressAutoHyphens w:val="true"/>
              <w:spacing w:before="0" w:after="0"/>
              <w:jc w:val="left"/>
              <w:rPr>
                <w:b/>
                <w:bCs/>
                <w:sz w:val="24"/>
              </w:rPr>
            </w:pPr>
            <w:r>
              <w:rPr>
                <w:b/>
                <w:bCs/>
                <w:sz w:val="24"/>
              </w:rPr>
            </w:r>
          </w:p>
        </w:tc>
        <w:tc>
          <w:tcPr>
            <w:tcW w:w="3733" w:type="dxa"/>
            <w:vMerge w:val="continue"/>
            <w:tcBorders/>
            <w:vAlign w:val="center"/>
          </w:tcPr>
          <w:p>
            <w:pPr>
              <w:pStyle w:val="Normal"/>
              <w:suppressAutoHyphens w:val="true"/>
              <w:spacing w:before="0" w:after="0"/>
              <w:jc w:val="left"/>
              <w:rPr>
                <w:b/>
                <w:bCs/>
                <w:sz w:val="24"/>
              </w:rPr>
            </w:pPr>
            <w:r>
              <w:rPr>
                <w:b/>
                <w:bCs/>
                <w:sz w:val="24"/>
              </w:rPr>
            </w:r>
          </w:p>
        </w:tc>
        <w:tc>
          <w:tcPr>
            <w:tcW w:w="2362" w:type="dxa"/>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Согласие с требованием/ указание характеристик</w:t>
            </w:r>
          </w:p>
        </w:tc>
        <w:tc>
          <w:tcPr>
            <w:tcW w:w="2125" w:type="dxa"/>
            <w:tcBorders/>
            <w:vAlign w:val="center"/>
          </w:tcPr>
          <w:p>
            <w:pPr>
              <w:pStyle w:val="Normal"/>
              <w:suppressAutoHyphens w:val="true"/>
              <w:spacing w:before="0" w:after="0"/>
              <w:jc w:val="center"/>
              <w:rPr>
                <w:b/>
                <w:bCs/>
                <w:sz w:val="24"/>
                <w:szCs w:val="24"/>
              </w:rPr>
            </w:pPr>
            <w:r>
              <w:rPr>
                <w:rFonts w:eastAsia="Times New Roman" w:cs="Times New Roman"/>
                <w:b/>
                <w:bCs/>
                <w:kern w:val="0"/>
                <w:sz w:val="24"/>
                <w:szCs w:val="24"/>
                <w:lang w:val="ru-RU" w:eastAsia="ru-RU" w:bidi="ar-SA"/>
              </w:rPr>
              <w:t>Предоставление подтверждающего документа или иной способ подтверждения</w:t>
            </w:r>
          </w:p>
        </w:tc>
        <w:tc>
          <w:tcPr>
            <w:tcW w:w="2048" w:type="dxa"/>
            <w:gridSpan w:val="3"/>
            <w:tcBorders/>
            <w:vAlign w:val="center"/>
          </w:tcPr>
          <w:p>
            <w:pPr>
              <w:pStyle w:val="Normal"/>
              <w:suppressAutoHyphens w:val="true"/>
              <w:spacing w:before="0" w:after="0"/>
              <w:jc w:val="left"/>
              <w:rPr>
                <w:b/>
                <w:bCs/>
                <w:sz w:val="24"/>
              </w:rPr>
            </w:pPr>
            <w:r>
              <w:rPr>
                <w:b/>
                <w:bCs/>
                <w:sz w:val="24"/>
              </w:rPr>
            </w:r>
          </w:p>
        </w:tc>
      </w:tr>
      <w:tr>
        <w:trPr>
          <w:tblHeader w:val="true"/>
        </w:trPr>
        <w:tc>
          <w:tcPr>
            <w:tcW w:w="963" w:type="dxa"/>
            <w:tcBorders/>
            <w:vAlign w:val="center"/>
          </w:tcPr>
          <w:p>
            <w:pPr>
              <w:pStyle w:val="Normal"/>
              <w:suppressAutoHyphens w:val="true"/>
              <w:spacing w:before="60" w:after="0"/>
              <w:jc w:val="center"/>
              <w:rPr>
                <w:rFonts w:ascii="Times New Roman" w:hAnsi="Times New Roman" w:eastAsia="Times New Roman" w:cs="Times New Roman"/>
                <w:kern w:val="0"/>
                <w:lang w:val="ru-RU" w:eastAsia="ru-RU" w:bidi="ar-SA"/>
              </w:rPr>
            </w:pPr>
            <w:r>
              <w:rPr>
                <w:rFonts w:eastAsia="Times New Roman" w:cs="Times New Roman"/>
                <w:b/>
                <w:kern w:val="0"/>
                <w:sz w:val="24"/>
                <w:szCs w:val="24"/>
                <w:lang w:val="ru-RU" w:eastAsia="ru-RU" w:bidi="ar-SA"/>
              </w:rPr>
              <w:t>1</w:t>
            </w:r>
          </w:p>
        </w:tc>
        <w:tc>
          <w:tcPr>
            <w:tcW w:w="3685" w:type="dxa"/>
            <w:tcBorders/>
            <w:vAlign w:val="center"/>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2</w:t>
            </w:r>
          </w:p>
        </w:tc>
        <w:tc>
          <w:tcPr>
            <w:tcW w:w="3733" w:type="dxa"/>
            <w:tcBorders/>
            <w:vAlign w:val="center"/>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3</w:t>
            </w:r>
          </w:p>
        </w:tc>
        <w:tc>
          <w:tcPr>
            <w:tcW w:w="2362" w:type="dxa"/>
            <w:tcBorders/>
            <w:vAlign w:val="center"/>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4</w:t>
            </w:r>
          </w:p>
        </w:tc>
        <w:tc>
          <w:tcPr>
            <w:tcW w:w="2125" w:type="dxa"/>
            <w:tcBorders/>
            <w:vAlign w:val="center"/>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5</w:t>
            </w:r>
          </w:p>
        </w:tc>
        <w:tc>
          <w:tcPr>
            <w:tcW w:w="2048" w:type="dxa"/>
            <w:gridSpan w:val="3"/>
            <w:tcBorders/>
            <w:vAlign w:val="center"/>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6</w:t>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43" w:name="_Hlk233616314"/>
            <w:r>
              <w:rPr>
                <w:rFonts w:eastAsia="Times New Roman" w:cs="Times New Roman"/>
                <w:b/>
                <w:kern w:val="0"/>
                <w:sz w:val="24"/>
                <w:szCs w:val="24"/>
                <w:lang w:val="ru-RU" w:eastAsia="ru-RU" w:bidi="ar-SA"/>
              </w:rPr>
              <w:t>Требования к техническим и функциональным характеристикам (включая гарантируемые показатели)</w:t>
            </w:r>
            <w:bookmarkEnd w:id="43"/>
          </w:p>
        </w:tc>
        <w:tc>
          <w:tcPr>
            <w:tcW w:w="2362" w:type="dxa"/>
            <w:tcBorders/>
          </w:tcPr>
          <w:p>
            <w:pPr>
              <w:pStyle w:val="Normal"/>
              <w:suppressAutoHyphens w:val="true"/>
              <w:spacing w:before="0" w:after="0"/>
              <w:jc w:val="center"/>
              <w:rPr>
                <w:b/>
                <w:sz w:val="24"/>
                <w:szCs w:val="24"/>
              </w:rPr>
            </w:pPr>
            <w:r>
              <w:rPr>
                <w:b/>
                <w:sz w:val="24"/>
                <w:szCs w:val="24"/>
              </w:rPr>
            </w:r>
          </w:p>
        </w:tc>
        <w:tc>
          <w:tcPr>
            <w:tcW w:w="2125" w:type="dxa"/>
            <w:tcBorders/>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w:t>
            </w:r>
          </w:p>
        </w:tc>
        <w:tc>
          <w:tcPr>
            <w:tcW w:w="2048" w:type="dxa"/>
            <w:gridSpan w:val="3"/>
            <w:tcBorders/>
          </w:tcPr>
          <w:p>
            <w:pPr>
              <w:pStyle w:val="Normal"/>
              <w:suppressAutoHyphens w:val="true"/>
              <w:spacing w:before="0" w:after="0"/>
              <w:jc w:val="center"/>
              <w:rPr>
                <w:b/>
                <w:sz w:val="24"/>
                <w:szCs w:val="24"/>
              </w:rPr>
            </w:pPr>
            <w:r>
              <w:rPr>
                <w:rFonts w:eastAsia="Times New Roman" w:cs="Times New Roman"/>
                <w:b/>
                <w:kern w:val="0"/>
                <w:sz w:val="24"/>
                <w:szCs w:val="24"/>
                <w:lang w:val="ru-RU" w:eastAsia="ru-RU" w:bidi="ar-SA"/>
              </w:rPr>
              <w:t>-//-</w:t>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Структура ПТУ</w:t>
            </w:r>
          </w:p>
        </w:tc>
        <w:tc>
          <w:tcPr>
            <w:tcW w:w="3733"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Двухзвенный (выпрямитель, инвертор по схеме Ларионова) тиристорный преобразователь частоты</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Основные функциональные части ПТУ</w:t>
            </w:r>
          </w:p>
        </w:tc>
        <w:tc>
          <w:tcPr>
            <w:tcW w:w="3733"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xml:space="preserve">Выпрямитель, Инвертор, шкафы ввода, шкафы демпфирования и система управления </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Номинальное напряжение на входе, действующее значение, кВ</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15,75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Номинальная частота напряжения на входе, Гц</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Допустимое отклонение напряжения на входе, % от номинального значения</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от –10 до +10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Допустимое отклонение частоты напряжения на входе, %, от номинального значения</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 10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Номинальное напряжение на выходе, действующее значение,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15,75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Номинальная частота напряжения на выходе, Гц</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Диапазон изменения напряжения на выходе, действующее значение, 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0÷15750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Диапазон изменения частоты напряжения на выходе, Гц</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0,1 ÷ 55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Номинальная активная мощность, кВт,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23 000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Номинальная полная мощность, кВ·А,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27 247</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Номинальный ток на входе и выходе, действующее значение, 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1 000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Номинальный постоянный ток, 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1 250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Режимы перегрузки согласно ГОСТ 24607-88</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 и 2</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xml:space="preserve">Коэффициент полезного действия, </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97,5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Способ управления ГД</w:t>
            </w:r>
          </w:p>
        </w:tc>
        <w:tc>
          <w:tcPr>
            <w:tcW w:w="3733" w:type="dxa"/>
            <w:tcBorders/>
            <w:vAlign w:val="center"/>
          </w:tcPr>
          <w:p>
            <w:pPr>
              <w:pStyle w:val="Normal"/>
              <w:suppressAutoHyphens w:val="true"/>
              <w:spacing w:before="0" w:after="0"/>
              <w:ind w:right="146"/>
              <w:jc w:val="center"/>
              <w:rPr>
                <w:sz w:val="24"/>
                <w:szCs w:val="24"/>
              </w:rPr>
            </w:pPr>
            <w:r>
              <w:rPr>
                <w:rFonts w:eastAsia="Times New Roman" w:cs="Times New Roman"/>
                <w:kern w:val="0"/>
                <w:sz w:val="24"/>
                <w:szCs w:val="24"/>
                <w:lang w:val="ru-RU" w:eastAsia="ru-RU" w:bidi="ar-SA"/>
              </w:rPr>
              <w:t xml:space="preserve">Векторный, </w:t>
            </w:r>
          </w:p>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без применения датчиков, установленных в ГД или на его валу</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Тип применяемых силовых полупроводниковых приборов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тиристор</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Средний ток тиристора, А,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1350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Ударный ток тиристора длительностью 10 мс, после которого к тиристору прикладывается обратное напряжение, равное 60% от максимального повторяющегося импульсного обратного напряжения тиристора, кА,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32</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Охлаждение силовых элементов трёхфазного мостового выпрямителя и инвертора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color w:val="000000"/>
                <w:kern w:val="0"/>
                <w:sz w:val="24"/>
                <w:szCs w:val="24"/>
                <w:lang w:val="ru-RU" w:eastAsia="ru-RU" w:bidi="ar-SA"/>
              </w:rPr>
              <w:t>Воздушное принудительное от встроенных в шкафы преобразователя частоты вентиляторов, с защитой от пыли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Температура охладителей тиристоров не должна превышать, °С</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85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Канал связи для управления и мониторинга между ПТУ (ШУП) и шкафами сопряжения (ШУС):</w:t>
            </w:r>
          </w:p>
        </w:tc>
        <w:tc>
          <w:tcPr>
            <w:tcW w:w="3733" w:type="dxa"/>
            <w:tcBorders/>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 физический уровень</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Экранированная витая пара или оптика. Решение по выбору канала связи будет принято с учётом требований к ЭМС и уточнено при разработке РД</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 программный протокол</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Modbus TCP</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 резервирование каналов связи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 количество каналов связи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Номинальное напряжение цепей оперативного тока, 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220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Род тока цепей напряжения оперативного тока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Постоянный</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Потребляемая мощность по цепям оперативного тока, Вт, не более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не более 1</w:t>
            </w:r>
            <w:r>
              <w:rPr>
                <w:rFonts w:eastAsia="Times New Roman" w:cs="Times New Roman"/>
                <w:kern w:val="0"/>
                <w:sz w:val="24"/>
                <w:szCs w:val="24"/>
                <w:lang w:val="en-US" w:eastAsia="ru-RU" w:bidi="ar-SA"/>
              </w:rPr>
              <w:t xml:space="preserve"> </w:t>
            </w:r>
            <w:r>
              <w:rPr>
                <w:rFonts w:eastAsia="Times New Roman" w:cs="Times New Roman"/>
                <w:kern w:val="0"/>
                <w:sz w:val="24"/>
                <w:szCs w:val="24"/>
                <w:lang w:val="ru-RU" w:eastAsia="ru-RU" w:bidi="ar-SA"/>
              </w:rPr>
              <w:t>000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Номинальное напряжение питания цепей собственных нужд и вентиляции, действующее значение, 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380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Род тока цепей напряжение питания цепей собственных нужд и вентиляции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переменный, 50 Гц</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Номинальное напряжение внешнего трёхфазного источника синхронизации для перевода питания СМ с ПТУ на сеть, действующее значение, 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100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Продолжительность цикла непрерывной работы, мин, не более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45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Интервал между циклами непрерывной работы, ч,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4</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Среднее количество пусков/торможений в течение одного цикла работы, не более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12</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Температура окружающей среды, °С</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От +1 до +40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Электрическая изоляция токоведущих частей относительно корпуса и цепей, электрически не связанных между собой, должна выдерживать испытательное напряжение Uисп. переменного тока (действующее значение) частоты 50 Гц в течение 1 минуты в нормальных климатических условиях:</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силовая цепь относительно корпуса и электрических цепей, не связанных с ней.</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32 кВ</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цепь питания собственных нужд относительно корпуса и электрических цепей, не связанных с ней.</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2000 В</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цепи блокировки, контроля напряжения и сигнализации относительно корпуса и электрических цепей, не связанных с ними.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500 В</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Испытательное напряжение в условиях воздействия верхнего значения относительной влажности воздуха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0,6U</w:t>
            </w:r>
            <w:r>
              <w:rPr>
                <w:rFonts w:eastAsia="Times New Roman" w:cs="Times New Roman"/>
                <w:kern w:val="0"/>
                <w:sz w:val="24"/>
                <w:szCs w:val="24"/>
                <w:vertAlign w:val="subscript"/>
                <w:lang w:val="ru-RU" w:eastAsia="ru-RU" w:bidi="ar-SA"/>
              </w:rPr>
              <w:t>исп</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Допустимые значения суммарных коэффициентов гармонических составляющих напряжения в точках присоединения (на входе токоограничивающих реакторов ПТУ), усредненные в интервале времени 10 мин, не превышают в соответствии с ГОСТ 32144-2013:</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в течение 95 % времени интервала в одну неделю</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5 %</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 в течение 100 % времени интервала в одну неделю</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8 %</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Требования по устойчивости к коротким замыканиям</w:t>
            </w:r>
          </w:p>
          <w:p>
            <w:pPr>
              <w:pStyle w:val="BodyTextIndent2"/>
              <w:widowControl/>
              <w:numPr>
                <w:ilvl w:val="0"/>
                <w:numId w:val="17"/>
              </w:numPr>
              <w:tabs>
                <w:tab w:val="clear" w:pos="720"/>
                <w:tab w:val="left" w:pos="360" w:leader="none"/>
              </w:tabs>
              <w:suppressAutoHyphens w:val="false"/>
              <w:spacing w:before="0" w:after="0"/>
              <w:ind w:hanging="283" w:left="314"/>
              <w:rPr>
                <w:color w:val="000000"/>
                <w:szCs w:val="24"/>
              </w:rPr>
            </w:pPr>
            <w:r>
              <w:rPr>
                <w:rFonts w:eastAsia="Times New Roman" w:cs="Times New Roman"/>
                <w:color w:val="000000"/>
                <w:kern w:val="0"/>
                <w:szCs w:val="24"/>
                <w:lang w:val="ru-RU" w:eastAsia="ru-RU" w:bidi="ar-SA"/>
              </w:rPr>
              <w:t xml:space="preserve">Внешний ток короткого замыкания от системы (до токоограничивающего реактора </w:t>
            </w:r>
            <w:r>
              <w:rPr>
                <w:rFonts w:eastAsia="Times New Roman" w:cs="Times New Roman"/>
                <w:color w:val="000000"/>
                <w:kern w:val="0"/>
                <w:szCs w:val="24"/>
                <w:lang w:val="en-US" w:eastAsia="ru-RU" w:bidi="ar-SA"/>
              </w:rPr>
              <w:t>L</w:t>
            </w:r>
            <w:r>
              <w:rPr>
                <w:rFonts w:eastAsia="Times New Roman" w:cs="Times New Roman"/>
                <w:color w:val="000000"/>
                <w:kern w:val="0"/>
                <w:szCs w:val="24"/>
                <w:lang w:val="ru-RU" w:eastAsia="ru-RU" w:bidi="ar-SA"/>
              </w:rPr>
              <w:t>1) -</w:t>
            </w:r>
            <w:r>
              <w:rPr>
                <w:rFonts w:eastAsia="Times New Roman" w:cs="Times New Roman"/>
                <w:color w:val="000000"/>
                <w:kern w:val="0"/>
                <w:szCs w:val="24"/>
                <w:lang w:val="en-US" w:eastAsia="ru-RU" w:bidi="ar-SA"/>
              </w:rPr>
              <w:t>I</w:t>
            </w:r>
            <w:r>
              <w:rPr>
                <w:rFonts w:eastAsia="Times New Roman" w:cs="Times New Roman"/>
                <w:color w:val="000000"/>
                <w:kern w:val="0"/>
                <w:szCs w:val="24"/>
                <w:vertAlign w:val="subscript"/>
                <w:lang w:val="en-US" w:eastAsia="ru-RU" w:bidi="ar-SA"/>
              </w:rPr>
              <w:t>po</w:t>
            </w:r>
            <w:r>
              <w:rPr>
                <w:rFonts w:eastAsia="Times New Roman" w:cs="Times New Roman"/>
                <w:color w:val="000000"/>
                <w:kern w:val="0"/>
                <w:szCs w:val="24"/>
                <w:vertAlign w:val="subscript"/>
                <w:lang w:val="ru-RU" w:eastAsia="ru-RU" w:bidi="ar-SA"/>
              </w:rPr>
              <w:t xml:space="preserve"> </w:t>
            </w:r>
            <w:r>
              <w:rPr>
                <w:rFonts w:eastAsia="Times New Roman" w:cs="Times New Roman"/>
                <w:color w:val="000000"/>
                <w:kern w:val="0"/>
                <w:szCs w:val="24"/>
                <w:lang w:val="ru-RU" w:eastAsia="ru-RU" w:bidi="ar-SA"/>
              </w:rPr>
              <w:t xml:space="preserve">=127кА, </w:t>
            </w:r>
            <w:r>
              <w:rPr>
                <w:rFonts w:eastAsia="Times New Roman" w:cs="Times New Roman"/>
                <w:color w:val="000000"/>
                <w:kern w:val="0"/>
                <w:szCs w:val="24"/>
                <w:lang w:val="en-US" w:eastAsia="ru-RU" w:bidi="ar-SA"/>
              </w:rPr>
              <w:t>i</w:t>
            </w:r>
            <w:r>
              <w:rPr>
                <w:rFonts w:eastAsia="Times New Roman" w:cs="Times New Roman"/>
                <w:color w:val="000000"/>
                <w:kern w:val="0"/>
                <w:szCs w:val="24"/>
                <w:vertAlign w:val="subscript"/>
                <w:lang w:val="ru-RU" w:eastAsia="ru-RU" w:bidi="ar-SA"/>
              </w:rPr>
              <w:t>уд</w:t>
            </w:r>
            <w:r>
              <w:rPr>
                <w:rFonts w:eastAsia="Times New Roman" w:cs="Times New Roman"/>
                <w:color w:val="000000"/>
                <w:kern w:val="0"/>
                <w:szCs w:val="24"/>
                <w:lang w:val="ru-RU" w:eastAsia="ru-RU" w:bidi="ar-SA"/>
              </w:rPr>
              <w:t>=350кА;</w:t>
            </w:r>
          </w:p>
          <w:p>
            <w:pPr>
              <w:pStyle w:val="BodyTextIndent2"/>
              <w:widowControl/>
              <w:numPr>
                <w:ilvl w:val="0"/>
                <w:numId w:val="17"/>
              </w:numPr>
              <w:tabs>
                <w:tab w:val="clear" w:pos="720"/>
                <w:tab w:val="left" w:pos="360" w:leader="none"/>
              </w:tabs>
              <w:suppressAutoHyphens w:val="false"/>
              <w:spacing w:before="0" w:after="0"/>
              <w:ind w:hanging="283" w:left="314"/>
              <w:rPr>
                <w:color w:val="000000"/>
                <w:szCs w:val="24"/>
              </w:rPr>
            </w:pPr>
            <w:r>
              <w:rPr>
                <w:rFonts w:eastAsia="Times New Roman" w:cs="Times New Roman"/>
                <w:color w:val="000000"/>
                <w:kern w:val="0"/>
                <w:szCs w:val="24"/>
                <w:lang w:val="ru-RU" w:eastAsia="ru-RU" w:bidi="ar-SA"/>
              </w:rPr>
              <w:t xml:space="preserve">Внешний ток короткого замыкания от генератора (до токоограничивающего реактора </w:t>
            </w:r>
            <w:r>
              <w:rPr>
                <w:rFonts w:eastAsia="Times New Roman" w:cs="Times New Roman"/>
                <w:color w:val="000000"/>
                <w:kern w:val="0"/>
                <w:szCs w:val="24"/>
                <w:lang w:val="en-US" w:eastAsia="ru-RU" w:bidi="ar-SA"/>
              </w:rPr>
              <w:t>L</w:t>
            </w:r>
            <w:r>
              <w:rPr>
                <w:rFonts w:eastAsia="Times New Roman" w:cs="Times New Roman"/>
                <w:color w:val="000000"/>
                <w:kern w:val="0"/>
                <w:szCs w:val="24"/>
                <w:lang w:val="ru-RU" w:eastAsia="ru-RU" w:bidi="ar-SA"/>
              </w:rPr>
              <w:t>2) -</w:t>
            </w:r>
            <w:r>
              <w:rPr>
                <w:rFonts w:eastAsia="Times New Roman" w:cs="Times New Roman"/>
                <w:color w:val="000000"/>
                <w:kern w:val="0"/>
                <w:szCs w:val="24"/>
                <w:lang w:val="en-US" w:eastAsia="ru-RU" w:bidi="ar-SA"/>
              </w:rPr>
              <w:t>I</w:t>
            </w:r>
            <w:r>
              <w:rPr>
                <w:rFonts w:eastAsia="Times New Roman" w:cs="Times New Roman"/>
                <w:color w:val="000000"/>
                <w:kern w:val="0"/>
                <w:szCs w:val="24"/>
                <w:vertAlign w:val="subscript"/>
                <w:lang w:val="en-US" w:eastAsia="ru-RU" w:bidi="ar-SA"/>
              </w:rPr>
              <w:t>po</w:t>
            </w:r>
            <w:r>
              <w:rPr>
                <w:rFonts w:eastAsia="Times New Roman" w:cs="Times New Roman"/>
                <w:color w:val="000000"/>
                <w:kern w:val="0"/>
                <w:szCs w:val="24"/>
                <w:vertAlign w:val="subscript"/>
                <w:lang w:val="ru-RU" w:eastAsia="ru-RU" w:bidi="ar-SA"/>
              </w:rPr>
              <w:t xml:space="preserve"> </w:t>
            </w:r>
            <w:r>
              <w:rPr>
                <w:rFonts w:eastAsia="Times New Roman" w:cs="Times New Roman"/>
                <w:color w:val="000000"/>
                <w:kern w:val="0"/>
                <w:szCs w:val="24"/>
                <w:lang w:val="ru-RU" w:eastAsia="ru-RU" w:bidi="ar-SA"/>
              </w:rPr>
              <w:t xml:space="preserve">=54кА, </w:t>
            </w:r>
            <w:r>
              <w:rPr>
                <w:rFonts w:eastAsia="Times New Roman" w:cs="Times New Roman"/>
                <w:color w:val="000000"/>
                <w:kern w:val="0"/>
                <w:szCs w:val="24"/>
                <w:lang w:val="en-US" w:eastAsia="ru-RU" w:bidi="ar-SA"/>
              </w:rPr>
              <w:t>i</w:t>
            </w:r>
            <w:r>
              <w:rPr>
                <w:rFonts w:eastAsia="Times New Roman" w:cs="Times New Roman"/>
                <w:color w:val="000000"/>
                <w:kern w:val="0"/>
                <w:szCs w:val="24"/>
                <w:vertAlign w:val="subscript"/>
                <w:lang w:val="ru-RU" w:eastAsia="ru-RU" w:bidi="ar-SA"/>
              </w:rPr>
              <w:t>уд</w:t>
            </w:r>
            <w:r>
              <w:rPr>
                <w:rFonts w:eastAsia="Times New Roman" w:cs="Times New Roman"/>
                <w:color w:val="000000"/>
                <w:kern w:val="0"/>
                <w:szCs w:val="24"/>
                <w:lang w:val="ru-RU" w:eastAsia="ru-RU" w:bidi="ar-SA"/>
              </w:rPr>
              <w:t>=151кА;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Преобразователь частоты динамически и термически устойчив к внутренним и внешним токам короткого замыкания в течение времени срабатывания применяемых защит</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tcPr>
          <w:p>
            <w:pPr>
              <w:pStyle w:val="Normal"/>
              <w:suppressAutoHyphens w:val="true"/>
              <w:spacing w:before="0" w:after="0"/>
              <w:jc w:val="left"/>
              <w:rPr>
                <w:color w:val="000000"/>
                <w:sz w:val="24"/>
                <w:szCs w:val="24"/>
              </w:rPr>
            </w:pPr>
            <w:r>
              <w:rPr>
                <w:rFonts w:eastAsia="Times New Roman" w:cs="Times New Roman"/>
                <w:b/>
                <w:color w:val="000000"/>
                <w:kern w:val="0"/>
                <w:sz w:val="24"/>
                <w:szCs w:val="24"/>
                <w:lang w:val="ru-RU" w:eastAsia="ru-RU" w:bidi="ar-SA"/>
              </w:rPr>
              <w:t>Команды и режимы преобразователя частоты</w:t>
            </w:r>
          </w:p>
        </w:tc>
        <w:tc>
          <w:tcPr>
            <w:tcW w:w="2362" w:type="dxa"/>
            <w:tcBorders/>
          </w:tcPr>
          <w:p>
            <w:pPr>
              <w:pStyle w:val="Normal"/>
              <w:suppressAutoHyphens w:val="true"/>
              <w:spacing w:before="0" w:after="0"/>
              <w:jc w:val="left"/>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Разгон гидроагрегата с максимально возможным темпом из неподвижного состояния в двигательное или генераторное направление вращения ротора</w:t>
            </w:r>
          </w:p>
        </w:tc>
        <w:tc>
          <w:tcPr>
            <w:tcW w:w="3733" w:type="dxa"/>
            <w:tcBorders/>
          </w:tcPr>
          <w:p>
            <w:pPr>
              <w:pStyle w:val="Normal"/>
              <w:suppressAutoHyphens w:val="true"/>
              <w:spacing w:before="0" w:after="0"/>
              <w:jc w:val="left"/>
              <w:rPr>
                <w:sz w:val="24"/>
                <w:szCs w:val="24"/>
              </w:rPr>
            </w:pPr>
            <w:r>
              <w:rPr>
                <w:rFonts w:eastAsia="Times New Roman" w:cs="Times New Roman"/>
                <w:color w:val="000000"/>
                <w:kern w:val="0"/>
                <w:sz w:val="24"/>
                <w:szCs w:val="24"/>
                <w:lang w:val="ru-RU" w:eastAsia="ru-RU" w:bidi="ar-SA"/>
              </w:rPr>
              <w:t>Ток статора гидроагрегата 1000 А действ, угол управления инвертором не менее 140</w:t>
            </w:r>
            <w:r>
              <w:rPr>
                <w:rFonts w:eastAsia="Times New Roman" w:cs="Times New Roman"/>
                <w:color w:val="000000"/>
                <w:kern w:val="0"/>
                <w:sz w:val="24"/>
                <w:szCs w:val="24"/>
                <w:vertAlign w:val="superscript"/>
                <w:lang w:val="ru-RU" w:eastAsia="ru-RU" w:bidi="ar-SA"/>
              </w:rPr>
              <w:t>о</w:t>
            </w:r>
            <w:r>
              <w:rPr>
                <w:rFonts w:eastAsia="Times New Roman" w:cs="Times New Roman"/>
                <w:color w:val="000000"/>
                <w:kern w:val="0"/>
                <w:sz w:val="24"/>
                <w:szCs w:val="24"/>
                <w:lang w:val="ru-RU" w:eastAsia="ru-RU" w:bidi="ar-SA"/>
              </w:rPr>
              <w:t xml:space="preserve"> электрических при угле коммутации не более 10</w:t>
            </w:r>
            <w:r>
              <w:rPr>
                <w:rFonts w:eastAsia="Times New Roman" w:cs="Times New Roman"/>
                <w:color w:val="000000"/>
                <w:kern w:val="0"/>
                <w:sz w:val="24"/>
                <w:szCs w:val="24"/>
                <w:vertAlign w:val="superscript"/>
                <w:lang w:val="ru-RU" w:eastAsia="ru-RU" w:bidi="ar-SA"/>
              </w:rPr>
              <w:t>о</w:t>
            </w:r>
            <w:r>
              <w:rPr>
                <w:rFonts w:eastAsia="Times New Roman" w:cs="Times New Roman"/>
                <w:color w:val="000000"/>
                <w:kern w:val="0"/>
                <w:sz w:val="24"/>
                <w:szCs w:val="24"/>
                <w:lang w:val="ru-RU" w:eastAsia="ru-RU" w:bidi="ar-SA"/>
              </w:rPr>
              <w:t xml:space="preserve"> электрических и температуре структуры тиристора не более 90</w:t>
            </w:r>
            <w:r>
              <w:rPr>
                <w:rFonts w:eastAsia="Times New Roman" w:cs="Times New Roman"/>
                <w:color w:val="000000"/>
                <w:kern w:val="0"/>
                <w:sz w:val="24"/>
                <w:szCs w:val="24"/>
                <w:vertAlign w:val="superscript"/>
                <w:lang w:val="ru-RU" w:eastAsia="ru-RU" w:bidi="ar-SA"/>
              </w:rPr>
              <w:t>о</w:t>
            </w:r>
            <w:r>
              <w:rPr>
                <w:rFonts w:eastAsia="Times New Roman" w:cs="Times New Roman"/>
                <w:color w:val="000000"/>
                <w:kern w:val="0"/>
                <w:sz w:val="24"/>
                <w:szCs w:val="24"/>
                <w:lang w:val="ru-RU" w:eastAsia="ru-RU" w:bidi="ar-SA"/>
              </w:rPr>
              <w:t>С в конце любого пуска.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Подгонка частоты гидроагрегатов к частоте сети и удержание ее в диапазоне</w:t>
            </w:r>
          </w:p>
        </w:tc>
        <w:tc>
          <w:tcPr>
            <w:tcW w:w="3733"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0,15-0,3 выше частоты сети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Выдача команды на включение гидроагрегата в сеть с последующим гашением тока преобразователя или гашением тока преобразователя по команде автосинхронизатора агрегата (по выбору оператора)</w:t>
            </w:r>
          </w:p>
        </w:tc>
        <w:tc>
          <w:tcPr>
            <w:tcW w:w="3733"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Выполняется</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Подхват выбегающего агрегата из двигательного или генераторного направления вращения и его рекуперативное торможение до полной остановки ротора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Напряжение статора не менее 0,9 U ном., ток статора не менее 800 А действ., угол управления инвертора не более 30</w:t>
            </w:r>
            <w:r>
              <w:rPr>
                <w:rFonts w:eastAsia="Times New Roman" w:cs="Times New Roman"/>
                <w:color w:val="000000"/>
                <w:kern w:val="0"/>
                <w:sz w:val="24"/>
                <w:szCs w:val="24"/>
                <w:vertAlign w:val="superscript"/>
                <w:lang w:val="ru-RU" w:eastAsia="ru-RU" w:bidi="ar-SA"/>
              </w:rPr>
              <w:t>о</w:t>
            </w:r>
            <w:r>
              <w:rPr>
                <w:rFonts w:eastAsia="Times New Roman" w:cs="Times New Roman"/>
                <w:color w:val="000000"/>
                <w:kern w:val="0"/>
                <w:sz w:val="24"/>
                <w:szCs w:val="24"/>
                <w:lang w:val="ru-RU" w:eastAsia="ru-RU" w:bidi="ar-SA"/>
              </w:rPr>
              <w:t xml:space="preserve"> электрических при угле коммутации 10</w:t>
            </w:r>
            <w:r>
              <w:rPr>
                <w:rFonts w:eastAsia="Times New Roman" w:cs="Times New Roman"/>
                <w:color w:val="000000"/>
                <w:kern w:val="0"/>
                <w:sz w:val="24"/>
                <w:szCs w:val="24"/>
                <w:vertAlign w:val="superscript"/>
                <w:lang w:val="ru-RU" w:eastAsia="ru-RU" w:bidi="ar-SA"/>
              </w:rPr>
              <w:t>о</w:t>
            </w:r>
            <w:r>
              <w:rPr>
                <w:rFonts w:eastAsia="Times New Roman" w:cs="Times New Roman"/>
                <w:color w:val="000000"/>
                <w:kern w:val="0"/>
                <w:sz w:val="24"/>
                <w:szCs w:val="24"/>
                <w:lang w:val="ru-RU" w:eastAsia="ru-RU" w:bidi="ar-SA"/>
              </w:rPr>
              <w:t xml:space="preserve"> электрических</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Выдача команды о завершении торможения в автоматику гидроагрегата</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Ожидание после режима разгона или торможения в течении заданного времени. В этом режиме выключатели на входе и выходе ПТУ должны оставаться включенными. Импульсы управления тиристорами преобразователя частоты должны быть заблокированы.</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Ручное регулирование и удержание частоты разгоняемого агрегата в диапазоне</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От 5  до 51</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Тестовый режим</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Позволяет оценивать исправность системы управления и силовых шкафов преобразователя.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tcPr>
          <w:p>
            <w:pPr>
              <w:pStyle w:val="TableParagraph"/>
              <w:spacing w:lineRule="exact" w:line="267" w:before="0" w:after="0"/>
              <w:jc w:val="left"/>
              <w:rPr>
                <w:rFonts w:ascii="Times New Roman" w:hAnsi="Times New Roman" w:eastAsia="Times New Roman" w:cs="Times New Roman"/>
                <w:sz w:val="24"/>
                <w:szCs w:val="24"/>
                <w:lang w:val="ru-RU"/>
              </w:rPr>
            </w:pPr>
            <w:r>
              <w:rPr>
                <w:rFonts w:cs="Times New Roman" w:ascii="Times New Roman" w:hAnsi="Times New Roman"/>
                <w:b/>
                <w:color w:val="000000"/>
                <w:kern w:val="0"/>
                <w:lang w:val="ru-RU" w:eastAsia="ru-RU" w:bidi="ar-SA"/>
              </w:rPr>
              <w:t>Защиты преобразователя частоты</w:t>
            </w:r>
          </w:p>
        </w:tc>
        <w:tc>
          <w:tcPr>
            <w:tcW w:w="2362" w:type="dxa"/>
            <w:tcBorders/>
          </w:tcPr>
          <w:p>
            <w:pPr>
              <w:pStyle w:val="Normal"/>
              <w:suppressAutoHyphens w:val="true"/>
              <w:spacing w:before="0" w:after="0"/>
              <w:jc w:val="left"/>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tcPr>
          <w:p>
            <w:pPr>
              <w:pStyle w:val="TableParagraph"/>
              <w:spacing w:lineRule="exact" w:line="267" w:before="0" w:after="0"/>
              <w:jc w:val="left"/>
              <w:rPr>
                <w:rFonts w:ascii="Times New Roman" w:hAnsi="Times New Roman" w:eastAsia="Times New Roman" w:cs="Times New Roman"/>
                <w:sz w:val="24"/>
                <w:szCs w:val="24"/>
                <w:lang w:val="ru-RU"/>
              </w:rPr>
            </w:pPr>
            <w:r>
              <w:rPr>
                <w:rFonts w:cs="Times New Roman" w:ascii="Times New Roman" w:hAnsi="Times New Roman"/>
                <w:b/>
                <w:color w:val="000000"/>
                <w:kern w:val="0"/>
                <w:lang w:val="ru-RU" w:eastAsia="ru-RU" w:bidi="ar-SA"/>
              </w:rPr>
              <w:t>Перечень защит преобразователя частоты</w:t>
            </w:r>
          </w:p>
        </w:tc>
        <w:tc>
          <w:tcPr>
            <w:tcW w:w="2362" w:type="dxa"/>
            <w:tcBorders/>
          </w:tcPr>
          <w:p>
            <w:pPr>
              <w:pStyle w:val="Normal"/>
              <w:suppressAutoHyphens w:val="true"/>
              <w:spacing w:before="0" w:after="0"/>
              <w:jc w:val="left"/>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токов КЗ в преобразователе и нагрузке</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перегрузок по току</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недопустимого снижения, повышения напряжения на входе преобразователя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 Преобразователь частоты нормально функционирует с сохранением номинальных параметров при отклонении напряжения на входе от -5 до +10% номинального значения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недопустимого повышения напряжения на выходе преобразователя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потери возбуждения гидроагрегата в процессе работы</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 через РЗА станционного узла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повреждения системы охлаждения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неисправности системы управления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превышения выходной частоты преобразователя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замыкания на землю на входе, выходе, в звене постоянного тока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перенапряжений на шинах постоянного тока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открытия дверей силовых шкафов</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стопорения ротора агрегата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недопустимой длительности пуска или торможения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неисправности источников питания цепей управления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От пробоя тиристоров выпрямителя и инвертора как при работающем, так и не работающем преобразователе</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tcPr>
          <w:p>
            <w:pPr>
              <w:pStyle w:val="Normal"/>
              <w:suppressAutoHyphens w:val="true"/>
              <w:spacing w:before="0" w:after="0"/>
              <w:jc w:val="left"/>
              <w:rPr>
                <w:color w:val="000000"/>
                <w:sz w:val="22"/>
                <w:szCs w:val="22"/>
              </w:rPr>
            </w:pPr>
            <w:r>
              <w:rPr>
                <w:rFonts w:eastAsia="Times New Roman" w:cs="Times New Roman"/>
                <w:b/>
                <w:color w:val="000000"/>
                <w:kern w:val="0"/>
                <w:sz w:val="22"/>
                <w:szCs w:val="22"/>
                <w:lang w:val="ru-RU" w:eastAsia="ru-RU" w:bidi="ar-SA"/>
              </w:rPr>
              <w:t>Алгоритм работы защит преобразователя частоты</w:t>
            </w:r>
          </w:p>
        </w:tc>
        <w:tc>
          <w:tcPr>
            <w:tcW w:w="2362" w:type="dxa"/>
            <w:tcBorders/>
          </w:tcPr>
          <w:p>
            <w:pPr>
              <w:pStyle w:val="Normal"/>
              <w:suppressAutoHyphens w:val="true"/>
              <w:spacing w:before="0" w:after="0"/>
              <w:jc w:val="left"/>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Гашение тока преобразователя переводом выпрямителя в инверторный режим</w:t>
            </w:r>
          </w:p>
        </w:tc>
        <w:tc>
          <w:tcPr>
            <w:tcW w:w="3733" w:type="dxa"/>
            <w:tcBorders/>
          </w:tcPr>
          <w:p>
            <w:pPr>
              <w:pStyle w:val="BodyTextIndent2"/>
              <w:suppressAutoHyphens w:val="true"/>
              <w:spacing w:before="0" w:after="0"/>
              <w:ind w:left="0"/>
              <w:rPr>
                <w:color w:val="000000"/>
                <w:szCs w:val="24"/>
              </w:rPr>
            </w:pPr>
            <w:r>
              <w:rPr>
                <w:rFonts w:eastAsia="Times New Roman" w:cs="Times New Roman"/>
                <w:color w:val="000000"/>
                <w:kern w:val="0"/>
                <w:szCs w:val="24"/>
                <w:lang w:val="ru-RU" w:eastAsia="ru-RU" w:bidi="ar-SA"/>
              </w:rPr>
              <w:t>Выполняется</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Гашение тока преобразователя переводом выпрямителя и (или инвертора) в режим логического короткозамыкателя</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szCs w:val="24"/>
              </w:rPr>
            </w:pPr>
            <w:r>
              <w:rPr>
                <w:rFonts w:eastAsia="Times New Roman" w:cs="Times New Roman"/>
                <w:color w:val="000000"/>
                <w:kern w:val="0"/>
                <w:szCs w:val="24"/>
                <w:lang w:val="ru-RU" w:eastAsia="ru-RU" w:bidi="ar-SA"/>
              </w:rPr>
              <w:t>Выдачи команд на отключение входного и выходного выключателей и в схему защит гидроагрегата.</w:t>
            </w:r>
          </w:p>
        </w:tc>
        <w:tc>
          <w:tcPr>
            <w:tcW w:w="3733" w:type="dxa"/>
            <w:tcBorders/>
          </w:tcPr>
          <w:p>
            <w:pPr>
              <w:pStyle w:val="Normal"/>
              <w:suppressAutoHyphens w:val="true"/>
              <w:spacing w:before="0" w:after="0"/>
              <w:jc w:val="left"/>
              <w:rPr>
                <w:color w:val="000000"/>
                <w:sz w:val="24"/>
                <w:szCs w:val="24"/>
              </w:rPr>
            </w:pPr>
            <w:r>
              <w:rPr>
                <w:rFonts w:eastAsia="Times New Roman" w:cs="Times New Roman"/>
                <w:color w:val="000000"/>
                <w:kern w:val="0"/>
                <w:sz w:val="24"/>
                <w:szCs w:val="24"/>
                <w:lang w:val="ru-RU" w:eastAsia="ru-RU" w:bidi="ar-SA"/>
              </w:rPr>
              <w:t>Выполняется</w:t>
            </w:r>
          </w:p>
          <w:p>
            <w:pPr>
              <w:pStyle w:val="Normal"/>
              <w:suppressAutoHyphens w:val="true"/>
              <w:spacing w:before="0" w:after="0"/>
              <w:jc w:val="left"/>
              <w:rPr>
                <w:color w:val="000000"/>
                <w:sz w:val="24"/>
                <w:szCs w:val="24"/>
              </w:rPr>
            </w:pPr>
            <w:r>
              <w:rPr>
                <w:color w:val="000000"/>
                <w:sz w:val="24"/>
                <w:szCs w:val="24"/>
              </w:rPr>
            </w:r>
          </w:p>
          <w:p>
            <w:pPr>
              <w:pStyle w:val="Normal"/>
              <w:suppressAutoHyphens w:val="true"/>
              <w:spacing w:before="0" w:after="0"/>
              <w:jc w:val="left"/>
              <w:rPr>
                <w:color w:val="000000"/>
                <w:sz w:val="24"/>
                <w:szCs w:val="24"/>
              </w:rPr>
            </w:pPr>
            <w:r>
              <w:rPr>
                <w:color w:val="000000"/>
                <w:sz w:val="24"/>
                <w:szCs w:val="24"/>
              </w:rPr>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tcPr>
          <w:p>
            <w:pPr>
              <w:pStyle w:val="Normal"/>
              <w:suppressAutoHyphens w:val="true"/>
              <w:spacing w:before="0" w:after="0"/>
              <w:jc w:val="left"/>
              <w:rPr>
                <w:color w:val="000000"/>
                <w:sz w:val="22"/>
                <w:szCs w:val="22"/>
              </w:rPr>
            </w:pPr>
            <w:r>
              <w:rPr>
                <w:rFonts w:eastAsia="Times New Roman" w:cs="Times New Roman"/>
                <w:b/>
                <w:color w:val="000000"/>
                <w:kern w:val="0"/>
                <w:sz w:val="22"/>
                <w:szCs w:val="22"/>
                <w:lang w:val="ru-RU" w:eastAsia="ru-RU" w:bidi="ar-SA"/>
              </w:rPr>
              <w:t>Индикация преобразователя частоты</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Indent2"/>
              <w:suppressAutoHyphens w:val="true"/>
              <w:spacing w:before="0" w:after="0"/>
              <w:ind w:left="34"/>
              <w:rPr>
                <w:color w:val="000000"/>
              </w:rPr>
            </w:pPr>
            <w:r>
              <w:rPr>
                <w:rFonts w:eastAsia="Times New Roman" w:cs="Times New Roman"/>
                <w:color w:val="000000"/>
                <w:kern w:val="0"/>
                <w:szCs w:val="20"/>
                <w:lang w:val="ru-RU" w:eastAsia="ru-RU" w:bidi="ar-SA"/>
              </w:rPr>
              <w:t>Требования к отображению информации от преобразователя частоты</w:t>
            </w:r>
          </w:p>
        </w:tc>
        <w:tc>
          <w:tcPr>
            <w:tcW w:w="3733" w:type="dxa"/>
            <w:tcBorders/>
          </w:tcPr>
          <w:p>
            <w:pPr>
              <w:pStyle w:val="BodyTextIndent2"/>
              <w:suppressAutoHyphens w:val="true"/>
              <w:spacing w:before="0" w:after="0"/>
              <w:ind w:left="0"/>
              <w:rPr>
                <w:color w:val="000000"/>
              </w:rPr>
            </w:pPr>
            <w:r>
              <w:rPr>
                <w:rFonts w:eastAsia="Times New Roman" w:cs="Times New Roman"/>
                <w:color w:val="000000"/>
                <w:kern w:val="0"/>
                <w:szCs w:val="20"/>
                <w:lang w:val="ru-RU" w:eastAsia="ru-RU" w:bidi="ar-SA"/>
              </w:rPr>
              <w:t>Индикация преобразователя частоты отображает работу защит и состояние его режимов. Микропроцессорное устройство управления позволяет вести дневник событий в реальном времени и имеет аварийный осциллограф. Монитор не менее 12</w:t>
            </w:r>
            <w:r>
              <w:rPr>
                <w:rFonts w:eastAsia="Times New Roman" w:cs="Times New Roman"/>
                <w:color w:val="000000"/>
                <w:kern w:val="0"/>
                <w:szCs w:val="20"/>
                <w:lang w:val="en-US" w:eastAsia="ru-RU" w:bidi="ar-SA"/>
              </w:rPr>
              <w:t xml:space="preserve">’ </w:t>
            </w:r>
            <w:r>
              <w:rPr>
                <w:rFonts w:eastAsia="Times New Roman" w:cs="Times New Roman"/>
                <w:color w:val="000000"/>
                <w:kern w:val="0"/>
                <w:szCs w:val="20"/>
                <w:lang w:val="ru-RU" w:eastAsia="ru-RU" w:bidi="ar-SA"/>
              </w:rPr>
              <w:t>позволяющий просматривать суточные события.</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sz w:val="24"/>
                <w:szCs w:val="24"/>
              </w:rPr>
            </w:pPr>
            <w:bookmarkStart w:id="44" w:name="_Toc239765668"/>
            <w:r>
              <w:rPr>
                <w:rFonts w:eastAsia="Times New Roman" w:cs="Times New Roman"/>
                <w:b/>
                <w:kern w:val="0"/>
                <w:sz w:val="24"/>
                <w:szCs w:val="24"/>
                <w:lang w:val="ru-RU" w:eastAsia="ru-RU" w:bidi="ar-SA"/>
              </w:rPr>
              <w:t>Восстанавливаемое оборудование ПТУ</w:t>
            </w:r>
            <w:bookmarkEnd w:id="44"/>
            <w:r>
              <w:rPr>
                <w:rFonts w:eastAsia="Times New Roman" w:cs="Times New Roman"/>
                <w:b/>
                <w:kern w:val="0"/>
                <w:sz w:val="24"/>
                <w:szCs w:val="24"/>
                <w:lang w:val="ru-RU" w:eastAsia="ru-RU" w:bidi="ar-SA"/>
              </w:rPr>
              <w:t>-3</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sz w:val="24"/>
                <w:szCs w:val="24"/>
              </w:rPr>
            </w:pPr>
            <w:r>
              <w:rPr>
                <w:rFonts w:eastAsia="Times New Roman" w:cs="Times New Roman"/>
                <w:b/>
                <w:bCs/>
                <w:kern w:val="0"/>
                <w:sz w:val="24"/>
                <w:szCs w:val="24"/>
                <w:lang w:val="ru-RU" w:eastAsia="ru-RU" w:bidi="ar-SA"/>
              </w:rPr>
              <w:t>Силовые шкафы тиристоров (выпрямитель и инвертор)</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ШТВ1, ШТВ2, ШТВ3 (шкафы тиристоров выпрямителя)</w:t>
            </w:r>
          </w:p>
        </w:tc>
        <w:tc>
          <w:tcPr>
            <w:tcW w:w="3733" w:type="dxa"/>
            <w:vMerge w:val="restart"/>
            <w:tcBorders/>
            <w:vAlign w:val="center"/>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подлежат модернизации/ замене (включая системы охлаждения, датчики, платы диагностики, импульсные трансформаторы, конденсаторы RC-цепей). Новые шкафы выпрямителей фазы А, B, С, должны быть выполнены по конструкции, идентичной вновь поставляемой ПТУ (выкатные силовые блоки, волоконно-оптические каналы, российские электронные компоненты, диагностика каждого тиристора, взаимозаменяемость плеч).</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ШТИ4, ШТИ5, ШТИ6 (шкафы тиристоров инвертора)</w:t>
            </w:r>
          </w:p>
        </w:tc>
        <w:tc>
          <w:tcPr>
            <w:tcW w:w="3733" w:type="dxa"/>
            <w:vMerge w:val="continue"/>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sz w:val="24"/>
                <w:szCs w:val="24"/>
              </w:rPr>
            </w:pPr>
            <w:bookmarkStart w:id="45" w:name="_Toc239765670"/>
            <w:r>
              <w:rPr>
                <w:rFonts w:eastAsia="Times New Roman" w:cs="Times New Roman"/>
                <w:b/>
                <w:kern w:val="0"/>
                <w:sz w:val="24"/>
                <w:szCs w:val="24"/>
                <w:lang w:val="ru-RU" w:eastAsia="ru-RU" w:bidi="ar-SA"/>
              </w:rPr>
              <w:t>Шкафы пускового ввода (ШВП)</w:t>
            </w:r>
            <w:bookmarkEnd w:id="45"/>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ШПВ2 и ШПВ5</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Модернизировать/ поставить новые, взамен ШВП1 и ШВП2, с полным комплектом датчиков тока, опорных изоляторов, концевых выключателей.</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ШПВ3 и ШПВ6</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установить дополнительно новый, в составе: с делителями напряжения постоянного тока и датчиками измерения постоянного тока.</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r>
              <w:rPr>
                <w:rFonts w:eastAsia="Times New Roman" w:cs="Times New Roman"/>
                <w:b/>
                <w:kern w:val="0"/>
                <w:sz w:val="24"/>
                <w:szCs w:val="24"/>
                <w:lang w:val="ru-RU" w:eastAsia="ru-RU" w:bidi="ar-SA"/>
              </w:rPr>
              <w:t>Шкафы резисторов и конденсаторов (ШРК)</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ШПВ1 и ШПВ4</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Заменить новым (взамен ШРК), с RC-цепями, выполненными на резисторах повышенной мощности и конденсаторах с увеличенным сроком службы.</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46" w:name="_Toc239765672"/>
            <w:r>
              <w:rPr>
                <w:rFonts w:eastAsia="Times New Roman" w:cs="Times New Roman"/>
                <w:b/>
                <w:kern w:val="0"/>
                <w:sz w:val="24"/>
                <w:szCs w:val="24"/>
                <w:lang w:val="ru-RU" w:eastAsia="ru-RU" w:bidi="ar-SA"/>
              </w:rPr>
              <w:t>Шкафы демпфирования (ШД)</w:t>
            </w:r>
            <w:bookmarkEnd w:id="46"/>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ШПВ7 и ШПВ8,</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(взамен ШД), с конденсаторами и резисторами, рассчитанными на длительный срок хранения и эксплуатации.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47" w:name="_Toc239765673"/>
            <w:r>
              <w:rPr>
                <w:rFonts w:eastAsia="Times New Roman" w:cs="Times New Roman"/>
                <w:b/>
                <w:kern w:val="0"/>
                <w:sz w:val="24"/>
                <w:szCs w:val="24"/>
                <w:lang w:val="ru-RU" w:eastAsia="ru-RU" w:bidi="ar-SA"/>
              </w:rPr>
              <w:t>Шкаф управления (ШУ)</w:t>
            </w:r>
            <w:bookmarkEnd w:id="47"/>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ШУ</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шкафом управления на базе российских контроллеров (PEC и REGUL), с новой системой управления, включающей:</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48" w:name="_Toc239765674"/>
            <w:r>
              <w:rPr>
                <w:rFonts w:eastAsia="Times New Roman" w:cs="Times New Roman"/>
                <w:b/>
                <w:kern w:val="0"/>
                <w:sz w:val="24"/>
                <w:szCs w:val="24"/>
                <w:lang w:val="ru-RU" w:eastAsia="ru-RU" w:bidi="ar-SA"/>
              </w:rPr>
              <w:t>Шкафы системы управления, автоматики и питания (из состава сопряжения)</w:t>
            </w:r>
            <w:bookmarkEnd w:id="48"/>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Шкаф сигнализации и управления (ШСУ)</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с полным набором светодиодных индикаторов, измерительных приборов, ключами и кнопками управления, с питанием от =220 В.</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Шкаф управления и телемеханики (ШУТМ)</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с регистратором аварийных сигналов (РАС), с преобразователями тока, напряжения, мощности, с возможностью выдачи нормированных аналоговых и дискретных сигналов, счётчиком электроэнергии.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color w:val="0F1115"/>
                <w:kern w:val="0"/>
                <w:sz w:val="24"/>
                <w:szCs w:val="24"/>
                <w:lang w:val="ru-RU" w:eastAsia="ru-RU" w:bidi="ar-SA"/>
              </w:rPr>
              <w:t>Шкаф автоматизированного рабочего места (АРМ)</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с промышленным компьютером российского производства (включённым в реестр Минпромторга), монитором, с предустановленным специализированным ПО для мониторинга, настройки, просмотра трендов и архивов.</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сопряжения с объектом (ШСО)</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с модулями дискретного и аналогового ввода/вывода.</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Шкаф управления сопряжением (ШУС)</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 с программируемым логическим контроллером REGUL, модулями дискретного и аналогового ввода/вывода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Шкаф управления коммутационными аппаратами (ШУКА)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новыми, с микропроцессорным устройством автоматики, обеспечивающим управление коммутационными аппаратами ПТУ.</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защит трансформатора и коммутационных аппаратов (ШЗТ)</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модернизировать/заменить новыми (2 комплекта), с установленными микропроцессорными устройствами РЗА , обеспечивающими защиту согласующего трансформатора ПТУ.</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r>
              <w:rPr>
                <w:rFonts w:eastAsia="Times New Roman" w:cs="Times New Roman"/>
                <w:b/>
                <w:kern w:val="0"/>
                <w:sz w:val="24"/>
                <w:szCs w:val="24"/>
                <w:lang w:val="ru-RU" w:eastAsia="ru-RU" w:bidi="ar-SA"/>
              </w:rPr>
              <w:t>Вновь поставляемое ПТУ-4</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ШТВ1, ШТВ2, ШТВ3 (шкафы тиристоров выпрямителя)</w:t>
            </w:r>
          </w:p>
        </w:tc>
        <w:tc>
          <w:tcPr>
            <w:tcW w:w="3733" w:type="dxa"/>
            <w:vMerge w:val="restart"/>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Шкафы должны быть выполнены по конструкции, идентичной восстанавливаемой ПТУ-3 (выкатные силовые блоки, волоконно-оптические каналы, российские электронные компоненты, диагностика каждого тиристора, взаимозаменяемость плеч).</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ШТИ4, ШТИ5, ШТИ6 (шкафы тиристоров инвертора)</w:t>
            </w:r>
          </w:p>
        </w:tc>
        <w:tc>
          <w:tcPr>
            <w:tcW w:w="3733" w:type="dxa"/>
            <w:vMerge w:val="continue"/>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49" w:name="_Toc239765677"/>
            <w:r>
              <w:rPr>
                <w:rFonts w:eastAsia="Times New Roman" w:cs="Times New Roman"/>
                <w:b/>
                <w:kern w:val="0"/>
                <w:sz w:val="24"/>
                <w:szCs w:val="24"/>
                <w:lang w:val="ru-RU" w:eastAsia="ru-RU" w:bidi="ar-SA"/>
              </w:rPr>
              <w:t>Шкафы пускового ввода (ШВП)</w:t>
            </w:r>
            <w:bookmarkEnd w:id="49"/>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ШПВ2 и ШПВ5</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с полным комплектом датчиков тока, опорных изоляторов, концевых выключателей.</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ШПВ3 и ШПВ6</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в составе: с делителями напряжения постоянного тока и датчиками измерения постоянного тока.</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50" w:name="_Toc239765678"/>
            <w:r>
              <w:rPr>
                <w:rFonts w:eastAsia="Times New Roman" w:cs="Times New Roman"/>
                <w:b/>
                <w:kern w:val="0"/>
                <w:sz w:val="24"/>
                <w:szCs w:val="24"/>
                <w:lang w:val="ru-RU" w:eastAsia="ru-RU" w:bidi="ar-SA"/>
              </w:rPr>
              <w:t>Шкафы резисторов и конденсаторов (ШРК</w:t>
            </w:r>
            <w:bookmarkEnd w:id="50"/>
            <w:r>
              <w:rPr>
                <w:rFonts w:eastAsia="Times New Roman" w:cs="Times New Roman"/>
                <w:b/>
                <w:kern w:val="0"/>
                <w:sz w:val="24"/>
                <w:szCs w:val="24"/>
                <w:lang w:val="ru-RU" w:eastAsia="ru-RU" w:bidi="ar-SA"/>
              </w:rPr>
              <w:t>)</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ШПВ1 и ШПВ4</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 RC-цепями, выполненными на резисторах повышенной мощности и конденсаторах с увеличенным сроком службы</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51" w:name="_Toc239765679"/>
            <w:r>
              <w:rPr>
                <w:rFonts w:eastAsia="Times New Roman" w:cs="Times New Roman"/>
                <w:b/>
                <w:kern w:val="0"/>
                <w:sz w:val="24"/>
                <w:szCs w:val="24"/>
                <w:lang w:val="ru-RU" w:eastAsia="ru-RU" w:bidi="ar-SA"/>
              </w:rPr>
              <w:t>Шкафы демпфирования (ШД)</w:t>
            </w:r>
            <w:bookmarkEnd w:id="51"/>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ШПВ7 и ШПВ8</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 конденсаторами и резисторами, рассчитанными на длительный срок хранения и эксплуатации.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52" w:name="_Toc239765680"/>
            <w:r>
              <w:rPr>
                <w:rFonts w:eastAsia="Times New Roman" w:cs="Times New Roman"/>
                <w:b/>
                <w:kern w:val="0"/>
                <w:sz w:val="24"/>
                <w:szCs w:val="24"/>
                <w:lang w:val="ru-RU" w:eastAsia="ru-RU" w:bidi="ar-SA"/>
              </w:rPr>
              <w:t>Шкаф управления (ШУ)</w:t>
            </w:r>
            <w:bookmarkEnd w:id="52"/>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ШУ</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управления на базе российских контроллеров (PEC и REGUL), с новой системой управления, включающей:</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sz w:val="24"/>
                <w:szCs w:val="24"/>
              </w:rPr>
            </w:pPr>
            <w:bookmarkStart w:id="53" w:name="_Toc239765681"/>
            <w:r>
              <w:rPr>
                <w:rFonts w:eastAsia="Times New Roman" w:cs="Times New Roman"/>
                <w:b/>
                <w:kern w:val="0"/>
                <w:sz w:val="24"/>
                <w:szCs w:val="24"/>
                <w:lang w:val="ru-RU" w:eastAsia="ru-RU" w:bidi="ar-SA"/>
              </w:rPr>
              <w:t>Шкафы системы управления, автоматики и питания (из состава сопряжения)</w:t>
            </w:r>
            <w:bookmarkEnd w:id="53"/>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сигнализации и управления (ШСУ)</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полным набором светодиодных индикаторов, измерительных приборов, ключами и кнопками управления, с питанием от =220 В.</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управления и телемеханики (ШУТМ)</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регистратором аварийных сигналов (РАС), с преобразователями тока, напряжения, мощности, с возможностью выдачи нормированных аналоговых и дискретных сигналов, счётчиком электроэнергии.</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color w:val="0F1115"/>
                <w:kern w:val="0"/>
                <w:sz w:val="24"/>
                <w:szCs w:val="24"/>
                <w:lang w:val="ru-RU" w:eastAsia="ru-RU" w:bidi="ar-SA"/>
              </w:rPr>
              <w:t>Шкаф автоматизированного рабочего места (АРМ)</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промышленным компьютером российского производства (включённым в реестр Минпромторга), монитором, с предустановленным специализированным ПО для мониторинга, настройки, просмотра трендов и архивов.</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сопряжения с объектом (ШСО)</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модулями дискретного и аналогового ввода/вывода.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управления сопряжением (ШУС)</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программируемым логическим контроллером REGUL, модулями дискретного и аналогового ввода/вывода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управления коммутационными аппаратами (ШУКА)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микропроцессорным устройством автоматики, обеспечивающим управление коммутационными аппаратами ПТУ.</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Шкаф защит трансформатора и коммутационных аппаратов (ШЗТ)</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Комплектно с установленными микропроцессорными устройствами РЗА, обеспечивающими защиту согласующего трансформатора ПТУ.</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sz w:val="24"/>
                <w:szCs w:val="24"/>
              </w:rPr>
            </w:pPr>
            <w:r>
              <w:rPr>
                <w:rFonts w:eastAsia="Times New Roman" w:cs="Times New Roman"/>
                <w:b/>
                <w:bCs/>
                <w:kern w:val="0"/>
                <w:sz w:val="24"/>
                <w:szCs w:val="24"/>
                <w:lang w:val="ru-RU" w:eastAsia="ru-RU" w:bidi="ar-SA"/>
              </w:rPr>
              <w:t>Токоограничивающие реакторы</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Количество токоограничивающих реакторов, шт.</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 трехфазных комплекта</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Заводской тип (марка)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b/>
                <w:bCs/>
                <w:color w:val="0F1115"/>
                <w:kern w:val="0"/>
                <w:sz w:val="24"/>
                <w:szCs w:val="24"/>
                <w:lang w:val="ru-RU" w:eastAsia="ru-RU" w:bidi="ar-SA"/>
              </w:rPr>
              <w:t>*</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Указать</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Номинальное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15,75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Наибольшее рабочее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17,5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Номинальная частота, Гц</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Номинальный ток, 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1250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Номинальное индуктивное сопротивление, Ом</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0,56</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Схема установки реакторов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 вертикальным расположением фаз</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конструкции:</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Материал обмотки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Алюминий</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Система охлаждения</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Естественное воздушное</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Габаритные размеры (HxDxL), мм, не более</w:t>
            </w:r>
          </w:p>
          <w:p>
            <w:pPr>
              <w:pStyle w:val="Normal"/>
              <w:suppressAutoHyphens w:val="true"/>
              <w:spacing w:before="0" w:after="0"/>
              <w:jc w:val="center"/>
              <w:rPr>
                <w:sz w:val="24"/>
                <w:szCs w:val="24"/>
              </w:rPr>
            </w:pPr>
            <w:r>
              <w:rPr>
                <w:sz w:val="24"/>
                <w:szCs w:val="24"/>
              </w:rPr>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3150x1570x1880</w:t>
            </w:r>
          </w:p>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Уточняется после разработки КД</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2"/>
              <w:suppressAutoHyphens w:val="true"/>
              <w:spacing w:lineRule="auto" w:line="240" w:before="0" w:after="12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Требования к конструкции выводов</w:t>
            </w:r>
          </w:p>
        </w:tc>
        <w:tc>
          <w:tcPr>
            <w:tcW w:w="3733" w:type="dxa"/>
            <w:tcBorders/>
          </w:tcPr>
          <w:p>
            <w:pPr>
              <w:pStyle w:val="BodyText2"/>
              <w:suppressAutoHyphens w:val="true"/>
              <w:spacing w:lineRule="auto" w:line="240" w:before="0" w:after="120"/>
              <w:jc w:val="left"/>
              <w:rPr>
                <w:highlight w:val="yellow"/>
              </w:rPr>
            </w:pPr>
            <w:r>
              <w:rPr>
                <w:rFonts w:eastAsia="Times New Roman" w:cs="Times New Roman"/>
                <w:kern w:val="0"/>
                <w:lang w:val="ru-RU" w:eastAsia="ru-RU" w:bidi="ar-SA"/>
              </w:rPr>
              <w:t>Конструкция выводов обеспечивает возможность подключения реактора к ошиновке. Угол между выводами реакторов устанавливается в соответствии с требованиями Заказчика</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электрической прочности изоляции:</w:t>
            </w:r>
          </w:p>
        </w:tc>
        <w:tc>
          <w:tcPr>
            <w:tcW w:w="3733" w:type="dxa"/>
            <w:tcBorders/>
          </w:tcPr>
          <w:p>
            <w:pPr>
              <w:pStyle w:val="BodyText2"/>
              <w:suppressAutoHyphens w:val="true"/>
              <w:spacing w:lineRule="auto" w:line="240" w:before="0" w:after="120"/>
              <w:jc w:val="left"/>
              <w:rPr>
                <w:highlight w:val="yellow"/>
              </w:rPr>
            </w:pPr>
            <w:r>
              <w:rPr>
                <w:rFonts w:eastAsia="Times New Roman" w:cs="Times New Roman"/>
                <w:kern w:val="0"/>
                <w:lang w:val="ru-RU" w:eastAsia="ru-RU" w:bidi="ar-SA"/>
              </w:rPr>
              <w:t>В соответствии с классом напряжения для электрооборудования с нормальной изоляцией</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Испытательное напряжение полного грозового импульса,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95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Испытательное одноминутное переменное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50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Уровень изоляции по ГОСТ Р 55195-2012</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"б"</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2"/>
              <w:suppressAutoHyphens w:val="true"/>
              <w:spacing w:lineRule="auto" w:line="240" w:before="0" w:after="120"/>
              <w:ind w:firstLine="48"/>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Требования по стойкости к коротким замыканиям</w:t>
            </w:r>
          </w:p>
          <w:p>
            <w:pPr>
              <w:pStyle w:val="BodyTextIndent2"/>
              <w:widowControl/>
              <w:numPr>
                <w:ilvl w:val="0"/>
                <w:numId w:val="17"/>
              </w:numPr>
              <w:suppressAutoHyphens w:val="false"/>
              <w:spacing w:before="0" w:after="0"/>
              <w:ind w:firstLine="48" w:left="0"/>
              <w:jc w:val="left"/>
              <w:rPr>
                <w:color w:val="000000"/>
              </w:rPr>
            </w:pPr>
            <w:r>
              <w:rPr>
                <w:rFonts w:eastAsia="Times New Roman" w:cs="Times New Roman"/>
                <w:color w:val="000000"/>
                <w:kern w:val="0"/>
                <w:szCs w:val="20"/>
                <w:lang w:val="ru-RU" w:eastAsia="ru-RU" w:bidi="ar-SA"/>
              </w:rPr>
              <w:t xml:space="preserve">Внешний ток короткого замыкания от системы (до токоограничивающего реактора </w:t>
            </w:r>
            <w:r>
              <w:rPr>
                <w:rFonts w:eastAsia="Times New Roman" w:cs="Times New Roman"/>
                <w:color w:val="000000"/>
                <w:kern w:val="0"/>
                <w:szCs w:val="20"/>
                <w:lang w:val="en-US" w:eastAsia="ru-RU" w:bidi="ar-SA"/>
              </w:rPr>
              <w:t>L</w:t>
            </w:r>
            <w:r>
              <w:rPr>
                <w:rFonts w:eastAsia="Times New Roman" w:cs="Times New Roman"/>
                <w:color w:val="000000"/>
                <w:kern w:val="0"/>
                <w:szCs w:val="20"/>
                <w:lang w:val="ru-RU" w:eastAsia="ru-RU" w:bidi="ar-SA"/>
              </w:rPr>
              <w:t>1) -</w:t>
            </w:r>
            <w:r>
              <w:rPr>
                <w:rFonts w:eastAsia="Times New Roman" w:cs="Times New Roman"/>
                <w:color w:val="000000"/>
                <w:kern w:val="0"/>
                <w:szCs w:val="20"/>
                <w:lang w:val="en-US" w:eastAsia="ru-RU" w:bidi="ar-SA"/>
              </w:rPr>
              <w:t>I</w:t>
            </w:r>
            <w:r>
              <w:rPr>
                <w:rFonts w:eastAsia="Times New Roman" w:cs="Times New Roman"/>
                <w:color w:val="000000"/>
                <w:kern w:val="0"/>
                <w:szCs w:val="20"/>
                <w:vertAlign w:val="subscript"/>
                <w:lang w:val="en-US" w:eastAsia="ru-RU" w:bidi="ar-SA"/>
              </w:rPr>
              <w:t>po</w:t>
            </w:r>
            <w:r>
              <w:rPr>
                <w:rFonts w:eastAsia="Times New Roman" w:cs="Times New Roman"/>
                <w:color w:val="000000"/>
                <w:kern w:val="0"/>
                <w:szCs w:val="20"/>
                <w:vertAlign w:val="subscript"/>
                <w:lang w:val="ru-RU" w:eastAsia="ru-RU" w:bidi="ar-SA"/>
              </w:rPr>
              <w:t xml:space="preserve"> </w:t>
            </w:r>
            <w:r>
              <w:rPr>
                <w:rFonts w:eastAsia="Times New Roman" w:cs="Times New Roman"/>
                <w:color w:val="000000"/>
                <w:kern w:val="0"/>
                <w:szCs w:val="20"/>
                <w:lang w:val="ru-RU" w:eastAsia="ru-RU" w:bidi="ar-SA"/>
              </w:rPr>
              <w:t xml:space="preserve">=127кА, </w:t>
            </w:r>
            <w:r>
              <w:rPr>
                <w:rFonts w:eastAsia="Times New Roman" w:cs="Times New Roman"/>
                <w:color w:val="000000"/>
                <w:kern w:val="0"/>
                <w:szCs w:val="20"/>
                <w:lang w:val="en-US" w:eastAsia="ru-RU" w:bidi="ar-SA"/>
              </w:rPr>
              <w:t>i</w:t>
            </w:r>
            <w:r>
              <w:rPr>
                <w:rFonts w:eastAsia="Times New Roman" w:cs="Times New Roman"/>
                <w:color w:val="000000"/>
                <w:kern w:val="0"/>
                <w:szCs w:val="20"/>
                <w:vertAlign w:val="subscript"/>
                <w:lang w:val="ru-RU" w:eastAsia="ru-RU" w:bidi="ar-SA"/>
              </w:rPr>
              <w:t>уд</w:t>
            </w:r>
            <w:r>
              <w:rPr>
                <w:rFonts w:eastAsia="Times New Roman" w:cs="Times New Roman"/>
                <w:color w:val="000000"/>
                <w:kern w:val="0"/>
                <w:szCs w:val="20"/>
                <w:lang w:val="ru-RU" w:eastAsia="ru-RU" w:bidi="ar-SA"/>
              </w:rPr>
              <w:t>=350кА;</w:t>
            </w:r>
          </w:p>
          <w:p>
            <w:pPr>
              <w:pStyle w:val="BodyText2"/>
              <w:suppressAutoHyphens w:val="true"/>
              <w:spacing w:lineRule="auto" w:line="240" w:before="0" w:after="120"/>
              <w:ind w:firstLine="48"/>
              <w:jc w:val="left"/>
              <w:rPr>
                <w:rFonts w:ascii="Times New Roman" w:hAnsi="Times New Roman" w:eastAsia="Times New Roman" w:cs="Times New Roman"/>
                <w:kern w:val="0"/>
                <w:lang w:val="ru-RU" w:eastAsia="ru-RU" w:bidi="ar-SA"/>
              </w:rPr>
            </w:pPr>
            <w:r>
              <w:rPr>
                <w:rFonts w:eastAsia="Times New Roman" w:cs="Times New Roman"/>
                <w:color w:val="000000"/>
                <w:kern w:val="0"/>
                <w:lang w:val="ru-RU" w:eastAsia="ru-RU" w:bidi="ar-SA"/>
              </w:rPr>
              <w:t>Внешний ток короткого замыкания от генератора (до токоограничивающего реактора L2) -I</w:t>
            </w:r>
            <w:r>
              <w:rPr>
                <w:rFonts w:eastAsia="Times New Roman" w:cs="Times New Roman"/>
                <w:color w:val="000000"/>
                <w:kern w:val="0"/>
                <w:vertAlign w:val="subscript"/>
                <w:lang w:val="ru-RU" w:eastAsia="ru-RU" w:bidi="ar-SA"/>
              </w:rPr>
              <w:t xml:space="preserve">po </w:t>
            </w:r>
            <w:r>
              <w:rPr>
                <w:rFonts w:eastAsia="Times New Roman" w:cs="Times New Roman"/>
                <w:color w:val="000000"/>
                <w:kern w:val="0"/>
                <w:lang w:val="ru-RU" w:eastAsia="ru-RU" w:bidi="ar-SA"/>
              </w:rPr>
              <w:t>=54кА, i</w:t>
            </w:r>
            <w:r>
              <w:rPr>
                <w:rFonts w:eastAsia="Times New Roman" w:cs="Times New Roman"/>
                <w:color w:val="000000"/>
                <w:kern w:val="0"/>
                <w:vertAlign w:val="subscript"/>
                <w:lang w:val="ru-RU" w:eastAsia="ru-RU" w:bidi="ar-SA"/>
              </w:rPr>
              <w:t>уд</w:t>
            </w:r>
            <w:r>
              <w:rPr>
                <w:rFonts w:eastAsia="Times New Roman" w:cs="Times New Roman"/>
                <w:color w:val="000000"/>
                <w:kern w:val="0"/>
                <w:lang w:val="ru-RU" w:eastAsia="ru-RU" w:bidi="ar-SA"/>
              </w:rPr>
              <w:t>=151кА;</w:t>
            </w:r>
          </w:p>
        </w:tc>
        <w:tc>
          <w:tcPr>
            <w:tcW w:w="3733" w:type="dxa"/>
            <w:tcBorders/>
          </w:tcPr>
          <w:p>
            <w:pPr>
              <w:pStyle w:val="BodyText2"/>
              <w:suppressAutoHyphens w:val="true"/>
              <w:spacing w:lineRule="auto" w:line="240" w:before="0" w:after="120"/>
              <w:jc w:val="left"/>
              <w:rPr>
                <w:highlight w:val="yellow"/>
              </w:rPr>
            </w:pPr>
            <w:r>
              <w:rPr>
                <w:rFonts w:eastAsia="Times New Roman" w:cs="Times New Roman"/>
                <w:kern w:val="0"/>
                <w:lang w:val="ru-RU" w:eastAsia="ru-RU" w:bidi="ar-SA"/>
              </w:rPr>
              <w:t>Реактор выдерживает без повреждений сквозные короткие замыкания</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bCs/>
                <w:sz w:val="24"/>
                <w:szCs w:val="24"/>
              </w:rPr>
            </w:pPr>
            <w:r>
              <w:rPr>
                <w:rFonts w:eastAsia="Times New Roman" w:cs="Times New Roman"/>
                <w:bCs/>
                <w:kern w:val="0"/>
                <w:sz w:val="24"/>
                <w:szCs w:val="24"/>
                <w:lang w:val="ru-RU" w:eastAsia="ru-RU" w:bidi="ar-SA"/>
              </w:rPr>
              <w:t>Требования по надёжности:</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Срок службы, лет,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40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BodyText2"/>
              <w:suppressAutoHyphens w:val="true"/>
              <w:spacing w:lineRule="auto" w:line="240" w:before="0" w:after="120"/>
              <w:jc w:val="left"/>
              <w:rPr>
                <w:rFonts w:ascii="Times New Roman" w:hAnsi="Times New Roman" w:eastAsia="Times New Roman" w:cs="Times New Roman"/>
                <w:kern w:val="0"/>
                <w:lang w:val="ru-RU" w:eastAsia="ru-RU" w:bidi="ar-SA"/>
              </w:rPr>
            </w:pPr>
            <w:r>
              <w:rPr>
                <w:rFonts w:eastAsia="Times New Roman" w:cs="Times New Roman"/>
                <w:kern w:val="0"/>
                <w:lang w:val="ru-RU" w:eastAsia="ru-RU" w:bidi="ar-SA"/>
              </w:rPr>
              <w:t>Необходимость проведения капитального ремонта в течение срока эксплуатации</w:t>
            </w:r>
          </w:p>
        </w:tc>
        <w:tc>
          <w:tcPr>
            <w:tcW w:w="3733" w:type="dxa"/>
            <w:tcBorders/>
          </w:tcPr>
          <w:p>
            <w:pPr>
              <w:pStyle w:val="BodyText2"/>
              <w:suppressAutoHyphens w:val="true"/>
              <w:spacing w:lineRule="auto" w:line="240" w:before="0" w:after="120"/>
              <w:jc w:val="left"/>
              <w:rPr>
                <w:highlight w:val="yellow"/>
              </w:rPr>
            </w:pPr>
            <w:r>
              <w:rPr>
                <w:rFonts w:eastAsia="Times New Roman" w:cs="Times New Roman"/>
                <w:kern w:val="0"/>
                <w:lang w:val="ru-RU" w:eastAsia="ru-RU" w:bidi="ar-SA"/>
              </w:rPr>
              <w:t>Неремонтируемый на протяжении всего срока службы</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b/>
                <w:bCs/>
                <w:sz w:val="24"/>
                <w:szCs w:val="24"/>
              </w:rPr>
            </w:pPr>
            <w:r>
              <w:rPr>
                <w:rFonts w:eastAsia="Times New Roman" w:cs="Times New Roman"/>
                <w:bCs/>
                <w:kern w:val="0"/>
                <w:sz w:val="24"/>
                <w:szCs w:val="24"/>
                <w:lang w:val="ru-RU" w:eastAsia="ru-RU" w:bidi="ar-SA"/>
              </w:rPr>
              <w:t>Требования к маркировке, упаковке, транспортированию, условиям хранения</w:t>
            </w:r>
            <w:r>
              <w:rPr>
                <w:rFonts w:eastAsia="Times New Roman" w:cs="Times New Roman"/>
                <w:b/>
                <w:bCs/>
                <w:kern w:val="0"/>
                <w:sz w:val="24"/>
                <w:szCs w:val="24"/>
                <w:lang w:val="ru-RU" w:eastAsia="ru-RU" w:bidi="ar-SA"/>
              </w:rPr>
              <w:t>:</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упаковке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Упаковка обеспечивает исключение механических повреждений, защиту изоляционных частей от воздействия внешней среды при транспортировании</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Условия транспортирования в части воздействия климатических факторов внешней среды по ГОСТ 15150-69</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Ж1 (открытые площадки в макроклиматических районах с умеренным и холодным климатом)</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Условия хранения в части воздействия климатических факторов внешней среды по ГОСТ 15150-69</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Ж2 (навесы в макроклиматических районах с умеренным и холодным климатом в условно чистой атмосфере)</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b/>
                <w:bCs/>
                <w:sz w:val="24"/>
                <w:szCs w:val="24"/>
              </w:rPr>
            </w:pPr>
            <w:bookmarkStart w:id="54" w:name="_Toc239765683"/>
            <w:r>
              <w:rPr>
                <w:rFonts w:eastAsia="Times New Roman" w:cs="Times New Roman"/>
                <w:b/>
                <w:bCs/>
                <w:kern w:val="0"/>
                <w:sz w:val="24"/>
                <w:szCs w:val="24"/>
                <w:lang w:val="ru-RU" w:eastAsia="ru-RU" w:bidi="ar-SA"/>
              </w:rPr>
              <w:t>Сглаживающие реакторы</w:t>
            </w:r>
            <w:bookmarkEnd w:id="54"/>
            <w:r>
              <w:rPr>
                <w:rFonts w:eastAsia="Times New Roman" w:cs="Times New Roman"/>
                <w:b/>
                <w:bCs/>
                <w:kern w:val="0"/>
                <w:sz w:val="24"/>
                <w:szCs w:val="24"/>
                <w:lang w:val="ru-RU" w:eastAsia="ru-RU" w:bidi="ar-SA"/>
              </w:rPr>
              <w:t xml:space="preserve"> </w:t>
            </w:r>
          </w:p>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Количество реакторов, шт.</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 xml:space="preserve">Поставляются комплектно, </w:t>
            </w:r>
            <w:r>
              <w:rPr>
                <w:rFonts w:eastAsia="Calibri" w:cs="" w:cstheme="minorBidi" w:eastAsiaTheme="minorHAnsi"/>
                <w:kern w:val="0"/>
                <w:sz w:val="24"/>
                <w:szCs w:val="24"/>
                <w:lang w:val="ru-RU" w:eastAsia="en-US" w:bidi="ar-SA"/>
              </w:rPr>
              <w:t>с общей индуктивностью 100 мГн на звено постоянного тока.</w:t>
            </w:r>
            <w:r>
              <w:rPr>
                <w:rFonts w:eastAsia="Times New Roman" w:cs="Times New Roman"/>
                <w:kern w:val="0"/>
                <w:sz w:val="24"/>
                <w:szCs w:val="24"/>
                <w:lang w:val="ru-RU" w:eastAsia="ru-RU" w:bidi="ar-SA"/>
              </w:rPr>
              <w:t xml:space="preserve"> Количество определяется КД</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Заводской тип (марка)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bCs/>
                <w:color w:val="0F1115"/>
                <w:kern w:val="0"/>
                <w:sz w:val="24"/>
                <w:szCs w:val="24"/>
                <w:lang w:val="ru-RU" w:eastAsia="ru-RU" w:bidi="ar-SA"/>
              </w:rPr>
              <w:t>*</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Номинальное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15,75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Наибольшее рабочее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17,5</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Номинальный постоянный ток, А</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700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Индуктивность (общая на звено постоянного тока), не менее мГн</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100</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Схема установки реакторов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Определяется КД</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конструкции:</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Материал обмотки</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Алюминий</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Система охлаждения</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Естественное воздушное</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Габаритные размеры (HxDxL), мм, не более</w:t>
            </w:r>
          </w:p>
          <w:p>
            <w:pPr>
              <w:pStyle w:val="Normal"/>
              <w:suppressAutoHyphens w:val="true"/>
              <w:spacing w:before="0" w:after="0"/>
              <w:jc w:val="left"/>
              <w:rPr>
                <w:sz w:val="24"/>
                <w:szCs w:val="24"/>
              </w:rPr>
            </w:pPr>
            <w:r>
              <w:rPr>
                <w:sz w:val="24"/>
                <w:szCs w:val="24"/>
              </w:rPr>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Определяется КД</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Класс нагревостойкости по ГОСТ 8865-93</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H</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электрической прочности изоляции:</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Испытательное напряжение полного грозового импульса,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65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Испытательное одноминутное переменное напряжение, кВ</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65</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Уровень изоляции по ГОСТ Р 55195-2012</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"б"</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bCs/>
                <w:sz w:val="24"/>
                <w:szCs w:val="24"/>
              </w:rPr>
            </w:pPr>
            <w:r>
              <w:rPr>
                <w:rFonts w:eastAsia="Times New Roman" w:cs="Times New Roman"/>
                <w:bCs/>
                <w:kern w:val="0"/>
                <w:sz w:val="24"/>
                <w:szCs w:val="24"/>
                <w:lang w:val="ru-RU" w:eastAsia="ru-RU" w:bidi="ar-SA"/>
              </w:rPr>
              <w:t>Требования по надёжности:</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Срок службы, лет, не менее</w:t>
            </w:r>
          </w:p>
        </w:tc>
        <w:tc>
          <w:tcPr>
            <w:tcW w:w="3733" w:type="dxa"/>
            <w:tcBorders/>
            <w:vAlign w:val="center"/>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40</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маркировке, упаковке, транспортированию, условиям хранения</w:t>
            </w:r>
          </w:p>
        </w:tc>
        <w:tc>
          <w:tcPr>
            <w:tcW w:w="3733" w:type="dxa"/>
            <w:tcBorders/>
            <w:vAlign w:val="center"/>
          </w:tcPr>
          <w:p>
            <w:pPr>
              <w:pStyle w:val="Normal"/>
              <w:suppressAutoHyphens w:val="true"/>
              <w:spacing w:before="0" w:after="0"/>
              <w:jc w:val="center"/>
              <w:rPr>
                <w:sz w:val="24"/>
                <w:szCs w:val="24"/>
              </w:rPr>
            </w:pPr>
            <w:r>
              <w:rPr>
                <w:sz w:val="24"/>
                <w:szCs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Требования к упаковке</w:t>
            </w:r>
          </w:p>
        </w:tc>
        <w:tc>
          <w:tcPr>
            <w:tcW w:w="3733"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Упаковка обеспечивает исключение механических повреждений, защиту изоляционных частей от воздействия внешней среды при транспортировании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Условия транспортирования в части воздействия климатических факторов внешней среды по ГОСТ 15150-69</w:t>
            </w:r>
          </w:p>
        </w:tc>
        <w:tc>
          <w:tcPr>
            <w:tcW w:w="3733"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Ж1 (открытые площадки в макроклиматических районах с умеренным и холодным климатом)</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Условия хранения в части воздействия климатических факторов внешней среды по ГОСТ 15150-69</w:t>
            </w:r>
          </w:p>
        </w:tc>
        <w:tc>
          <w:tcPr>
            <w:tcW w:w="3733"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Ж2 (навесы в макроклиматических районах с умеренным и холодным климатом в условно чистой атмосфере)</w:t>
            </w:r>
          </w:p>
        </w:tc>
        <w:tc>
          <w:tcPr>
            <w:tcW w:w="2362" w:type="dxa"/>
            <w:tcBorders/>
          </w:tcPr>
          <w:p>
            <w:pPr>
              <w:pStyle w:val="Normal"/>
              <w:suppressAutoHyphens w:val="true"/>
              <w:spacing w:before="0" w:after="0"/>
              <w:jc w:val="center"/>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Normal"/>
              <w:suppressAutoHyphens w:val="true"/>
              <w:spacing w:before="0" w:after="0"/>
              <w:jc w:val="left"/>
              <w:rPr>
                <w:sz w:val="24"/>
                <w:szCs w:val="24"/>
              </w:rPr>
            </w:pPr>
            <w:r>
              <w:rPr>
                <w:rFonts w:eastAsia="Times New Roman" w:cs="Times New Roman"/>
                <w:b/>
                <w:kern w:val="0"/>
                <w:sz w:val="24"/>
                <w:szCs w:val="24"/>
                <w:lang w:val="ru-RU" w:eastAsia="ru-RU" w:bidi="ar-SA"/>
              </w:rPr>
              <w:t>Прочие (дополнительные) требования к продукции</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b/>
                <w:sz w:val="24"/>
                <w:szCs w:val="24"/>
              </w:rPr>
            </w:pPr>
            <w:r>
              <w:rPr>
                <w:rFonts w:eastAsia="Times New Roman" w:cs="Times New Roman"/>
                <w:kern w:val="0"/>
                <w:sz w:val="24"/>
                <w:szCs w:val="24"/>
                <w:lang w:val="ru-RU" w:eastAsia="ru-RU" w:bidi="ar-SA"/>
              </w:rPr>
              <w:t>Требования к системе управления, защиты, автоматики и отображения информации</w:t>
            </w:r>
          </w:p>
        </w:tc>
        <w:tc>
          <w:tcPr>
            <w:tcW w:w="3733" w:type="dxa"/>
            <w:tcBorders/>
          </w:tcPr>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Предусмотреть микропроцессорные устройства управления, защит, мониторинга, включая защиты трансформатора ПТУ и силового преобразователя, мониторинг трансформатора.</w:t>
            </w:r>
          </w:p>
          <w:p>
            <w:pPr>
              <w:pStyle w:val="Normal"/>
              <w:keepNext w:val="true"/>
              <w:widowControl/>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Все МП устройства, панели оператора, сетевые компоненты, должны удовлетворять требованиям технической политики ПАО «РусГидро», в том числе политике импортозамещения, и быть включены в реестр российской промышленной продукции (Минпромторг).</w:t>
            </w:r>
          </w:p>
          <w:p>
            <w:pPr>
              <w:pStyle w:val="Normal"/>
              <w:keepNext w:val="true"/>
              <w:widowControl/>
              <w:suppressAutoHyphens w:val="true"/>
              <w:spacing w:before="0" w:after="0"/>
              <w:jc w:val="left"/>
              <w:rPr>
                <w:rFonts w:ascii="Times New Roman" w:hAnsi="Times New Roman" w:eastAsia="Times New Roman" w:cs="Times New Roman"/>
                <w:kern w:val="0"/>
                <w:lang w:val="ru-RU" w:eastAsia="ru-RU" w:bidi="ar-SA"/>
              </w:rPr>
            </w:pPr>
            <w:r>
              <w:rPr>
                <w:rFonts w:eastAsia="Times New Roman" w:cs="Times New Roman"/>
                <w:kern w:val="0"/>
                <w:sz w:val="24"/>
                <w:szCs w:val="24"/>
                <w:lang w:val="ru-RU" w:eastAsia="ru-RU" w:bidi="ar-SA"/>
              </w:rPr>
              <w:t>Средства измерений должны иметь действующую поверку и быть внесены в Федеральный информационный фонд по обеспечению единства измерений.</w:t>
            </w:r>
          </w:p>
          <w:p>
            <w:pPr>
              <w:pStyle w:val="Normal"/>
              <w:keepNext w:val="true"/>
              <w:widowControl/>
              <w:suppressAutoHyphens w:val="true"/>
              <w:spacing w:before="0" w:after="0"/>
              <w:jc w:val="left"/>
              <w:rPr>
                <w:sz w:val="24"/>
                <w:szCs w:val="24"/>
              </w:rPr>
            </w:pPr>
            <w:r>
              <w:rPr>
                <w:sz w:val="24"/>
                <w:szCs w:val="24"/>
              </w:rPr>
              <w:t xml:space="preserve">Поставляемое программное обеспечение должно быть включено в Единый реестр российских программ для электронных вычислительных машин и баз данных </w:t>
            </w:r>
            <w:hyperlink r:id="rId12">
              <w:r>
                <w:rPr>
                  <w:rStyle w:val="Hyperlink"/>
                  <w:sz w:val="24"/>
                  <w:szCs w:val="24"/>
                </w:rPr>
                <w:t>https://reestr.digital.gov.ru/</w:t>
              </w:r>
            </w:hyperlink>
            <w:r>
              <w:rPr>
                <w:sz w:val="24"/>
                <w:szCs w:val="24"/>
              </w:rPr>
              <w:t>.</w:t>
            </w:r>
          </w:p>
          <w:p>
            <w:pPr>
              <w:pStyle w:val="Normal"/>
              <w:keepNext w:val="true"/>
              <w:widowControl/>
              <w:suppressAutoHyphens w:val="true"/>
              <w:spacing w:before="0" w:after="0"/>
              <w:jc w:val="left"/>
              <w:rPr>
                <w:sz w:val="24"/>
                <w:szCs w:val="24"/>
              </w:rPr>
            </w:pPr>
            <w:r>
              <w:rPr>
                <w:rFonts w:eastAsia="Times New Roman" w:cs="Times New Roman"/>
                <w:kern w:val="0"/>
                <w:sz w:val="24"/>
                <w:szCs w:val="24"/>
                <w:lang w:val="ru-RU" w:eastAsia="ru-RU" w:bidi="ar-SA"/>
              </w:rPr>
              <w:t>В части интеграции в АСУТП МП устройства должны соответствовать типовым проектным решениям ПАО «РусГидро» в части АСУ ЭТО ГЭС. Протоколы и интерфейсы интеграции согласовать с разработчиком АСУТП.</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В составе системы управления ПТУ должны быть предусмотрены:</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автосинхронизатор с возможностью подключения цепей ТН главных выводов генераторов А-7…А-10 и ТН на стороне НН трансформаторов Т-7…Т-10;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счетчик электрической энергии (измерительный преобразователь) для технического учета и измерения электроэнергии в цепи ПТУ.</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Система управления ПТУ должна формировать, как минимум, следующий набор сигналов для САУ ГА (для каждого из агрегатов А-7…А-10):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разгон завершен;</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торможение завершено;</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ПТУ готов для работы с А-7 (А-8, А-9, 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ПТУ готов для разгона А-7 (А-8, А-9, 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ПТУ готов для торможения А-7 (А-8, А-9, 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Авария ПТУ.</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Система управления ПТУ должна принимать, как минимум, следующий набор сигналов от САУ ГА (для каждого из агрегатов А-7…А-10):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Запрос на разгон А-7 (А-8, А-9, 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Запрос на торможение А-7 (А-8, А-9, А-10);</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Силовая схема генератора готова;</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Задание генераторного направления вращения;</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Задание насосного направления вращения;</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Разъединитель подключения генератора к пусковым шинам включен;</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Разъединитель подключения генератора к пусковым шинам отключен;</w:t>
            </w:r>
          </w:p>
          <w:p>
            <w:pPr>
              <w:pStyle w:val="Normal"/>
              <w:keepNext w:val="true"/>
              <w:suppressAutoHyphens w:val="true"/>
              <w:spacing w:before="0" w:after="0"/>
              <w:jc w:val="both"/>
              <w:rPr>
                <w:sz w:val="24"/>
                <w:szCs w:val="24"/>
              </w:rPr>
            </w:pPr>
            <w:r>
              <w:rPr>
                <w:rFonts w:eastAsia="Times New Roman" w:cs="Times New Roman"/>
                <w:kern w:val="0"/>
                <w:sz w:val="24"/>
                <w:szCs w:val="24"/>
                <w:lang w:val="ru-RU" w:eastAsia="ru-RU" w:bidi="ar-SA"/>
              </w:rPr>
              <w:t>- Возбуждение подано;</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 Завершение разгона от ПТУ (импульс синхронизации).</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b/>
                <w:sz w:val="24"/>
                <w:szCs w:val="24"/>
              </w:rPr>
            </w:pPr>
            <w:r>
              <w:rPr>
                <w:rFonts w:eastAsia="Times New Roman" w:cs="Times New Roman"/>
                <w:b/>
                <w:kern w:val="0"/>
                <w:sz w:val="24"/>
                <w:szCs w:val="24"/>
                <w:lang w:val="ru-RU" w:eastAsia="ru-RU" w:bidi="ar-SA"/>
              </w:rPr>
              <w:t xml:space="preserve">Требования к конструкции, изготовлению и материалам </w:t>
            </w:r>
          </w:p>
          <w:p>
            <w:pPr>
              <w:pStyle w:val="Normal"/>
              <w:suppressAutoHyphens w:val="true"/>
              <w:spacing w:before="0" w:after="0"/>
              <w:jc w:val="both"/>
              <w:rPr>
                <w:sz w:val="24"/>
                <w:szCs w:val="24"/>
              </w:rPr>
            </w:pPr>
            <w:r>
              <w:rPr>
                <w:rFonts w:eastAsia="Times New Roman" w:cs="Times New Roman"/>
                <w:bCs/>
                <w:kern w:val="0"/>
                <w:sz w:val="24"/>
                <w:szCs w:val="24"/>
                <w:lang w:val="ru-RU" w:eastAsia="ru-RU" w:bidi="ar-SA"/>
              </w:rPr>
              <w:t>(общие требования к оборудованию в объеме поставки)</w:t>
            </w:r>
          </w:p>
        </w:tc>
        <w:tc>
          <w:tcPr>
            <w:tcW w:w="3733"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Конструкция оборудования должна соответствовать требованиям пожаробезопасности в соответствии с ГОСТ 12.1.004-91 и Федеральным законом № 123-ФЗ от 22 июля 2008 г. Пожарная безопасность должна обеспечиваться применением в конструкции материалов, стойких к воздействию пламени, нагреву в контактных соединениях, выбором необходимых расстояний между токоведущими частями. Оборудование не должно являться источником зажигания и должно исключать распространение горения за его пределами.</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Работа высоковольтного оборудования должна производиться только при закрытых дверях шкафов. Должны быть предусмотрены алгоритмы аварийного отключения при открывании дверей силовых шкафов.</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Все металлические детали должны иметь антикоррозионное покрытие, окраска – порошковая, толщина не менее 50 мкм.</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Шкафы должны быть пригодны для перемещения грузоподъемными механизмами, иметь рым-болты.</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Конструкция должна обеспечивать ремонтопригодность: доступ к контактным соединениям, возможность замены блоков без демонтажа соседних, наличие мест для заземления.</w:t>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7418" w:type="dxa"/>
            <w:gridSpan w:val="2"/>
            <w:tcBorders/>
            <w:vAlign w:val="center"/>
          </w:tcPr>
          <w:p>
            <w:pPr>
              <w:pStyle w:val="TableParagraph"/>
              <w:spacing w:lineRule="exact" w:line="267" w:before="0" w:after="0"/>
              <w:jc w:val="center"/>
              <w:rPr>
                <w:rFonts w:ascii="Times New Roman" w:hAnsi="Times New Roman"/>
                <w:sz w:val="24"/>
                <w:lang w:val="ru-RU"/>
              </w:rPr>
            </w:pPr>
            <w:bookmarkStart w:id="55" w:name="_Hlk233616534"/>
            <w:r>
              <w:rPr>
                <w:rFonts w:cs="Times New Roman" w:ascii="Times New Roman" w:hAnsi="Times New Roman"/>
                <w:b/>
                <w:bCs/>
                <w:kern w:val="0"/>
                <w:sz w:val="24"/>
                <w:szCs w:val="24"/>
                <w:lang w:val="ru-RU" w:bidi="ar-SA"/>
              </w:rPr>
              <w:t>Требования к доставке, маркировке, упаковке, транспортировке, перемещению, условиям хранения, приемке и испытаниям</w:t>
            </w:r>
            <w:bookmarkEnd w:id="55"/>
          </w:p>
        </w:tc>
        <w:tc>
          <w:tcPr>
            <w:tcW w:w="2362" w:type="dxa"/>
            <w:tcBorders/>
          </w:tcPr>
          <w:p>
            <w:pPr>
              <w:pStyle w:val="Normal"/>
              <w:suppressAutoHyphens w:val="true"/>
              <w:spacing w:before="0" w:after="0"/>
              <w:jc w:val="center"/>
              <w:rPr>
                <w:sz w:val="24"/>
              </w:rPr>
            </w:pPr>
            <w:r>
              <w:rPr>
                <w:sz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Место поставки продукции</w:t>
            </w:r>
          </w:p>
        </w:tc>
        <w:tc>
          <w:tcPr>
            <w:tcW w:w="3733"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141342, Московская обл., Сергиево-Посадский р-н., пос.Богородское, д.101.</w:t>
            </w:r>
          </w:p>
        </w:tc>
        <w:tc>
          <w:tcPr>
            <w:tcW w:w="2362" w:type="dxa"/>
            <w:tcBorders/>
          </w:tcPr>
          <w:p>
            <w:pPr>
              <w:pStyle w:val="Normal"/>
              <w:suppressAutoHyphens w:val="true"/>
              <w:spacing w:before="0" w:after="0"/>
              <w:jc w:val="center"/>
              <w:rPr>
                <w:sz w:val="24"/>
              </w:rPr>
            </w:pPr>
            <w:r>
              <w:rPr>
                <w:sz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Маркировка должна быть выполнена в соответствии с требованиями ГОСТ 18620-86 и КД. Место расположения маркировки должно обеспечивать доступность для обзора и прочтения при монтаже и эксплуатации. Способ нанесения обеспечивает сохранность маркировки на протяжении всего назначенного срока службы.</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На паспортной табличке представлена следующая информация: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товарный знак изготовителя;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условное обозначение;</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номинальное напряжение в киловольтах (кВ);</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номинальный ток в амперах (А);</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массу в килограммах (кг);</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обозначение ТУ;</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дату изготовления (месяц, год);</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степень защиты оболочки по ГОСТ 14254-2015 (IEC 60529:2013);</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единый знак обращения продукции на рынке государств-членов Таможенного союза;</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заводской номер;</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страну-изготовителя.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Функциональные блоки и места их установки имеют соответствующие надписи, предотвращающие их неправильную установку.</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Оборудование должно иметь маркировочные данные для правильного и безопасного обращения с ним в процессе монтажа, эксплуатации и ремонта:</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позиционные обозначения элементов электрических схем;</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маркировку монтажных проводов;</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обозначение заземления;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маркировку входных и выходных выводов;</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поясняющие оперативные надписи под органами управления и индикации.</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Консервацию, переконсервацию, упаковку и хранение производить в соответствии с заводской инструкцией на соответствующее оборудование.</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Упаковка должна обеспечивать исключение механических повреждений, защиту изоляционных частей от воздействия внешней среды при транспортировании.</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Подготовку к транспортированию, транспортирование производить в соответствии с заводской инструкцией на соответствующее оборудование.</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0"/>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Таможенная очистка и доставка до места назначения (площадка строительства) осуществляется за счет Исполнителя и включено в стоимость оборудования</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Все надписи должны быть выполнены на русском языке</w:t>
            </w:r>
          </w:p>
        </w:tc>
        <w:tc>
          <w:tcPr>
            <w:tcW w:w="3733" w:type="dxa"/>
            <w:tcBorders/>
          </w:tcPr>
          <w:p>
            <w:pPr>
              <w:pStyle w:val="BodyTextIndent2"/>
              <w:suppressAutoHyphens w:val="true"/>
              <w:spacing w:before="0" w:after="0"/>
              <w:ind w:left="176"/>
              <w:jc w:val="center"/>
              <w:rPr>
                <w:color w:val="000000"/>
                <w:szCs w:val="24"/>
              </w:rPr>
            </w:pPr>
            <w:r>
              <w:rPr>
                <w:rFonts w:eastAsia="Times New Roman" w:cs="Times New Roman"/>
                <w:kern w:val="0"/>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Проверка комплектности при поставке, монтаж, включение под нагрузку с участием шеф – инженера завода-изготовителя</w:t>
            </w:r>
          </w:p>
        </w:tc>
        <w:tc>
          <w:tcPr>
            <w:tcW w:w="3733" w:type="dxa"/>
            <w:tcBorders/>
            <w:vAlign w:val="center"/>
          </w:tcPr>
          <w:p>
            <w:pPr>
              <w:pStyle w:val="BodyTextIndent2"/>
              <w:suppressAutoHyphens w:val="true"/>
              <w:spacing w:before="0" w:after="0"/>
              <w:ind w:left="176"/>
              <w:jc w:val="center"/>
              <w:rPr>
                <w:szCs w:val="24"/>
              </w:rPr>
            </w:pPr>
            <w:r>
              <w:rPr>
                <w:rFonts w:eastAsia="Times New Roman" w:cs="Times New Roman"/>
                <w:kern w:val="0"/>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both"/>
              <w:rPr>
                <w:sz w:val="24"/>
                <w:szCs w:val="24"/>
              </w:rPr>
            </w:pPr>
            <w:r>
              <w:rPr>
                <w:rFonts w:eastAsia="Times New Roman" w:cs="Times New Roman"/>
                <w:kern w:val="0"/>
                <w:sz w:val="24"/>
                <w:szCs w:val="24"/>
                <w:lang w:val="ru-RU" w:eastAsia="ru-RU" w:bidi="ar-SA"/>
              </w:rPr>
              <w:t>Транспортная маркировка наносится по ГОСТ 14192-96 на ярлыки или непосредственно на тару лакокрасочным покрытием при помощи трафаретов.</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Маркировка транспортной тары содержит:</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адрес и наименование предприятия-изготовителя;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адрес и наименование отправителя;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количество грузовых мест и порядковый номер места (через дробь);</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наименование грузоотправителя;</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массу брутто/нетто грузового места, кг;</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манипуляционные знаки: «Хрупкое. Осторожно», «Беречь от влаги», «Верх», «Пределы температуры», «Места строповки» и т.д.;</w:t>
            </w:r>
          </w:p>
          <w:p>
            <w:pPr>
              <w:pStyle w:val="Normal"/>
              <w:suppressAutoHyphens w:val="true"/>
              <w:spacing w:before="0" w:after="0"/>
              <w:jc w:val="both"/>
              <w:rPr>
                <w:sz w:val="24"/>
                <w:szCs w:val="24"/>
              </w:rPr>
            </w:pPr>
            <w:r>
              <w:rPr>
                <w:rFonts w:eastAsia="Times New Roman" w:cs="Times New Roman"/>
                <w:kern w:val="0"/>
                <w:sz w:val="24"/>
                <w:szCs w:val="24"/>
                <w:lang w:val="ru-RU" w:eastAsia="ru-RU" w:bidi="ar-SA"/>
              </w:rPr>
              <w:t>•</w:t>
            </w:r>
            <w:r>
              <w:rPr>
                <w:rFonts w:eastAsia="Times New Roman" w:cs="Times New Roman"/>
                <w:kern w:val="0"/>
                <w:sz w:val="24"/>
                <w:szCs w:val="24"/>
                <w:lang w:val="ru-RU" w:eastAsia="ru-RU" w:bidi="ar-SA"/>
              </w:rPr>
              <w:t>габаритные размеры грузового места, см (длина, ширина, высота).</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Оборудование должно иметь приспособления для погрузочно-разгрузочных работ и перемещения.</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Допустимый срок сохраняемости в упаковке предприятия-изготовителя до ввода в эксплуатацию не менее 2 лет</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2</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Указание характеристик</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Normal"/>
              <w:suppressAutoHyphens w:val="true"/>
              <w:spacing w:before="0" w:after="0"/>
              <w:jc w:val="left"/>
              <w:rPr>
                <w:spacing w:val="-1"/>
                <w:sz w:val="24"/>
              </w:rPr>
            </w:pPr>
            <w:r>
              <w:rPr>
                <w:rFonts w:eastAsia="Times New Roman" w:cs="Times New Roman"/>
                <w:b/>
                <w:kern w:val="0"/>
                <w:sz w:val="24"/>
                <w:szCs w:val="24"/>
                <w:lang w:val="ru-RU" w:eastAsia="ru-RU" w:bidi="ar-SA"/>
              </w:rPr>
              <w:t>Требования к гарантиям, гарантийному и послегарантийному обслуживанию</w:t>
            </w:r>
          </w:p>
        </w:tc>
        <w:tc>
          <w:tcPr>
            <w:tcW w:w="3733" w:type="dxa"/>
            <w:tcBorders/>
          </w:tcPr>
          <w:p>
            <w:pPr>
              <w:pStyle w:val="BodyTextIndent2"/>
              <w:suppressAutoHyphens w:val="true"/>
              <w:spacing w:before="0" w:after="0"/>
              <w:ind w:left="176"/>
              <w:rPr>
                <w:color w:val="000000"/>
                <w:szCs w:val="24"/>
              </w:rPr>
            </w:pPr>
            <w:r>
              <w:rPr>
                <w:color w:val="000000"/>
                <w:szCs w:val="24"/>
              </w:rPr>
            </w:r>
          </w:p>
        </w:tc>
        <w:tc>
          <w:tcPr>
            <w:tcW w:w="2362" w:type="dxa"/>
            <w:tcBorders/>
          </w:tcPr>
          <w:p>
            <w:pPr>
              <w:pStyle w:val="Normal"/>
              <w:suppressAutoHyphens w:val="true"/>
              <w:spacing w:before="0" w:after="0"/>
              <w:jc w:val="center"/>
              <w:rPr>
                <w:sz w:val="24"/>
              </w:rPr>
            </w:pPr>
            <w:r>
              <w:rPr>
                <w:sz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Гарантийный срок эксплуатации, не менее месяцев</w:t>
            </w:r>
          </w:p>
        </w:tc>
        <w:tc>
          <w:tcPr>
            <w:tcW w:w="3733" w:type="dxa"/>
            <w:tcBorders/>
          </w:tcPr>
          <w:p>
            <w:pPr>
              <w:pStyle w:val="BodyTextIndent2"/>
              <w:suppressAutoHyphens w:val="true"/>
              <w:spacing w:before="0" w:after="0"/>
              <w:ind w:left="176"/>
              <w:jc w:val="center"/>
              <w:rPr>
                <w:szCs w:val="24"/>
              </w:rPr>
            </w:pPr>
            <w:r>
              <w:rPr>
                <w:rFonts w:eastAsia="Times New Roman" w:cs="Times New Roman"/>
                <w:kern w:val="0"/>
                <w:szCs w:val="24"/>
                <w:lang w:val="ru-RU" w:eastAsia="ru-RU" w:bidi="ar-SA"/>
              </w:rPr>
              <w:t>60</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Срок поставки запасных частей для оборудования, с момента подписания договора на их покупку, не более 6 месяцев (да, нет)</w:t>
            </w:r>
          </w:p>
        </w:tc>
        <w:tc>
          <w:tcPr>
            <w:tcW w:w="3733" w:type="dxa"/>
            <w:tcBorders/>
          </w:tcPr>
          <w:p>
            <w:pPr>
              <w:pStyle w:val="BodyTextIndent2"/>
              <w:suppressAutoHyphens w:val="true"/>
              <w:spacing w:before="0" w:after="0"/>
              <w:ind w:left="176"/>
              <w:jc w:val="center"/>
              <w:rPr>
                <w:szCs w:val="24"/>
              </w:rPr>
            </w:pPr>
            <w:r>
              <w:rPr>
                <w:szCs w:val="24"/>
              </w:rPr>
            </w:r>
          </w:p>
          <w:p>
            <w:pPr>
              <w:pStyle w:val="BodyTextIndent2"/>
              <w:suppressAutoHyphens w:val="true"/>
              <w:spacing w:before="0" w:after="0"/>
              <w:ind w:left="176"/>
              <w:jc w:val="center"/>
              <w:rPr>
                <w:szCs w:val="24"/>
              </w:rPr>
            </w:pPr>
            <w:r>
              <w:rPr>
                <w:szCs w:val="24"/>
              </w:rPr>
            </w:r>
          </w:p>
          <w:p>
            <w:pPr>
              <w:pStyle w:val="BodyTextIndent2"/>
              <w:suppressAutoHyphens w:val="true"/>
              <w:spacing w:before="0" w:after="0"/>
              <w:ind w:left="176"/>
              <w:jc w:val="center"/>
              <w:rPr>
                <w:szCs w:val="24"/>
              </w:rPr>
            </w:pPr>
            <w:r>
              <w:rPr>
                <w:rFonts w:eastAsia="Times New Roman" w:cs="Times New Roman"/>
                <w:kern w:val="0"/>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pacing w:val="-1"/>
                <w:sz w:val="24"/>
              </w:rPr>
            </w:pPr>
            <w:r>
              <w:rPr>
                <w:rFonts w:eastAsia="Times New Roman" w:cs="Times New Roman"/>
                <w:kern w:val="0"/>
                <w:sz w:val="24"/>
                <w:szCs w:val="24"/>
                <w:lang w:val="ru-RU" w:eastAsia="ru-RU" w:bidi="ar-SA"/>
              </w:rPr>
              <w:t>Поставка любых запасных частей, ремонт и/или замена любого блока оборудования в течение 20 лет с даты окончания Гарантийного срока осуществляется по соответствующему отдельному договору (да, нет)</w:t>
            </w:r>
          </w:p>
        </w:tc>
        <w:tc>
          <w:tcPr>
            <w:tcW w:w="3733" w:type="dxa"/>
            <w:tcBorders/>
          </w:tcPr>
          <w:p>
            <w:pPr>
              <w:pStyle w:val="BodyTextIndent2"/>
              <w:suppressAutoHyphens w:val="true"/>
              <w:spacing w:before="0" w:after="0"/>
              <w:ind w:left="0"/>
              <w:jc w:val="center"/>
              <w:rPr>
                <w:color w:val="000000"/>
                <w:szCs w:val="24"/>
              </w:rPr>
            </w:pPr>
            <w:r>
              <w:rPr>
                <w:rFonts w:eastAsia="Times New Roman" w:cs="Times New Roman"/>
                <w:kern w:val="0"/>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Гарантии распространяются на все поставляемое оборудование.</w:t>
            </w:r>
          </w:p>
          <w:p>
            <w:pPr>
              <w:pStyle w:val="TableParagraph"/>
              <w:spacing w:before="0" w:after="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В течение гарантийного срока должна быть обеспечена безвозмездная замена или ремонт вышедшего из строя оборудования, включая его доставку туда и обратно. Доставка неисправного оборудования в сервисный центр для проведения ремонта и возвращение исправного, после ремонта, оборудования Исполнитель осуществляет за свой счет.</w:t>
            </w:r>
          </w:p>
        </w:tc>
        <w:tc>
          <w:tcPr>
            <w:tcW w:w="3733" w:type="dxa"/>
            <w:tcBorders/>
          </w:tcPr>
          <w:p>
            <w:pPr>
              <w:pStyle w:val="BodyTextIndent2"/>
              <w:suppressAutoHyphens w:val="true"/>
              <w:spacing w:before="0" w:after="0"/>
              <w:ind w:left="176"/>
              <w:jc w:val="center"/>
              <w:rPr>
                <w:color w:val="000000"/>
                <w:szCs w:val="24"/>
              </w:rPr>
            </w:pPr>
            <w:r>
              <w:rPr>
                <w:rFonts w:eastAsia="Times New Roman" w:cs="Times New Roman"/>
                <w:kern w:val="0"/>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suppressAutoHyphens w:val="false"/>
              <w:spacing w:before="60" w:after="0"/>
              <w:ind w:hanging="0" w:left="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Ведомость ЗИП</w:t>
            </w:r>
          </w:p>
        </w:tc>
        <w:tc>
          <w:tcPr>
            <w:tcW w:w="3733" w:type="dxa"/>
            <w:tcBorders/>
          </w:tcPr>
          <w:p>
            <w:pPr>
              <w:pStyle w:val="TableParagraph"/>
              <w:spacing w:lineRule="exact" w:line="267" w:before="0" w:after="0"/>
              <w:jc w:val="center"/>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Перечень оборудования, необходимого для монтажа и эксплуатации поставленного оборудования.</w:t>
            </w:r>
          </w:p>
        </w:tc>
        <w:tc>
          <w:tcPr>
            <w:tcW w:w="3733" w:type="dxa"/>
            <w:tcBorders/>
          </w:tcPr>
          <w:p>
            <w:pPr>
              <w:pStyle w:val="TableParagraph"/>
              <w:spacing w:lineRule="exact" w:line="267" w:before="0" w:after="0"/>
              <w:jc w:val="center"/>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Да</w:t>
            </w:r>
          </w:p>
        </w:tc>
        <w:tc>
          <w:tcPr>
            <w:tcW w:w="2362" w:type="dxa"/>
            <w:tcBorders/>
          </w:tcPr>
          <w:p>
            <w:pPr>
              <w:pStyle w:val="Normal"/>
              <w:suppressAutoHyphens w:val="true"/>
              <w:spacing w:before="0" w:after="0"/>
              <w:jc w:val="center"/>
              <w:rPr>
                <w:sz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TableParagraph"/>
              <w:spacing w:before="0" w:after="0"/>
              <w:jc w:val="left"/>
              <w:rPr>
                <w:rFonts w:ascii="Times New Roman" w:hAnsi="Times New Roman"/>
                <w:b/>
                <w:bCs/>
                <w:spacing w:val="-1"/>
                <w:sz w:val="24"/>
                <w:lang w:val="ru-RU"/>
              </w:rPr>
            </w:pPr>
            <w:r>
              <w:rPr>
                <w:rFonts w:ascii="Times New Roman" w:hAnsi="Times New Roman"/>
                <w:b/>
                <w:bCs/>
                <w:spacing w:val="-1"/>
                <w:kern w:val="0"/>
                <w:sz w:val="24"/>
                <w:lang w:val="ru-RU" w:bidi="ar-SA"/>
              </w:rPr>
              <w:t>Требования к сопутствующим услугам</w:t>
            </w:r>
          </w:p>
        </w:tc>
        <w:tc>
          <w:tcPr>
            <w:tcW w:w="3733" w:type="dxa"/>
            <w:tcBorders/>
          </w:tcPr>
          <w:p>
            <w:pPr>
              <w:pStyle w:val="Normal"/>
              <w:suppressAutoHyphens w:val="true"/>
              <w:spacing w:before="0" w:after="0"/>
              <w:jc w:val="center"/>
              <w:rPr>
                <w:sz w:val="24"/>
              </w:rPr>
            </w:pPr>
            <w:r>
              <w:rPr>
                <w:sz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TableParagraph"/>
              <w:spacing w:before="0" w:after="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Требования к шефмонтажу</w:t>
            </w:r>
          </w:p>
        </w:tc>
        <w:tc>
          <w:tcPr>
            <w:tcW w:w="3733" w:type="dxa"/>
            <w:tcBorders/>
          </w:tcPr>
          <w:p>
            <w:pPr>
              <w:pStyle w:val="Normal"/>
              <w:tabs>
                <w:tab w:val="clear" w:pos="720"/>
                <w:tab w:val="left" w:pos="335" w:leader="none"/>
              </w:tabs>
              <w:suppressAutoHyphens w:val="true"/>
              <w:spacing w:before="0" w:after="0"/>
              <w:jc w:val="left"/>
              <w:rPr>
                <w:sz w:val="24"/>
              </w:rPr>
            </w:pPr>
            <w:r>
              <w:rPr>
                <w:sz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tabs>
                <w:tab w:val="clear" w:pos="720"/>
                <w:tab w:val="left" w:pos="284" w:leader="none"/>
              </w:tabs>
              <w:suppressAutoHyphens w:val="false"/>
              <w:spacing w:before="60" w:after="0"/>
              <w:ind w:hanging="754" w:left="754"/>
              <w:contextualSpacing/>
              <w:jc w:val="lef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TableParagraph"/>
              <w:spacing w:before="0" w:after="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Участие в монтаже аттестованного заводом – изготовителем специалиста</w:t>
            </w:r>
          </w:p>
        </w:tc>
        <w:tc>
          <w:tcPr>
            <w:tcW w:w="3733"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Да</w:t>
            </w:r>
          </w:p>
          <w:p>
            <w:pPr>
              <w:pStyle w:val="Normal"/>
              <w:suppressAutoHyphens w:val="true"/>
              <w:spacing w:before="0" w:after="0"/>
              <w:jc w:val="center"/>
              <w:rPr>
                <w:sz w:val="24"/>
              </w:rPr>
            </w:pPr>
            <w:r>
              <w:rPr>
                <w:sz w:val="24"/>
              </w:rPr>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2"/>
                <w:numId w:val="9"/>
              </w:numPr>
              <w:tabs>
                <w:tab w:val="clear" w:pos="720"/>
                <w:tab w:val="left" w:pos="284" w:leader="none"/>
              </w:tabs>
              <w:suppressAutoHyphens w:val="false"/>
              <w:spacing w:before="60" w:after="0"/>
              <w:ind w:hanging="754" w:left="754"/>
              <w:contextualSpacing/>
              <w:jc w:val="left"/>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TableParagraph"/>
              <w:spacing w:before="0" w:after="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Функциональные обязанности</w:t>
            </w:r>
          </w:p>
        </w:tc>
        <w:tc>
          <w:tcPr>
            <w:tcW w:w="3733" w:type="dxa"/>
            <w:tcBorders/>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 Осуществление общетехнического и технологического контроля за ходом работ;</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Передача Заказчику подробных инструкций по проведению монтажных работ и контроля их качества;</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Согласование графиков выполнения работ;</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Технические консультации и сопровождение (надзор) работ, выполняемых специалистами монтажной организации;</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Контроль качества выполненного монтажа, проверку в процессе монтажа и пусконаладочных работ соответствия выполненных работ требованиям ТТ, технической документации заводов – изготовителей;</w:t>
            </w:r>
          </w:p>
          <w:p>
            <w:pPr>
              <w:pStyle w:val="Normal"/>
              <w:suppressAutoHyphens w:val="true"/>
              <w:spacing w:before="0" w:after="0"/>
              <w:jc w:val="left"/>
              <w:rPr>
                <w:sz w:val="24"/>
                <w:szCs w:val="24"/>
              </w:rPr>
            </w:pPr>
            <w:r>
              <w:rPr>
                <w:rFonts w:eastAsia="Times New Roman" w:cs="Times New Roman"/>
                <w:kern w:val="0"/>
                <w:sz w:val="24"/>
                <w:szCs w:val="24"/>
                <w:lang w:val="ru-RU" w:eastAsia="ru-RU" w:bidi="ar-SA"/>
              </w:rPr>
              <w:t>- Своевременная разработка и внесение изменений в конструкторскую документацию в соответствии с решениями, принятыми в процессе шефмонтажа;</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TableParagraph"/>
              <w:spacing w:before="0" w:after="0"/>
              <w:jc w:val="left"/>
              <w:rPr>
                <w:rFonts w:ascii="Times New Roman" w:hAnsi="Times New Roman"/>
                <w:b/>
                <w:bCs/>
                <w:spacing w:val="-1"/>
                <w:sz w:val="24"/>
                <w:lang w:val="ru-RU"/>
              </w:rPr>
            </w:pPr>
            <w:bookmarkStart w:id="56" w:name="_Hlk233616687"/>
            <w:r>
              <w:rPr>
                <w:rFonts w:ascii="Times New Roman" w:hAnsi="Times New Roman"/>
                <w:b/>
                <w:bCs/>
                <w:spacing w:val="-1"/>
                <w:kern w:val="0"/>
                <w:sz w:val="24"/>
                <w:lang w:val="ru-RU" w:bidi="ar-SA"/>
              </w:rPr>
              <w:t>Требования к шефналадке</w:t>
            </w:r>
            <w:bookmarkEnd w:id="56"/>
          </w:p>
        </w:tc>
        <w:tc>
          <w:tcPr>
            <w:tcW w:w="3733" w:type="dxa"/>
            <w:tcBorders/>
          </w:tcPr>
          <w:p>
            <w:pPr>
              <w:pStyle w:val="Normal"/>
              <w:suppressAutoHyphens w:val="true"/>
              <w:spacing w:before="0" w:after="0"/>
              <w:jc w:val="center"/>
              <w:rPr>
                <w:sz w:val="24"/>
              </w:rPr>
            </w:pPr>
            <w:r>
              <w:rPr>
                <w:sz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ind w:firstLine="142" w:left="-117"/>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vAlign w:val="center"/>
          </w:tcPr>
          <w:p>
            <w:pPr>
              <w:pStyle w:val="TableParagraph"/>
              <w:spacing w:before="0" w:after="0"/>
              <w:jc w:val="left"/>
              <w:rPr>
                <w:rFonts w:ascii="Times New Roman" w:hAnsi="Times New Roman" w:eastAsia="Times New Roman" w:cs="Times New Roman"/>
                <w:sz w:val="24"/>
                <w:szCs w:val="24"/>
                <w:lang w:val="ru-RU" w:eastAsia="ru-RU"/>
              </w:rPr>
            </w:pPr>
            <w:r>
              <w:rPr>
                <w:rFonts w:eastAsia="Times New Roman" w:cs="Times New Roman" w:ascii="Times New Roman" w:hAnsi="Times New Roman"/>
                <w:kern w:val="0"/>
                <w:sz w:val="24"/>
                <w:szCs w:val="24"/>
                <w:lang w:val="ru-RU" w:eastAsia="ru-RU" w:bidi="ar-SA"/>
              </w:rPr>
              <w:t>Функциональные обязанности</w:t>
            </w:r>
          </w:p>
        </w:tc>
        <w:tc>
          <w:tcPr>
            <w:tcW w:w="3733" w:type="dxa"/>
            <w:tcBorders/>
            <w:vAlign w:val="center"/>
          </w:tcPr>
          <w:p>
            <w:pPr>
              <w:pStyle w:val="Normal"/>
              <w:suppressAutoHyphens w:val="true"/>
              <w:spacing w:before="0" w:after="0"/>
              <w:jc w:val="left"/>
              <w:rPr>
                <w:sz w:val="24"/>
                <w:szCs w:val="24"/>
              </w:rPr>
            </w:pPr>
            <w:r>
              <w:rPr>
                <w:rFonts w:eastAsia="Times New Roman" w:cs="Times New Roman"/>
                <w:kern w:val="0"/>
                <w:sz w:val="24"/>
                <w:szCs w:val="24"/>
                <w:lang w:val="ru-RU" w:eastAsia="ru-RU" w:bidi="ar-SA"/>
              </w:rPr>
              <w:t>Шеф наладка включает в себя комплекс наладочных работ по обеспечению работоспособности Оборудования, его доводке и наладке с целью подтверждения гарантийных технико-экономических показателей в соответствии со стандартами данных ТТ, а также проведение предпусковых и пусковых операций, испытаний Оборудования в соответствии с документацией Исполнителя (предприятия-изготовителя) в рамках поставки предусмотренной данными ТТ;</w:t>
            </w:r>
          </w:p>
          <w:p>
            <w:pPr>
              <w:pStyle w:val="Normal"/>
              <w:suppressAutoHyphens w:val="true"/>
              <w:spacing w:before="0" w:after="0"/>
              <w:jc w:val="left"/>
              <w:rPr>
                <w:sz w:val="24"/>
              </w:rPr>
            </w:pPr>
            <w:r>
              <w:rPr>
                <w:rFonts w:eastAsia="Times New Roman" w:cs="Times New Roman"/>
                <w:kern w:val="0"/>
                <w:sz w:val="24"/>
                <w:szCs w:val="20"/>
                <w:lang w:val="ru-RU" w:eastAsia="ru-RU" w:bidi="ar-SA"/>
              </w:rPr>
              <w:t>Техническое руководство над производством пусконаладочных работ персоналом заводов-изготовителей оборудования при вводе Оборудования в эксплуатацию;</w:t>
            </w:r>
          </w:p>
          <w:p>
            <w:pPr>
              <w:pStyle w:val="Normal"/>
              <w:suppressAutoHyphens w:val="true"/>
              <w:spacing w:before="0" w:after="0"/>
              <w:jc w:val="left"/>
              <w:rPr>
                <w:sz w:val="24"/>
              </w:rPr>
            </w:pPr>
            <w:r>
              <w:rPr>
                <w:sz w:val="24"/>
              </w:rPr>
            </w:r>
          </w:p>
        </w:tc>
        <w:tc>
          <w:tcPr>
            <w:tcW w:w="2362" w:type="dxa"/>
            <w:tcBorders/>
          </w:tcPr>
          <w:p>
            <w:pPr>
              <w:pStyle w:val="Normal"/>
              <w:suppressAutoHyphens w:val="true"/>
              <w:spacing w:before="0" w:after="0"/>
              <w:jc w:val="center"/>
              <w:rPr>
                <w:sz w:val="24"/>
                <w:szCs w:val="24"/>
              </w:rPr>
            </w:pPr>
            <w:r>
              <w:rPr>
                <w:rFonts w:eastAsia="Times New Roman" w:cs="Times New Roman"/>
                <w:kern w:val="0"/>
                <w:sz w:val="24"/>
                <w:szCs w:val="24"/>
                <w:lang w:val="ru-RU" w:eastAsia="ru-RU" w:bidi="ar-SA"/>
              </w:rPr>
              <w:t>Согласие с требованием</w:t>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0"/>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TableParagraph"/>
              <w:spacing w:before="0" w:after="0"/>
              <w:jc w:val="left"/>
              <w:rPr>
                <w:rFonts w:ascii="Times New Roman" w:hAnsi="Times New Roman"/>
                <w:b/>
                <w:bCs/>
                <w:spacing w:val="-1"/>
                <w:sz w:val="24"/>
                <w:lang w:val="ru-RU"/>
              </w:rPr>
            </w:pPr>
            <w:bookmarkStart w:id="57" w:name="_Hlk233616702"/>
            <w:r>
              <w:rPr>
                <w:rFonts w:ascii="Times New Roman" w:hAnsi="Times New Roman"/>
                <w:b/>
                <w:bCs/>
                <w:spacing w:val="-1"/>
                <w:kern w:val="0"/>
                <w:sz w:val="24"/>
                <w:lang w:val="ru-RU" w:bidi="ar-SA"/>
              </w:rPr>
              <w:t>Требования к прочим услугам</w:t>
            </w:r>
            <w:bookmarkEnd w:id="57"/>
          </w:p>
        </w:tc>
        <w:tc>
          <w:tcPr>
            <w:tcW w:w="3733" w:type="dxa"/>
            <w:tcBorders/>
          </w:tcPr>
          <w:p>
            <w:pPr>
              <w:pStyle w:val="Normal"/>
              <w:suppressAutoHyphens w:val="true"/>
              <w:spacing w:before="0" w:after="0"/>
              <w:jc w:val="center"/>
              <w:rPr>
                <w:sz w:val="24"/>
              </w:rPr>
            </w:pPr>
            <w:r>
              <w:rPr>
                <w:sz w:val="24"/>
              </w:rPr>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r>
        <w:trPr/>
        <w:tc>
          <w:tcPr>
            <w:tcW w:w="963" w:type="dxa"/>
            <w:tcBorders/>
            <w:vAlign w:val="center"/>
          </w:tcPr>
          <w:p>
            <w:pPr>
              <w:pStyle w:val="ListParagraph"/>
              <w:widowControl/>
              <w:numPr>
                <w:ilvl w:val="1"/>
                <w:numId w:val="9"/>
              </w:numPr>
              <w:suppressAutoHyphens w:val="false"/>
              <w:spacing w:before="60" w:after="0"/>
              <w:contextualSpacing/>
              <w:jc w:val="center"/>
              <w:rPr>
                <w:rFonts w:ascii="Times New Roman" w:hAnsi="Times New Roman" w:eastAsia="Times New Roman" w:cs="Times New Roman"/>
                <w:kern w:val="0"/>
                <w:sz w:val="20"/>
                <w:szCs w:val="20"/>
                <w:lang w:val="ru-RU" w:eastAsia="ru-RU" w:bidi="ar-SA"/>
              </w:rPr>
            </w:pPr>
            <w:r>
              <w:rPr>
                <w:rFonts w:eastAsia="Times New Roman" w:cs="Times New Roman"/>
                <w:kern w:val="0"/>
                <w:sz w:val="20"/>
                <w:szCs w:val="20"/>
                <w:lang w:val="ru-RU" w:eastAsia="ru-RU" w:bidi="ar-SA"/>
              </w:rPr>
            </w:r>
          </w:p>
        </w:tc>
        <w:tc>
          <w:tcPr>
            <w:tcW w:w="3685" w:type="dxa"/>
            <w:tcBorders/>
          </w:tcPr>
          <w:p>
            <w:pPr>
              <w:pStyle w:val="TableParagraph"/>
              <w:spacing w:before="0" w:after="0"/>
              <w:jc w:val="left"/>
              <w:rPr>
                <w:rFonts w:ascii="Times New Roman" w:hAnsi="Times New Roman"/>
                <w:bCs/>
                <w:spacing w:val="-1"/>
                <w:sz w:val="24"/>
                <w:lang w:val="ru-RU"/>
              </w:rPr>
            </w:pPr>
            <w:r>
              <w:rPr>
                <w:rFonts w:ascii="Times New Roman" w:hAnsi="Times New Roman"/>
                <w:bCs/>
                <w:spacing w:val="-1"/>
                <w:kern w:val="0"/>
                <w:sz w:val="24"/>
                <w:lang w:val="ru-RU" w:bidi="ar-SA"/>
              </w:rPr>
              <w:t>Техническое консультирование персонала заказчика</w:t>
            </w:r>
          </w:p>
        </w:tc>
        <w:tc>
          <w:tcPr>
            <w:tcW w:w="3733" w:type="dxa"/>
            <w:tcBorders/>
          </w:tcPr>
          <w:p>
            <w:pPr>
              <w:pStyle w:val="Normal"/>
              <w:suppressAutoHyphens w:val="true"/>
              <w:spacing w:before="0" w:after="0"/>
              <w:jc w:val="left"/>
              <w:rPr>
                <w:sz w:val="24"/>
              </w:rPr>
            </w:pPr>
            <w:r>
              <w:rPr>
                <w:rFonts w:eastAsia="Times New Roman" w:cs="Times New Roman"/>
                <w:kern w:val="0"/>
                <w:sz w:val="24"/>
                <w:szCs w:val="20"/>
                <w:lang w:val="ru-RU" w:eastAsia="ru-RU" w:bidi="ar-SA"/>
              </w:rPr>
              <w:t>Должно проводиться на объекте (строящейся ГАЭС) с момента начала монтажа оборудования в рамках поставки и вплоть по завершения пусконаладочных работ.</w:t>
            </w:r>
          </w:p>
        </w:tc>
        <w:tc>
          <w:tcPr>
            <w:tcW w:w="2362" w:type="dxa"/>
            <w:tcBorders/>
          </w:tcPr>
          <w:p>
            <w:pPr>
              <w:pStyle w:val="Normal"/>
              <w:suppressAutoHyphens w:val="true"/>
              <w:spacing w:before="0" w:after="0"/>
              <w:jc w:val="center"/>
              <w:rPr>
                <w:sz w:val="24"/>
                <w:szCs w:val="24"/>
              </w:rPr>
            </w:pPr>
            <w:r>
              <w:rPr>
                <w:sz w:val="24"/>
                <w:szCs w:val="24"/>
              </w:rPr>
            </w:r>
          </w:p>
        </w:tc>
        <w:tc>
          <w:tcPr>
            <w:tcW w:w="2125" w:type="dxa"/>
            <w:tcBorders/>
          </w:tcPr>
          <w:p>
            <w:pPr>
              <w:pStyle w:val="Normal"/>
              <w:suppressAutoHyphens w:val="true"/>
              <w:spacing w:before="0" w:after="0"/>
              <w:jc w:val="center"/>
              <w:rPr>
                <w:b/>
                <w:sz w:val="24"/>
                <w:szCs w:val="24"/>
              </w:rPr>
            </w:pPr>
            <w:r>
              <w:rPr>
                <w:b/>
                <w:sz w:val="24"/>
                <w:szCs w:val="24"/>
              </w:rPr>
            </w:r>
          </w:p>
        </w:tc>
        <w:tc>
          <w:tcPr>
            <w:tcW w:w="2048" w:type="dxa"/>
            <w:gridSpan w:val="3"/>
            <w:tcBorders/>
          </w:tcPr>
          <w:p>
            <w:pPr>
              <w:pStyle w:val="Normal"/>
              <w:suppressAutoHyphens w:val="true"/>
              <w:spacing w:before="0" w:after="0"/>
              <w:jc w:val="center"/>
              <w:rPr>
                <w:b/>
                <w:sz w:val="24"/>
              </w:rPr>
            </w:pPr>
            <w:r>
              <w:rPr>
                <w:b/>
                <w:sz w:val="24"/>
              </w:rPr>
            </w:r>
          </w:p>
        </w:tc>
      </w:tr>
    </w:tbl>
    <w:p>
      <w:pPr>
        <w:pStyle w:val="Normal"/>
        <w:rPr>
          <w:bCs/>
          <w:sz w:val="24"/>
          <w:szCs w:val="24"/>
        </w:rPr>
      </w:pPr>
      <w:r>
        <w:rPr>
          <w:bCs/>
          <w:sz w:val="24"/>
          <w:szCs w:val="24"/>
        </w:rPr>
      </w:r>
      <w:r>
        <w:br w:type="page"/>
      </w:r>
    </w:p>
    <w:p>
      <w:pPr>
        <w:pStyle w:val="411"/>
        <w:numPr>
          <w:ilvl w:val="0"/>
          <w:numId w:val="0"/>
        </w:numPr>
        <w:shd w:val="clear" w:color="auto" w:fill="FFFFFF" w:themeFill="background1"/>
        <w:ind w:hanging="0" w:left="1224"/>
        <w:rPr>
          <w:bCs w:val="false"/>
          <w:iCs/>
        </w:rPr>
      </w:pPr>
      <w:r>
        <w:rPr>
          <w:bCs w:val="false"/>
          <w:iCs/>
        </w:rPr>
        <w:t xml:space="preserve">2.4.2. </w:t>
      </w:r>
      <w:r>
        <w:rPr>
          <w:bCs w:val="false"/>
          <w:iCs/>
        </w:rPr>
        <w:t>Требования к выполнению работ/ оказанию услуг</w:t>
      </w:r>
    </w:p>
    <w:p>
      <w:pPr>
        <w:pStyle w:val="411"/>
        <w:numPr>
          <w:ilvl w:val="0"/>
        </w:numPr>
        <w:shd w:val="clear" w:color="auto" w:fill="FFFFFF" w:themeFill="background1"/>
        <w:ind w:hanging="0" w:left="1224"/>
        <w:rPr>
          <w:lang w:eastAsia="en-US"/>
        </w:rPr>
      </w:pPr>
      <w:r>
        <w:rPr>
          <w:iCs/>
        </w:rPr>
        <w:t xml:space="preserve">Таблица 2.7 </w:t>
      </w:r>
      <w:r>
        <w:rPr>
          <w:bCs w:val="false"/>
          <w:iCs/>
        </w:rPr>
        <w:t>Требования к выполнению работ/ оказанию услуг</w:t>
      </w:r>
    </w:p>
    <w:tbl>
      <w:tblPr>
        <w:tblW w:w="15022" w:type="dxa"/>
        <w:jc w:val="left"/>
        <w:tblInd w:w="0" w:type="dxa"/>
        <w:tblLayout w:type="fixed"/>
        <w:tblCellMar>
          <w:top w:w="55" w:type="dxa"/>
          <w:left w:w="108" w:type="dxa"/>
          <w:bottom w:w="55" w:type="dxa"/>
          <w:right w:w="108" w:type="dxa"/>
        </w:tblCellMar>
        <w:tblLook w:val="04a0" w:noHBand="0" w:noVBand="1" w:firstColumn="1" w:lastRow="0" w:lastColumn="0" w:firstRow="1"/>
      </w:tblPr>
      <w:tblGrid>
        <w:gridCol w:w="958"/>
        <w:gridCol w:w="3143"/>
        <w:gridCol w:w="25"/>
        <w:gridCol w:w="12"/>
        <w:gridCol w:w="10884"/>
      </w:tblGrid>
      <w:tr>
        <w:trPr>
          <w:tblHeader w:val="true"/>
          <w:trHeight w:val="230" w:hRule="atLeast"/>
        </w:trPr>
        <w:tc>
          <w:tcPr>
            <w:tcW w:w="958" w:type="dxa"/>
            <w:vMerge w:val="restart"/>
            <w:tcBorders>
              <w:top w:val="single" w:sz="4" w:space="0" w:color="000000"/>
              <w:left w:val="single" w:sz="4" w:space="0" w:color="000000"/>
              <w:bottom w:val="single" w:sz="4" w:space="0" w:color="000000"/>
            </w:tcBorders>
            <w:vAlign w:val="center"/>
          </w:tcPr>
          <w:p>
            <w:pPr>
              <w:pStyle w:val="Normal"/>
              <w:shd w:val="clear" w:color="auto" w:fill="FFFFFF" w:themeFill="background1"/>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 xml:space="preserve">№ </w:t>
            </w:r>
          </w:p>
          <w:p>
            <w:pPr>
              <w:pStyle w:val="Normal"/>
              <w:shd w:val="clear" w:color="auto" w:fill="FFFFFF" w:themeFill="background1"/>
              <w:jc w:val="center"/>
              <w:rPr/>
            </w:pPr>
            <w:r>
              <w:rPr>
                <w:rStyle w:val="Style5"/>
                <w:b w:val="false"/>
                <w:i w:val="false"/>
                <w:color w:val="000000"/>
                <w:sz w:val="24"/>
                <w:szCs w:val="24"/>
                <w:shd w:fill="auto" w:val="clear"/>
              </w:rPr>
              <w:t>п/п</w:t>
            </w:r>
          </w:p>
        </w:tc>
        <w:tc>
          <w:tcPr>
            <w:tcW w:w="3143" w:type="dxa"/>
            <w:vMerge w:val="restart"/>
            <w:tcBorders>
              <w:top w:val="single" w:sz="4" w:space="0" w:color="000000"/>
              <w:left w:val="single" w:sz="4" w:space="0" w:color="000000"/>
              <w:bottom w:val="single" w:sz="4" w:space="0" w:color="000000"/>
            </w:tcBorders>
            <w:vAlign w:val="center"/>
          </w:tcPr>
          <w:p>
            <w:pPr>
              <w:pStyle w:val="Normal"/>
              <w:shd w:val="clear" w:color="auto" w:fill="FFFFFF" w:themeFill="background1"/>
              <w:jc w:val="center"/>
              <w:rPr/>
            </w:pPr>
            <w:r>
              <w:rPr>
                <w:rStyle w:val="Style5"/>
                <w:b w:val="false"/>
                <w:i w:val="false"/>
                <w:color w:val="000000"/>
                <w:sz w:val="24"/>
                <w:szCs w:val="24"/>
                <w:shd w:fill="auto" w:val="clear"/>
              </w:rPr>
              <w:t>Наименование параметра</w:t>
            </w:r>
          </w:p>
        </w:tc>
        <w:tc>
          <w:tcPr>
            <w:tcW w:w="10921" w:type="dxa"/>
            <w:gridSpan w:val="3"/>
            <w:vMerge w:val="restart"/>
            <w:tcBorders>
              <w:top w:val="single" w:sz="4" w:space="0" w:color="000000"/>
              <w:left w:val="single" w:sz="4" w:space="0" w:color="000000"/>
              <w:bottom w:val="single" w:sz="4" w:space="0" w:color="000000"/>
              <w:right w:val="single" w:sz="4" w:space="0" w:color="000000"/>
            </w:tcBorders>
            <w:vAlign w:val="center"/>
          </w:tcPr>
          <w:p>
            <w:pPr>
              <w:pStyle w:val="Normal"/>
              <w:shd w:val="clear" w:color="auto" w:fill="FFFFFF" w:themeFill="background1"/>
              <w:jc w:val="center"/>
              <w:rPr/>
            </w:pPr>
            <w:r>
              <w:rPr>
                <w:rStyle w:val="Style5"/>
                <w:b w:val="false"/>
                <w:i w:val="false"/>
                <w:color w:val="000000"/>
                <w:sz w:val="24"/>
                <w:szCs w:val="24"/>
                <w:shd w:fill="auto" w:val="clear"/>
              </w:rPr>
              <w:t>Требование Заказчика</w:t>
            </w:r>
          </w:p>
        </w:tc>
      </w:tr>
      <w:tr>
        <w:trPr>
          <w:trHeight w:val="276" w:hRule="atLeast"/>
        </w:trPr>
        <w:tc>
          <w:tcPr>
            <w:tcW w:w="958" w:type="dxa"/>
            <w:vMerge w:val="continue"/>
            <w:tcBorders>
              <w:left w:val="single" w:sz="4" w:space="0" w:color="000000"/>
              <w:bottom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c>
          <w:tcPr>
            <w:tcW w:w="3143" w:type="dxa"/>
            <w:vMerge w:val="continue"/>
            <w:tcBorders>
              <w:left w:val="single" w:sz="4" w:space="0" w:color="000000"/>
              <w:bottom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c>
          <w:tcPr>
            <w:tcW w:w="10921" w:type="dxa"/>
            <w:gridSpan w:val="3"/>
            <w:vMerge w:val="continue"/>
            <w:tcBorders>
              <w:left w:val="single" w:sz="4" w:space="0" w:color="000000"/>
              <w:bottom w:val="single" w:sz="4" w:space="0" w:color="000000"/>
              <w:right w:val="single" w:sz="4" w:space="0" w:color="000000"/>
            </w:tcBorders>
            <w:vAlign w:val="center"/>
          </w:tcPr>
          <w:p>
            <w:pPr>
              <w:pStyle w:val="Normal"/>
              <w:shd w:val="clear" w:color="auto" w:fill="FFFFFF" w:themeFill="background1"/>
              <w:rPr>
                <w:rStyle w:val="Style5"/>
                <w:b w:val="false"/>
                <w:i w:val="false"/>
                <w:i w:val="false"/>
                <w:sz w:val="24"/>
                <w:szCs w:val="24"/>
                <w:shd w:fill="auto" w:val="clear"/>
              </w:rPr>
            </w:pPr>
            <w:r>
              <w:rPr>
                <w:b w:val="false"/>
                <w:i w:val="false"/>
                <w:sz w:val="24"/>
                <w:szCs w:val="24"/>
                <w:shd w:fill="auto" w:val="clear"/>
              </w:rPr>
            </w:r>
          </w:p>
        </w:tc>
      </w:tr>
      <w:tr>
        <w:trPr/>
        <w:tc>
          <w:tcPr>
            <w:tcW w:w="958" w:type="dxa"/>
            <w:tcBorders>
              <w:left w:val="single" w:sz="4" w:space="0" w:color="000000"/>
              <w:bottom w:val="single" w:sz="4" w:space="0" w:color="000000"/>
            </w:tcBorders>
            <w:vAlign w:val="center"/>
          </w:tcPr>
          <w:p>
            <w:pPr>
              <w:pStyle w:val="Normal"/>
              <w:shd w:val="clear" w:color="auto" w:fill="FFFFFF" w:themeFill="background1"/>
              <w:jc w:val="center"/>
              <w:rPr/>
            </w:pPr>
            <w:r>
              <w:rPr>
                <w:rStyle w:val="Style5"/>
                <w:b w:val="false"/>
                <w:i w:val="false"/>
                <w:color w:val="000000"/>
                <w:sz w:val="24"/>
                <w:szCs w:val="24"/>
                <w:shd w:fill="auto" w:val="clear"/>
              </w:rPr>
              <w:t>1</w:t>
            </w:r>
          </w:p>
        </w:tc>
        <w:tc>
          <w:tcPr>
            <w:tcW w:w="3143" w:type="dxa"/>
            <w:tcBorders>
              <w:left w:val="single" w:sz="4" w:space="0" w:color="000000"/>
              <w:bottom w:val="single" w:sz="4" w:space="0" w:color="000000"/>
            </w:tcBorders>
            <w:vAlign w:val="center"/>
          </w:tcPr>
          <w:p>
            <w:pPr>
              <w:pStyle w:val="Normal"/>
              <w:shd w:val="clear" w:color="auto" w:fill="FFFFFF" w:themeFill="background1"/>
              <w:jc w:val="center"/>
              <w:rPr/>
            </w:pPr>
            <w:r>
              <w:rPr>
                <w:rStyle w:val="Style5"/>
                <w:b w:val="false"/>
                <w:i w:val="false"/>
                <w:color w:val="000000"/>
                <w:sz w:val="24"/>
                <w:szCs w:val="24"/>
                <w:shd w:fill="auto" w:val="clear"/>
              </w:rPr>
              <w:t>2</w:t>
            </w:r>
          </w:p>
        </w:tc>
        <w:tc>
          <w:tcPr>
            <w:tcW w:w="1092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jc w:val="center"/>
              <w:rPr/>
            </w:pPr>
            <w:r>
              <w:rPr>
                <w:rStyle w:val="Style5"/>
                <w:b w:val="false"/>
                <w:i w:val="false"/>
                <w:color w:val="000000"/>
                <w:sz w:val="24"/>
                <w:szCs w:val="24"/>
                <w:shd w:fill="auto" w:val="clear"/>
              </w:rPr>
              <w:t>3</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rPr>
                <w:rStyle w:val="Style5"/>
                <w:color w:val="000000"/>
                <w:sz w:val="24"/>
                <w:szCs w:val="24"/>
                <w:shd w:fill="auto" w:val="clear"/>
              </w:rPr>
            </w:pPr>
            <w:r>
              <w:rPr>
                <w:rStyle w:val="Style5"/>
                <w:b w:val="false"/>
                <w:i w:val="false"/>
                <w:color w:val="000000"/>
                <w:sz w:val="24"/>
                <w:szCs w:val="24"/>
                <w:shd w:fill="auto" w:val="clear"/>
              </w:rPr>
              <w:t>1.</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выполнению Работ/оказанию Услуг</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rPr>
                <w:rStyle w:val="Style5"/>
                <w:color w:val="000000"/>
                <w:sz w:val="24"/>
                <w:szCs w:val="24"/>
                <w:shd w:fill="auto" w:val="clear"/>
              </w:rPr>
            </w:pPr>
            <w:r>
              <w:rPr>
                <w:rStyle w:val="Style5"/>
                <w:b w:val="false"/>
                <w:i w:val="false"/>
                <w:color w:val="000000"/>
                <w:sz w:val="24"/>
                <w:szCs w:val="24"/>
                <w:shd w:fill="auto" w:val="clear"/>
              </w:rPr>
              <w:t>1.1.</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Общие требования к выполнению Работ / оказанию Услуг</w:t>
            </w:r>
          </w:p>
        </w:tc>
      </w:tr>
      <w:tr>
        <w:trPr/>
        <w:tc>
          <w:tcPr>
            <w:tcW w:w="958" w:type="dxa"/>
            <w:tcBorders>
              <w:left w:val="single" w:sz="4" w:space="0" w:color="000000"/>
              <w:bottom w:val="single" w:sz="4" w:space="0" w:color="000000"/>
            </w:tcBorders>
          </w:tcPr>
          <w:p>
            <w:pPr>
              <w:pStyle w:val="ListParagraph"/>
              <w:shd w:val="clear" w:color="auto" w:fill="FFFFFF" w:themeFill="background1"/>
              <w:spacing w:before="60" w:after="60"/>
              <w:ind w:left="0"/>
              <w:contextualSpacing/>
              <w:rPr/>
            </w:pPr>
            <w:r>
              <w:rPr>
                <w:rStyle w:val="Style5"/>
                <w:b w:val="false"/>
                <w:i w:val="false"/>
                <w:color w:val="000000"/>
                <w:sz w:val="24"/>
                <w:szCs w:val="24"/>
                <w:shd w:fill="auto" w:val="clear"/>
              </w:rPr>
              <w:t>1.1.1.</w:t>
            </w:r>
          </w:p>
        </w:tc>
        <w:tc>
          <w:tcPr>
            <w:tcW w:w="3143" w:type="dxa"/>
            <w:tcBorders>
              <w:left w:val="single" w:sz="4" w:space="0" w:color="000000"/>
              <w:bottom w:val="single" w:sz="4" w:space="0" w:color="000000"/>
            </w:tcBorders>
          </w:tcPr>
          <w:p>
            <w:pPr>
              <w:pStyle w:val="Normal"/>
              <w:shd w:val="clear" w:color="auto" w:fill="FFFFFF" w:themeFill="background1"/>
              <w:rPr/>
            </w:pPr>
            <w:r>
              <w:rPr>
                <w:rStyle w:val="Style5"/>
                <w:b w:val="false"/>
                <w:i w:val="false"/>
                <w:color w:val="000000"/>
                <w:sz w:val="24"/>
                <w:szCs w:val="24"/>
                <w:shd w:fill="auto" w:val="clear"/>
              </w:rPr>
              <w:t>Соблюдение требований, норм и правил нормативно-технических документов</w:t>
            </w:r>
          </w:p>
        </w:tc>
        <w:tc>
          <w:tcPr>
            <w:tcW w:w="10921" w:type="dxa"/>
            <w:gridSpan w:val="3"/>
            <w:tcBorders>
              <w:left w:val="single" w:sz="4" w:space="0" w:color="000000"/>
              <w:bottom w:val="single" w:sz="4" w:space="0" w:color="000000"/>
              <w:right w:val="single" w:sz="4" w:space="0" w:color="000000"/>
            </w:tcBorders>
          </w:tcPr>
          <w:p>
            <w:pPr>
              <w:pStyle w:val="Normal"/>
              <w:shd w:val="clear" w:color="auto" w:fill="FFFFFF" w:themeFill="background1"/>
              <w:jc w:val="both"/>
              <w:rPr/>
            </w:pPr>
            <w:r>
              <w:rPr>
                <w:rStyle w:val="Style5"/>
                <w:b w:val="false"/>
                <w:i w:val="false"/>
                <w:color w:val="000000"/>
                <w:sz w:val="24"/>
                <w:szCs w:val="24"/>
                <w:shd w:fill="auto" w:val="clear"/>
              </w:rPr>
              <w:t>При выполнении Работ/оказании Услуг по поставке и восстановлению оборудования ПТУ Исполнителем должны быть выполнены все операции, предусмотренные:</w:t>
            </w:r>
          </w:p>
          <w:p>
            <w:pPr>
              <w:pStyle w:val="Normal"/>
              <w:shd w:val="clear" w:color="auto" w:fill="FFFFFF" w:themeFill="background1"/>
              <w:jc w:val="both"/>
              <w:rPr>
                <w:rFonts w:eastAsia="Calibri" w:eastAsiaTheme="minorHAnsi"/>
                <w:sz w:val="24"/>
                <w:szCs w:val="24"/>
                <w:lang w:eastAsia="en-US"/>
              </w:rPr>
            </w:pPr>
            <w:r>
              <w:rPr>
                <w:rFonts w:eastAsia="Calibri" w:eastAsiaTheme="minorHAnsi"/>
                <w:sz w:val="24"/>
                <w:szCs w:val="24"/>
                <w:lang w:eastAsia="en-US"/>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pPr>
              <w:pStyle w:val="Normal"/>
              <w:shd w:val="clear" w:color="auto" w:fill="FFFFFF" w:themeFill="background1"/>
              <w:jc w:val="both"/>
              <w:rPr>
                <w:sz w:val="24"/>
                <w:szCs w:val="24"/>
              </w:rPr>
            </w:pPr>
            <w:r>
              <w:rPr>
                <w:sz w:val="24"/>
                <w:szCs w:val="24"/>
              </w:rPr>
              <w:t>ГОСТ 15543.1-89 Изделия электротехнические. Общие требования в части стойкости к климатическим внешним воздействующим факторам.</w:t>
            </w:r>
          </w:p>
          <w:p>
            <w:pPr>
              <w:pStyle w:val="Normal"/>
              <w:shd w:val="clear" w:color="auto" w:fill="FFFFFF" w:themeFill="background1"/>
              <w:jc w:val="both"/>
              <w:rPr>
                <w:rStyle w:val="Style5"/>
                <w:b w:val="false"/>
                <w:i w:val="false"/>
                <w:i w:val="false"/>
                <w:color w:val="000000"/>
                <w:sz w:val="24"/>
                <w:szCs w:val="24"/>
                <w:shd w:fill="auto" w:val="clear"/>
              </w:rPr>
            </w:pPr>
            <w:r>
              <w:rPr>
                <w:sz w:val="24"/>
                <w:szCs w:val="24"/>
              </w:rPr>
              <w:t>ГОСТ 16962.1-89 Изделия электротехнические. Методы испытаний на устойчивость к климатическим внешним воздействующим факторам</w:t>
            </w:r>
            <w:r>
              <w:rPr>
                <w:rStyle w:val="Style5"/>
                <w:b w:val="false"/>
                <w:i w:val="false"/>
                <w:color w:val="000000"/>
                <w:sz w:val="24"/>
                <w:szCs w:val="24"/>
                <w:shd w:fill="auto" w:val="clear"/>
              </w:rPr>
              <w:t>.</w:t>
            </w:r>
          </w:p>
          <w:p>
            <w:pPr>
              <w:pStyle w:val="Normal"/>
              <w:shd w:val="clear" w:color="auto" w:fill="FFFFFF" w:themeFill="background1"/>
              <w:jc w:val="both"/>
              <w:rPr>
                <w:rFonts w:eastAsia="Calibri" w:eastAsiaTheme="minorHAnsi"/>
                <w:sz w:val="24"/>
                <w:szCs w:val="24"/>
                <w:lang w:eastAsia="en-US"/>
              </w:rPr>
            </w:pPr>
            <w:r>
              <w:rPr>
                <w:rFonts w:eastAsia="Calibri" w:eastAsiaTheme="minorHAnsi"/>
                <w:sz w:val="24"/>
                <w:szCs w:val="24"/>
                <w:lang w:eastAsia="en-US"/>
              </w:rPr>
              <w:t>ГОСТ 16962.2-90 Изделия электротехнические. Методы испытаний на стойкость к механическим внешним воздействующим факторам.</w:t>
            </w:r>
          </w:p>
          <w:p>
            <w:pPr>
              <w:pStyle w:val="Normal"/>
              <w:shd w:val="clear" w:color="auto" w:fill="FFFFFF" w:themeFill="background1"/>
              <w:jc w:val="both"/>
              <w:rPr>
                <w:sz w:val="24"/>
                <w:szCs w:val="24"/>
              </w:rPr>
            </w:pPr>
            <w:r>
              <w:rPr>
                <w:sz w:val="24"/>
                <w:szCs w:val="24"/>
              </w:rPr>
              <w:t>ГОСТ 17441-84 Соединения контактные электрические. Приемка и методы испытаний.</w:t>
            </w:r>
          </w:p>
          <w:p>
            <w:pPr>
              <w:pStyle w:val="Normal"/>
              <w:shd w:val="clear" w:color="auto" w:fill="FFFFFF" w:themeFill="background1"/>
              <w:jc w:val="both"/>
              <w:rPr>
                <w:sz w:val="24"/>
                <w:szCs w:val="24"/>
              </w:rPr>
            </w:pPr>
            <w:r>
              <w:rPr>
                <w:sz w:val="24"/>
                <w:szCs w:val="24"/>
              </w:rPr>
              <w:t>ГОСТ 18620-86 Изделия электротехнические. Маркировка.</w:t>
            </w:r>
          </w:p>
          <w:p>
            <w:pPr>
              <w:pStyle w:val="Normal"/>
              <w:shd w:val="clear" w:color="auto" w:fill="FFFFFF" w:themeFill="background1"/>
              <w:jc w:val="both"/>
              <w:rPr>
                <w:sz w:val="24"/>
                <w:szCs w:val="24"/>
              </w:rPr>
            </w:pPr>
            <w:r>
              <w:rPr>
                <w:sz w:val="24"/>
                <w:szCs w:val="24"/>
              </w:rPr>
              <w:t>ГОСТ 14254-2015 Степени защиты, обеспечиваемые оболочками (код IP).</w:t>
            </w:r>
          </w:p>
          <w:p>
            <w:pPr>
              <w:pStyle w:val="Normal"/>
              <w:shd w:val="clear" w:color="auto" w:fill="FFFFFF" w:themeFill="background1"/>
              <w:jc w:val="both"/>
              <w:rPr>
                <w:sz w:val="24"/>
                <w:szCs w:val="24"/>
              </w:rPr>
            </w:pPr>
            <w:r>
              <w:rPr>
                <w:sz w:val="24"/>
                <w:szCs w:val="24"/>
              </w:rPr>
              <w:t>ГОСТ 23216 Изделия электротехнические. Хранение, транспортирование, временная противокоррозионная защита, упаковка. Общие требования и методы испытаний.</w:t>
            </w:r>
          </w:p>
          <w:p>
            <w:pPr>
              <w:pStyle w:val="Normal"/>
              <w:shd w:val="clear" w:color="auto" w:fill="FFFFFF" w:themeFill="background1"/>
              <w:jc w:val="both"/>
              <w:rPr>
                <w:sz w:val="24"/>
                <w:szCs w:val="24"/>
              </w:rPr>
            </w:pPr>
            <w:r>
              <w:rPr>
                <w:sz w:val="24"/>
                <w:szCs w:val="24"/>
              </w:rPr>
              <w:t>ГОСТ 26567-85 Преобразователи электроэнергии полупроводниковые. Методы испытаний.</w:t>
            </w:r>
          </w:p>
          <w:p>
            <w:pPr>
              <w:pStyle w:val="Normal"/>
              <w:shd w:val="clear" w:color="auto" w:fill="FFFFFF" w:themeFill="background1"/>
              <w:jc w:val="both"/>
              <w:rPr>
                <w:sz w:val="24"/>
                <w:szCs w:val="24"/>
              </w:rPr>
            </w:pPr>
            <w:r>
              <w:rPr>
                <w:sz w:val="24"/>
                <w:szCs w:val="24"/>
              </w:rPr>
              <w:t>ГОСТ 26118-84 Преобразователи   электроэнергии полупроводниковые   мощностью 5 кВА и выше. Маркировка, упаковка, транспортирование и хранение.</w:t>
            </w:r>
          </w:p>
          <w:p>
            <w:pPr>
              <w:pStyle w:val="Normal"/>
              <w:shd w:val="clear" w:color="auto" w:fill="FFFFFF" w:themeFill="background1"/>
              <w:jc w:val="both"/>
              <w:rPr>
                <w:sz w:val="24"/>
                <w:szCs w:val="24"/>
              </w:rPr>
            </w:pPr>
            <w:r>
              <w:rPr>
                <w:sz w:val="24"/>
                <w:szCs w:val="24"/>
              </w:rPr>
              <w:t>ГОСТ 25953-83 Преобразователи энергии полупроводниковые мощностью 5 кВА и выше. Параметры.</w:t>
            </w:r>
          </w:p>
          <w:p>
            <w:pPr>
              <w:pStyle w:val="Normal"/>
              <w:shd w:val="clear" w:color="auto" w:fill="FFFFFF" w:themeFill="background1"/>
              <w:jc w:val="both"/>
              <w:rPr>
                <w:sz w:val="24"/>
                <w:szCs w:val="24"/>
              </w:rPr>
            </w:pPr>
            <w:r>
              <w:rPr>
                <w:sz w:val="24"/>
                <w:szCs w:val="24"/>
              </w:rPr>
              <w:t>ГОСТ 24607-88 Преобразователи частоты полупроводниковые. Общие технические требования.</w:t>
            </w:r>
          </w:p>
          <w:p>
            <w:pPr>
              <w:pStyle w:val="Normal"/>
              <w:shd w:val="clear" w:color="auto" w:fill="FFFFFF" w:themeFill="background1"/>
              <w:jc w:val="both"/>
              <w:rPr>
                <w:sz w:val="24"/>
                <w:szCs w:val="24"/>
              </w:rPr>
            </w:pPr>
            <w:r>
              <w:rPr>
                <w:sz w:val="24"/>
                <w:szCs w:val="24"/>
              </w:rPr>
              <w:t>ГОСТ 12.1.030-81 ССБТ. Электробезопасность, защитное заземление, зануление.</w:t>
            </w:r>
          </w:p>
          <w:p>
            <w:pPr>
              <w:pStyle w:val="Normal"/>
              <w:shd w:val="clear" w:color="auto" w:fill="FFFFFF" w:themeFill="background1"/>
              <w:jc w:val="both"/>
              <w:rPr>
                <w:sz w:val="24"/>
                <w:szCs w:val="24"/>
              </w:rPr>
            </w:pPr>
            <w:r>
              <w:rPr>
                <w:sz w:val="24"/>
                <w:szCs w:val="24"/>
              </w:rPr>
              <w:t>ГОСТ 12.2.007.0-75 ССБТ Изделия электротехнические. Общие требования безопасности.</w:t>
            </w:r>
          </w:p>
          <w:p>
            <w:pPr>
              <w:pStyle w:val="Normal"/>
              <w:shd w:val="clear" w:color="auto" w:fill="FFFFFF" w:themeFill="background1"/>
              <w:jc w:val="both"/>
              <w:rPr>
                <w:rStyle w:val="Style5"/>
                <w:b w:val="false"/>
                <w:i w:val="false"/>
                <w:i w:val="false"/>
                <w:color w:val="000000"/>
                <w:sz w:val="24"/>
                <w:szCs w:val="24"/>
                <w:shd w:fill="auto" w:val="clear"/>
              </w:rPr>
            </w:pPr>
            <w:r>
              <w:rPr>
                <w:sz w:val="24"/>
                <w:szCs w:val="24"/>
              </w:rPr>
              <w:t>ГОСТ 12.2.007.11-75 ССБТ. Преобразователи электроэнергии полупроводниковые. Требования безопасности.</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8024-90 «Аппараты и электротехнические устройства переменного тока на напряжение свыше 1000 В. Нормы нагрева при продолжительном режиме работы и методы испытаний».</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9920-89 «Электроустановки переменного тока на напряжение от 3 до 750 кВ. Длина пути утечки внешней изоляции».</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17516.1-90 «Изделия электротехнические. Общие требования в части стойкости к механическим внешним воздействующим факторам».</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1516.3-96 «Электрооборудование переменного тока на напряжения от 1 до 750 кВ. Требования к электрической прочности изоляции».</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23216-78 «Изделия электротехнические. Хранение, транспортирование, временная противокоррозионная защита, упаковка. Общие требования и методы испытаний».</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12.2.007.0 Изделия электротехнические. Общие требования безопасности.</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12.2.007.3 Электротехнические устройства на напряжение выше 1000 В. Требования безопасности</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ГОСТ 26118-84 Преобразователи   электроэнергии полупроводниковые   мощностью 5 кВА и выше. Маркировка, упаковка, транспортирование и хранение</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МЭК 62271-102</w:t>
              <w:tab/>
              <w:t>Высоковольтная коммутационная аппаратура и аппаратура управления – Часть 102: Разъединители и заземлители переменного тока</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МЭК 60694</w:t>
              <w:tab/>
              <w:t>Общие положения стандартов на высоковольтную коммутационную аппаратуру и аппаратуру управления</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МЭК 60044-5 «Измерительные трансформаторы. Трансформаторы напряжения»</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МЭК 60099-4 «Ограничители перенапряжений»</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МЭК 60270</w:t>
              <w:tab/>
              <w:t>Методы высоковольтных испытаний – Измерения частичных разрядов.</w:t>
            </w:r>
          </w:p>
          <w:p>
            <w:pPr>
              <w:pStyle w:val="Normal"/>
              <w:ind w:hanging="2"/>
              <w:rPr/>
            </w:pPr>
            <w:r>
              <w:rPr>
                <w:rStyle w:val="Style5"/>
                <w:b w:val="false"/>
                <w:i w:val="false"/>
                <w:color w:val="000000"/>
                <w:sz w:val="24"/>
                <w:szCs w:val="24"/>
                <w:shd w:fill="auto" w:val="clear"/>
              </w:rPr>
              <w:t>РД34.45-51-300-97 Объем и нормы испытаний электрооборудования, 6 издание, изменениями и дополнениями по состоянию на 01.03.2021;</w:t>
            </w:r>
          </w:p>
          <w:p>
            <w:pPr>
              <w:pStyle w:val="Normal"/>
              <w:shd w:val="clear" w:color="auto" w:fill="FFFFFF" w:themeFill="background1"/>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ТУ 3414-011-117-3970-03. Высокочастотные заградители</w:t>
            </w:r>
          </w:p>
          <w:p>
            <w:pPr>
              <w:pStyle w:val="Normal"/>
              <w:ind w:hanging="2"/>
              <w:rPr>
                <w:rStyle w:val="Style5"/>
                <w:b w:val="false"/>
                <w:i w:val="false"/>
                <w:i w:val="false"/>
                <w:color w:val="000000"/>
                <w:sz w:val="24"/>
                <w:szCs w:val="24"/>
                <w:shd w:fill="auto" w:val="clear"/>
              </w:rPr>
            </w:pPr>
            <w:r>
              <w:rPr>
                <w:rStyle w:val="Style5"/>
                <w:b w:val="false"/>
                <w:i w:val="false"/>
                <w:color w:val="000000"/>
                <w:sz w:val="24"/>
                <w:szCs w:val="24"/>
                <w:shd w:fill="auto" w:val="clear"/>
              </w:rPr>
              <w:t>ТУ16 686.244.001-87. Шинные опоры</w:t>
            </w:r>
          </w:p>
          <w:p>
            <w:pPr>
              <w:pStyle w:val="Normal"/>
              <w:ind w:hanging="2"/>
              <w:rPr/>
            </w:pPr>
            <w:r>
              <w:rPr>
                <w:rStyle w:val="Style5"/>
                <w:b w:val="false"/>
                <w:i w:val="false"/>
                <w:color w:val="000000"/>
                <w:sz w:val="24"/>
                <w:szCs w:val="24"/>
                <w:shd w:fill="auto" w:val="clear"/>
              </w:rPr>
              <w:t>Правила устройства электроустановок (ПУЭ). Седьмое издание Утверждены Минтопэнерго России 06.10.1999 Приказ Минэнерго России от 08.07.2002 № 204; Приказ Минэнерго России от 09.04.2003 №150; Приказ Минэнерго России от 20.05.2003 № 187; Приказ Минэнерго России от 20.06.2003 № 242;</w:t>
            </w:r>
          </w:p>
          <w:p>
            <w:pPr>
              <w:pStyle w:val="Normal"/>
              <w:ind w:hanging="2"/>
              <w:rPr/>
            </w:pPr>
            <w:r>
              <w:rPr>
                <w:rStyle w:val="Style5"/>
                <w:b w:val="false"/>
                <w:i w:val="false"/>
                <w:color w:val="000000"/>
                <w:sz w:val="24"/>
                <w:szCs w:val="24"/>
                <w:shd w:fill="auto" w:val="clear"/>
              </w:rPr>
              <w:t>ГОСТ Р «Гидроэлектростанции. Часть 2-1. Гидрогенераторы. Технические требования к поставке». Приказ ПАО "РусГидро" от 27.12.2022 №1020;</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"СП 48.13330.2019. Свод правил. Организация строительства. (утв. и введен в действие Приказом Минстроя России от 24.12.2019 N 861/пр) СНиП 12-01-2004";</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Федеральный закон «О промышленной безопасности опасных производственных объектов» от 21.07.97 №116-ФЗ (ред. От 04.11.2022).;</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Безопасность труда в строительстве. Часть 1. Общие требования. СНиП 12-03-2001;</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Безопасность труда в строительстве. Часть 2. Строительное производство. СНиП 12-04-2002;</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Правила пожарной безопасности для энергетических предприятий. РД 153-34.0-03.301-00;</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Федеральный закон от 10.01.2002 № 7-ФЗ «Об охране окружающей среды» Федеральный закон от 10.01.2002 № 7-ФЗ;</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Правила по охране труда при работе на высоте от 16 ноября 2020 года N 782н;</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Федеральные нормы и правила в области промышленной безопасности "Правила безопасного ведения газоопасных, огневых и ремонтных работ" от 15 декабря 2020 года N 528;</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Правила по охране труда при работе с инструментом и приспособлениями от 27 ноября 2020 года N 835н;</w:t>
            </w:r>
          </w:p>
          <w:p>
            <w:pPr>
              <w:pStyle w:val="Normal"/>
              <w:ind w:hanging="2"/>
              <w:rPr/>
            </w:pPr>
            <w:r>
              <w:rPr>
                <w:rStyle w:val="Style5"/>
                <w:b w:val="false"/>
                <w:i w:val="false"/>
                <w:color w:val="000000"/>
                <w:sz w:val="24"/>
                <w:szCs w:val="24"/>
                <w:shd w:fill="auto" w:val="clear"/>
              </w:rPr>
              <w:t xml:space="preserve">  </w:t>
            </w:r>
            <w:r>
              <w:fldChar w:fldCharType="begin"/>
            </w:r>
            <w:r>
              <w:rPr>
                <w:rStyle w:val="1"/>
                <w:sz w:val="24"/>
                <w:szCs w:val="24"/>
                <w:iCs/>
                <w:bCs/>
                <w:color w:val="000000"/>
              </w:rPr>
              <w:instrText xml:space="preserve"> HYPERLINK "https://docs.cntd.ru/document/573264184" \l "6540IN"</w:instrText>
            </w:r>
            <w:r>
              <w:rPr>
                <w:rStyle w:val="1"/>
                <w:sz w:val="24"/>
                <w:szCs w:val="24"/>
                <w:iCs/>
                <w:bCs/>
                <w:color w:val="000000"/>
              </w:rPr>
              <w:fldChar w:fldCharType="separate"/>
            </w:r>
            <w:r>
              <w:rPr>
                <w:rStyle w:val="1"/>
                <w:bCs/>
                <w:iCs/>
                <w:color w:val="000000"/>
                <w:sz w:val="24"/>
                <w:szCs w:val="24"/>
              </w:rPr>
              <w:t>Правил по охране труда при эксплуатации электроустановок</w:t>
            </w:r>
            <w:r>
              <w:rPr>
                <w:rStyle w:val="1"/>
                <w:sz w:val="24"/>
                <w:szCs w:val="24"/>
                <w:iCs/>
                <w:bCs/>
                <w:color w:val="000000"/>
              </w:rPr>
              <w:fldChar w:fldCharType="end"/>
            </w:r>
            <w:r>
              <w:rPr>
                <w:rStyle w:val="Style5"/>
                <w:b w:val="false"/>
                <w:i w:val="false"/>
                <w:color w:val="000000"/>
                <w:sz w:val="24"/>
                <w:szCs w:val="24"/>
                <w:shd w:fill="auto" w:val="clear"/>
              </w:rPr>
              <w:t xml:space="preserve"> утвержденные приказом от 15 декабря 2020 года N 903н;</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«Оборудование энергетическое тепло- и гидромеханическое. Шефмонтаж. Общие требования» ГОСТ Р 56203-2014;</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от 26 ноября 2020 года N 461;</w:t>
            </w:r>
          </w:p>
          <w:p>
            <w:pPr>
              <w:pStyle w:val="Normal"/>
              <w:ind w:hanging="2"/>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от 15 декабря 2020 года N 536.</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rPr/>
            </w:pPr>
            <w:r>
              <w:rPr>
                <w:rStyle w:val="Style5"/>
                <w:b w:val="false"/>
                <w:i w:val="false"/>
                <w:color w:val="000000"/>
                <w:sz w:val="24"/>
                <w:szCs w:val="24"/>
                <w:shd w:fill="auto" w:val="clear"/>
              </w:rPr>
              <w:t>1.2.</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pPr>
            <w:r>
              <w:rPr>
                <w:rStyle w:val="Style5"/>
                <w:b w:val="false"/>
                <w:i w:val="false"/>
                <w:color w:val="000000"/>
                <w:sz w:val="24"/>
                <w:szCs w:val="24"/>
                <w:shd w:fill="auto" w:val="clear"/>
              </w:rPr>
              <w:t>Требования к процедурам выполнения Работ/оказания Услуг</w:t>
            </w:r>
          </w:p>
        </w:tc>
      </w:tr>
      <w:tr>
        <w:trPr>
          <w:trHeight w:val="314" w:hRule="atLeast"/>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rPr/>
            </w:pPr>
            <w:r>
              <w:rPr>
                <w:rStyle w:val="Style5"/>
                <w:b w:val="false"/>
                <w:i w:val="false"/>
                <w:color w:val="000000"/>
                <w:sz w:val="24"/>
                <w:szCs w:val="24"/>
                <w:shd w:fill="auto" w:val="clear"/>
              </w:rPr>
              <w:t>1.2.1.</w:t>
            </w:r>
          </w:p>
        </w:tc>
        <w:tc>
          <w:tcPr>
            <w:tcW w:w="3143" w:type="dxa"/>
            <w:tcBorders>
              <w:left w:val="single" w:sz="4" w:space="0" w:color="000000"/>
              <w:bottom w:val="single" w:sz="4" w:space="0" w:color="000000"/>
            </w:tcBorders>
          </w:tcPr>
          <w:p>
            <w:pPr>
              <w:pStyle w:val="Normal"/>
              <w:shd w:val="clear" w:color="auto" w:fill="FFFFFF" w:themeFill="background1"/>
              <w:rPr/>
            </w:pPr>
            <w:r>
              <w:rPr>
                <w:rStyle w:val="Style5"/>
                <w:b w:val="false"/>
                <w:i w:val="false"/>
                <w:color w:val="000000"/>
                <w:sz w:val="24"/>
                <w:szCs w:val="24"/>
                <w:shd w:fill="auto" w:val="clear"/>
              </w:rPr>
              <w:t>Организационно-технические мероприятия</w:t>
            </w:r>
          </w:p>
        </w:tc>
        <w:tc>
          <w:tcPr>
            <w:tcW w:w="10921" w:type="dxa"/>
            <w:gridSpan w:val="3"/>
            <w:tcBorders>
              <w:left w:val="single" w:sz="4" w:space="0" w:color="000000"/>
              <w:bottom w:val="single" w:sz="4" w:space="0" w:color="000000"/>
              <w:right w:val="single" w:sz="4" w:space="0" w:color="000000"/>
            </w:tcBorders>
          </w:tcPr>
          <w:p>
            <w:pPr>
              <w:pStyle w:val="Normal"/>
              <w:shd w:val="clear" w:color="auto" w:fill="FFFFFF" w:themeFill="background1"/>
              <w:tabs>
                <w:tab w:val="clear" w:pos="720"/>
                <w:tab w:val="left" w:pos="217" w:leader="none"/>
              </w:tabs>
              <w:spacing w:before="30" w:after="0"/>
              <w:jc w:val="both"/>
              <w:rPr>
                <w:rStyle w:val="Style5"/>
                <w:b w:val="false"/>
                <w:i w:val="false"/>
                <w:i w:val="false"/>
                <w:color w:val="000000"/>
                <w:sz w:val="24"/>
                <w:szCs w:val="24"/>
                <w:shd w:fill="auto" w:val="clear"/>
              </w:rPr>
            </w:pPr>
            <w:r>
              <w:rPr>
                <w:rStyle w:val="Style5"/>
                <w:b w:val="false"/>
                <w:i w:val="false"/>
                <w:color w:val="000000"/>
                <w:sz w:val="24"/>
                <w:szCs w:val="24"/>
                <w:shd w:fill="auto" w:val="clear"/>
              </w:rPr>
              <w:t>Допуск на объект производится в соответствии с регламентом «Допуск персонала подрядных организаций на объекты   АО «Загорская ГАЭС-2», утвержденным приказом АО «Загорская ГАЭС-2» от 06.03.2026 № ЗГАЭС2/83-0037.</w:t>
            </w:r>
          </w:p>
          <w:p>
            <w:pPr>
              <w:pStyle w:val="Normal"/>
              <w:shd w:val="clear" w:color="auto" w:fill="FFFFFF" w:themeFill="background1"/>
              <w:tabs>
                <w:tab w:val="clear" w:pos="720"/>
                <w:tab w:val="left" w:pos="217" w:leader="none"/>
              </w:tabs>
              <w:spacing w:before="30" w:after="0"/>
              <w:jc w:val="both"/>
              <w:rPr/>
            </w:pPr>
            <w:r>
              <w:rPr>
                <w:rStyle w:val="Style5"/>
                <w:b w:val="false"/>
                <w:i w:val="false"/>
                <w:color w:val="000000"/>
                <w:sz w:val="24"/>
                <w:szCs w:val="24"/>
                <w:shd w:fill="auto" w:val="clear"/>
              </w:rPr>
              <w:t>Необходимые разрешения и документы для выполнения Работ должны быть оформлены Подрядчиком заблаговременно. Для разрешения допуска на территорию Заказчика и оформления пропусков Подрядчик должен предоставить Заказчику список специалистов, которые будут выполнять Работы с указанием Ф.И.О., занимаемой должности.</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1.3.</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pPr>
            <w:r>
              <w:rPr>
                <w:rStyle w:val="Style5"/>
                <w:b w:val="false"/>
                <w:i w:val="false"/>
                <w:color w:val="000000"/>
                <w:sz w:val="24"/>
                <w:szCs w:val="24"/>
                <w:shd w:fill="auto" w:val="clear"/>
              </w:rPr>
              <w:t>Требования к применяемым при выполнении Работ/оказании Услуг оборудованию и материалам, технологиям, программно-аппаратным средствам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jc w:val="center"/>
              <w:rPr/>
            </w:pPr>
            <w:r>
              <w:rPr>
                <w:rStyle w:val="Style5"/>
                <w:b w:val="false"/>
                <w:i w:val="false"/>
                <w:color w:val="000000"/>
                <w:sz w:val="24"/>
                <w:szCs w:val="24"/>
                <w:shd w:fill="auto" w:val="clear"/>
              </w:rPr>
              <w:t>1.3.1.</w:t>
            </w:r>
          </w:p>
        </w:tc>
        <w:tc>
          <w:tcPr>
            <w:tcW w:w="3168" w:type="dxa"/>
            <w:gridSpan w:val="2"/>
            <w:tcBorders>
              <w:left w:val="single" w:sz="4" w:space="0" w:color="000000"/>
              <w:bottom w:val="single" w:sz="4" w:space="0" w:color="000000"/>
            </w:tcBorders>
          </w:tcPr>
          <w:p>
            <w:pPr>
              <w:pStyle w:val="Normal"/>
              <w:rPr>
                <w:sz w:val="24"/>
                <w:szCs w:val="24"/>
              </w:rPr>
            </w:pPr>
            <w:r>
              <w:rPr>
                <w:sz w:val="24"/>
                <w:szCs w:val="24"/>
              </w:rPr>
              <w:t>Требования к приобретению Подрядчиком используемых при выполнении работ оборудования и материалов</w:t>
            </w:r>
          </w:p>
        </w:tc>
        <w:tc>
          <w:tcPr>
            <w:tcW w:w="10896" w:type="dxa"/>
            <w:gridSpan w:val="2"/>
            <w:tcBorders>
              <w:left w:val="single" w:sz="4" w:space="0" w:color="000000"/>
              <w:bottom w:val="single" w:sz="4" w:space="0" w:color="000000"/>
              <w:right w:val="single" w:sz="4" w:space="0" w:color="000000"/>
            </w:tcBorders>
          </w:tcPr>
          <w:p>
            <w:pPr>
              <w:pStyle w:val="Normal"/>
              <w:rPr>
                <w:sz w:val="24"/>
                <w:szCs w:val="24"/>
              </w:rPr>
            </w:pPr>
            <w:r>
              <w:rPr>
                <w:sz w:val="24"/>
                <w:szCs w:val="24"/>
              </w:rPr>
              <w:t>Закупка, изготовление, поставка оборудования, материалов и комплектующих на место производства работ осуществляется подрядчиком самостоятельно.</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1.3.2.</w:t>
            </w:r>
          </w:p>
        </w:tc>
        <w:tc>
          <w:tcPr>
            <w:tcW w:w="3168" w:type="dxa"/>
            <w:gridSpan w:val="2"/>
            <w:tcBorders>
              <w:left w:val="single" w:sz="4" w:space="0" w:color="000000"/>
              <w:bottom w:val="single" w:sz="4" w:space="0" w:color="000000"/>
            </w:tcBorders>
          </w:tcPr>
          <w:p>
            <w:pPr>
              <w:pStyle w:val="Normal"/>
              <w:rPr>
                <w:sz w:val="24"/>
                <w:szCs w:val="24"/>
              </w:rPr>
            </w:pPr>
            <w:r>
              <w:rPr>
                <w:sz w:val="24"/>
                <w:szCs w:val="24"/>
              </w:rPr>
              <w:t>Срок гарантии на оборудование и материалы</w:t>
            </w:r>
          </w:p>
        </w:tc>
        <w:tc>
          <w:tcPr>
            <w:tcW w:w="10896" w:type="dxa"/>
            <w:gridSpan w:val="2"/>
            <w:tcBorders>
              <w:left w:val="single" w:sz="4" w:space="0" w:color="000000"/>
              <w:bottom w:val="single" w:sz="4" w:space="0" w:color="000000"/>
              <w:right w:val="single" w:sz="4" w:space="0" w:color="000000"/>
            </w:tcBorders>
          </w:tcPr>
          <w:p>
            <w:pPr>
              <w:pStyle w:val="Normal"/>
              <w:rPr>
                <w:sz w:val="24"/>
                <w:szCs w:val="24"/>
              </w:rPr>
            </w:pPr>
            <w:r>
              <w:rPr>
                <w:sz w:val="24"/>
                <w:szCs w:val="24"/>
              </w:rPr>
              <w:t>Срок гарантии на оборудование и материалы не менее трех лет, с момента поставки по ТОРГ-12/УПД</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3"/>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1.3.3.</w:t>
            </w:r>
          </w:p>
        </w:tc>
        <w:tc>
          <w:tcPr>
            <w:tcW w:w="3168" w:type="dxa"/>
            <w:gridSpan w:val="2"/>
            <w:tcBorders>
              <w:left w:val="single" w:sz="4" w:space="0" w:color="000000"/>
              <w:bottom w:val="single" w:sz="4" w:space="0" w:color="000000"/>
            </w:tcBorders>
          </w:tcPr>
          <w:p>
            <w:pPr>
              <w:pStyle w:val="Normal"/>
              <w:rPr>
                <w:sz w:val="24"/>
                <w:szCs w:val="24"/>
              </w:rPr>
            </w:pPr>
            <w:r>
              <w:rPr>
                <w:sz w:val="24"/>
                <w:szCs w:val="24"/>
              </w:rPr>
              <w:t>Срок гарантии качества результата работ</w:t>
            </w:r>
          </w:p>
        </w:tc>
        <w:tc>
          <w:tcPr>
            <w:tcW w:w="10896" w:type="dxa"/>
            <w:gridSpan w:val="2"/>
            <w:tcBorders>
              <w:left w:val="single" w:sz="4" w:space="0" w:color="000000"/>
              <w:bottom w:val="single" w:sz="4" w:space="0" w:color="000000"/>
              <w:right w:val="single" w:sz="4" w:space="0" w:color="000000"/>
            </w:tcBorders>
          </w:tcPr>
          <w:p>
            <w:pPr>
              <w:pStyle w:val="Normal"/>
              <w:rPr>
                <w:sz w:val="24"/>
                <w:szCs w:val="24"/>
              </w:rPr>
            </w:pPr>
            <w:r>
              <w:rPr>
                <w:sz w:val="24"/>
                <w:szCs w:val="24"/>
              </w:rPr>
              <w:t>60 (шестьдесят) месяцев с даты подписания Сторонами Акта КС-11 либо с даты прекращения (расторжения) Договора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1.4.</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tabs>
                <w:tab w:val="clear" w:pos="720"/>
                <w:tab w:val="left" w:pos="426" w:leader="none"/>
              </w:tabs>
              <w:spacing w:before="60" w:after="0"/>
              <w:rPr/>
            </w:pPr>
            <w:r>
              <w:rPr>
                <w:rStyle w:val="Style5"/>
                <w:b w:val="false"/>
                <w:i w:val="false"/>
                <w:color w:val="000000"/>
                <w:sz w:val="24"/>
                <w:szCs w:val="24"/>
                <w:shd w:fill="auto" w:val="clear"/>
              </w:rPr>
              <w:t>Требования к контролю качества Услуг и материалов</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1.4.1.</w:t>
            </w:r>
          </w:p>
        </w:tc>
        <w:tc>
          <w:tcPr>
            <w:tcW w:w="3180" w:type="dxa"/>
            <w:gridSpan w:val="3"/>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rPr/>
            </w:pPr>
            <w:r>
              <w:rPr>
                <w:rStyle w:val="Style5"/>
                <w:b w:val="false"/>
                <w:i w:val="false"/>
                <w:color w:val="000000"/>
                <w:sz w:val="24"/>
                <w:szCs w:val="24"/>
                <w:shd w:fill="auto" w:val="clear"/>
              </w:rPr>
              <w:t>Входной и производственный контроль в месте выполнения работ по восстановлению оборудования в заводских условиях</w:t>
            </w:r>
          </w:p>
        </w:tc>
        <w:tc>
          <w:tcPr>
            <w:tcW w:w="10884" w:type="dxa"/>
            <w:tcBorders>
              <w:left w:val="single" w:sz="4" w:space="0" w:color="000000"/>
              <w:bottom w:val="single" w:sz="4" w:space="0" w:color="000000"/>
              <w:right w:val="single" w:sz="4" w:space="0" w:color="000000"/>
            </w:tcBorders>
            <w:vAlign w:val="center"/>
          </w:tcPr>
          <w:p>
            <w:pPr>
              <w:pStyle w:val="Normal"/>
              <w:shd w:val="clear" w:color="auto" w:fill="FFFFFF" w:themeFill="background1"/>
              <w:ind w:left="227"/>
              <w:rPr/>
            </w:pPr>
            <w:r>
              <w:rPr>
                <w:rStyle w:val="Style5"/>
                <w:b w:val="false"/>
                <w:i w:val="false"/>
                <w:color w:val="000000"/>
                <w:sz w:val="24"/>
                <w:szCs w:val="24"/>
                <w:shd w:fill="auto" w:val="clear"/>
              </w:rPr>
              <w:t>Исполнитель осуществляет:</w:t>
            </w:r>
          </w:p>
          <w:p>
            <w:pPr>
              <w:pStyle w:val="Normal"/>
              <w:shd w:val="clear" w:color="auto" w:fill="FFFFFF" w:themeFill="background1"/>
              <w:ind w:left="227"/>
              <w:rPr/>
            </w:pPr>
            <w:r>
              <w:rPr>
                <w:rStyle w:val="Style5"/>
                <w:b w:val="false"/>
                <w:i w:val="false"/>
                <w:color w:val="000000"/>
                <w:sz w:val="24"/>
                <w:szCs w:val="24"/>
                <w:shd w:fill="auto" w:val="clear"/>
              </w:rPr>
              <w:t>a) входной контроль качества материалов, заготовок и покупных комплектующих изделий, поступающих на предприятие для изготовления и комплектации ЭТО;</w:t>
            </w:r>
          </w:p>
          <w:p>
            <w:pPr>
              <w:pStyle w:val="Normal"/>
              <w:shd w:val="clear" w:color="auto" w:fill="FFFFFF" w:themeFill="background1"/>
              <w:ind w:left="227"/>
              <w:rPr/>
            </w:pPr>
            <w:r>
              <w:rPr>
                <w:rStyle w:val="Style5"/>
                <w:b w:val="false"/>
                <w:i w:val="false"/>
                <w:color w:val="000000"/>
                <w:sz w:val="24"/>
                <w:szCs w:val="24"/>
                <w:shd w:fill="auto" w:val="clear"/>
              </w:rPr>
              <w:t>b) производственный контроль сборочных единиц и деталей ЭТО для проверки соответствия качества деталей и сборочных единиц техническим требованиям, технической документации и стандартам.</w:t>
            </w:r>
          </w:p>
          <w:p>
            <w:pPr>
              <w:pStyle w:val="Normal"/>
              <w:shd w:val="clear" w:color="auto" w:fill="FFFFFF" w:themeFill="background1"/>
              <w:ind w:left="227"/>
              <w:rPr/>
            </w:pPr>
            <w:r>
              <w:rPr>
                <w:rStyle w:val="Style5"/>
                <w:b w:val="false"/>
                <w:i w:val="false"/>
                <w:color w:val="000000"/>
                <w:sz w:val="24"/>
                <w:szCs w:val="24"/>
                <w:shd w:fill="auto" w:val="clear"/>
              </w:rPr>
              <w:t>Исполнитель представит Программу контроля качества изготовления узлов ЭТО на заводе-изготовителе, включая виды контроля и испытаний.</w:t>
            </w:r>
          </w:p>
          <w:p>
            <w:pPr>
              <w:pStyle w:val="Normal"/>
              <w:shd w:val="clear" w:color="auto" w:fill="FFFFFF" w:themeFill="background1"/>
              <w:ind w:left="227"/>
              <w:rPr/>
            </w:pPr>
            <w:r>
              <w:rPr>
                <w:rStyle w:val="Style5"/>
                <w:b w:val="false"/>
                <w:i w:val="false"/>
                <w:color w:val="000000"/>
                <w:sz w:val="24"/>
                <w:szCs w:val="24"/>
                <w:shd w:fill="auto" w:val="clear"/>
              </w:rPr>
              <w:t>Заказчик может присутствовать при контрольных сборках отдельных узлов и имеет право ознакомиться со всеми стандартами на их изготовление.</w:t>
            </w:r>
          </w:p>
          <w:p>
            <w:pPr>
              <w:pStyle w:val="Normal"/>
              <w:shd w:val="clear" w:color="auto" w:fill="FFFFFF" w:themeFill="background1"/>
              <w:ind w:left="227"/>
              <w:rPr/>
            </w:pPr>
            <w:r>
              <w:rPr>
                <w:rStyle w:val="Style5"/>
                <w:b w:val="false"/>
                <w:i w:val="false"/>
                <w:color w:val="000000"/>
                <w:sz w:val="24"/>
                <w:szCs w:val="24"/>
                <w:shd w:fill="auto" w:val="clear"/>
              </w:rPr>
              <w:t>Исполнитель сообщает Заказчику за 10 (десять) дней сроки проведения контрольных сборок</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1.5.</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персоналу Исполнителя</w:t>
            </w:r>
          </w:p>
        </w:tc>
      </w:tr>
      <w:tr>
        <w:trPr>
          <w:trHeight w:val="1698" w:hRule="atLeast"/>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1.5.1.</w:t>
            </w:r>
          </w:p>
        </w:tc>
        <w:tc>
          <w:tcPr>
            <w:tcW w:w="3180" w:type="dxa"/>
            <w:gridSpan w:val="3"/>
            <w:tcBorders>
              <w:left w:val="single" w:sz="4" w:space="0" w:color="000000"/>
              <w:bottom w:val="single" w:sz="4" w:space="0" w:color="000000"/>
            </w:tcBorders>
            <w:vAlign w:val="center"/>
          </w:tcPr>
          <w:p>
            <w:pPr>
              <w:pStyle w:val="Normal"/>
              <w:shd w:val="clear" w:color="auto" w:fill="FFFFFF" w:themeFill="background1"/>
              <w:tabs>
                <w:tab w:val="clear" w:pos="720"/>
                <w:tab w:val="left" w:pos="217" w:leader="none"/>
              </w:tabs>
              <w:spacing w:before="30" w:after="0"/>
              <w:rPr/>
            </w:pPr>
            <w:r>
              <w:rPr>
                <w:rStyle w:val="Style5"/>
                <w:b w:val="false"/>
                <w:i w:val="false"/>
                <w:color w:val="000000"/>
                <w:sz w:val="24"/>
                <w:szCs w:val="24"/>
                <w:shd w:fill="auto" w:val="clear"/>
              </w:rPr>
              <w:t>Требования к квалификации</w:t>
            </w:r>
          </w:p>
        </w:tc>
        <w:tc>
          <w:tcPr>
            <w:tcW w:w="10884" w:type="dxa"/>
            <w:tcBorders>
              <w:left w:val="single" w:sz="4" w:space="0" w:color="000000"/>
              <w:bottom w:val="single" w:sz="4" w:space="0" w:color="000000"/>
              <w:right w:val="single" w:sz="4" w:space="0" w:color="000000"/>
            </w:tcBorders>
            <w:vAlign w:val="center"/>
          </w:tcPr>
          <w:p>
            <w:pPr>
              <w:pStyle w:val="Normal"/>
              <w:shd w:val="clear" w:color="auto" w:fill="FFFFFF" w:themeFill="background1"/>
              <w:tabs>
                <w:tab w:val="clear" w:pos="720"/>
                <w:tab w:val="left" w:pos="217" w:leader="none"/>
              </w:tabs>
              <w:spacing w:before="30" w:after="0"/>
              <w:jc w:val="both"/>
              <w:rPr/>
            </w:pPr>
            <w:r>
              <w:rPr>
                <w:rStyle w:val="Style5"/>
                <w:b w:val="false"/>
                <w:i w:val="false"/>
                <w:color w:val="000000"/>
                <w:sz w:val="24"/>
                <w:szCs w:val="24"/>
                <w:shd w:fill="auto" w:val="clear"/>
              </w:rPr>
              <w:t>Исполнитель должен выполнять Работы/оказывать Услуги силами квалифицированного и обученного персонала, имеющих соответствующий опыт и навыки при выполнении данного вида деятельности. Персонал Исполнителя должен иметь все необходимые лицензии и удостоверения, подтверждающие возможность выполнения соответствующих типов работ (работы на высоте, работы с грузоподъемными механизмами, работы в действующих электроустановках и т.д.)</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pPr>
            <w:r>
              <w:rPr>
                <w:rStyle w:val="Style5"/>
                <w:b w:val="false"/>
                <w:i w:val="false"/>
                <w:color w:val="000000"/>
                <w:sz w:val="24"/>
                <w:szCs w:val="24"/>
                <w:shd w:fill="auto" w:val="clear"/>
              </w:rPr>
              <w:t>1.6.</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pPr>
            <w:r>
              <w:rPr>
                <w:rStyle w:val="Style5"/>
                <w:b w:val="false"/>
                <w:i w:val="false"/>
                <w:color w:val="000000"/>
                <w:sz w:val="24"/>
                <w:szCs w:val="24"/>
                <w:shd w:fill="auto" w:val="clear"/>
              </w:rPr>
              <w:t>Требования к безопасности работ / услуг и охране труда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tabs>
                <w:tab w:val="clear" w:pos="720"/>
                <w:tab w:val="left" w:pos="-63" w:leader="none"/>
              </w:tabs>
              <w:spacing w:before="60" w:after="60"/>
              <w:ind w:left="-113"/>
              <w:contextualSpacing/>
              <w:jc w:val="center"/>
              <w:rPr/>
            </w:pPr>
            <w:r>
              <w:rPr>
                <w:rStyle w:val="Style5"/>
                <w:b w:val="false"/>
                <w:i w:val="false"/>
                <w:color w:val="000000"/>
                <w:sz w:val="24"/>
                <w:szCs w:val="24"/>
                <w:shd w:fill="auto" w:val="clear"/>
              </w:rPr>
              <w:t>1.6.1</w:t>
            </w:r>
          </w:p>
        </w:tc>
        <w:tc>
          <w:tcPr>
            <w:tcW w:w="3180" w:type="dxa"/>
            <w:gridSpan w:val="3"/>
            <w:tcBorders>
              <w:left w:val="single" w:sz="4" w:space="0" w:color="000000"/>
              <w:bottom w:val="single" w:sz="4" w:space="0" w:color="000000"/>
            </w:tcBorders>
            <w:vAlign w:val="center"/>
          </w:tcPr>
          <w:p>
            <w:pPr>
              <w:pStyle w:val="Normal"/>
              <w:shd w:val="clear" w:color="auto" w:fill="FFFFFF" w:themeFill="background1"/>
              <w:spacing w:before="30" w:after="0"/>
              <w:rPr/>
            </w:pPr>
            <w:r>
              <w:rPr>
                <w:rStyle w:val="Style5"/>
                <w:b w:val="false"/>
                <w:i w:val="false"/>
                <w:color w:val="000000"/>
                <w:sz w:val="24"/>
                <w:szCs w:val="24"/>
                <w:shd w:fill="auto" w:val="clear"/>
              </w:rPr>
              <w:t>Требования к безопасности работ и охране труда</w:t>
            </w:r>
          </w:p>
        </w:tc>
        <w:tc>
          <w:tcPr>
            <w:tcW w:w="10884" w:type="dxa"/>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229" w:leader="none"/>
              </w:tabs>
              <w:ind w:left="0"/>
              <w:jc w:val="both"/>
              <w:rPr/>
            </w:pPr>
            <w:r>
              <w:rPr>
                <w:rStyle w:val="Style5"/>
                <w:b w:val="false"/>
                <w:i w:val="false"/>
                <w:color w:val="000000"/>
                <w:sz w:val="24"/>
                <w:szCs w:val="24"/>
                <w:shd w:fill="auto" w:val="clear"/>
              </w:rPr>
              <w:t>В рамках допуска персонала Исполнителя на объекты АО «Загорская ГАЭС-2», им должны быть выполнены все мероприятия (до начала/во время/после окончания производства работ), обеспечивающие безопасность на рабочем месте, которые будут указаны в соответствующем Акте-допуске.</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tabs>
                <w:tab w:val="clear" w:pos="720"/>
                <w:tab w:val="left" w:pos="-63" w:leader="none"/>
              </w:tabs>
              <w:spacing w:before="60" w:after="60"/>
              <w:ind w:left="-113"/>
              <w:contextualSpacing/>
              <w:jc w:val="center"/>
              <w:rPr>
                <w:rStyle w:val="Style5"/>
                <w:color w:val="000000"/>
                <w:sz w:val="24"/>
                <w:szCs w:val="24"/>
                <w:shd w:fill="auto" w:val="clear"/>
              </w:rPr>
            </w:pPr>
            <w:r>
              <w:rPr>
                <w:rStyle w:val="Style5"/>
                <w:b w:val="false"/>
                <w:i w:val="false"/>
                <w:color w:val="000000"/>
                <w:sz w:val="24"/>
                <w:szCs w:val="24"/>
                <w:shd w:fill="auto" w:val="clear"/>
              </w:rPr>
              <w:t>2.</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Оборудованию, поставляемому Исполнителем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tabs>
                <w:tab w:val="clear" w:pos="720"/>
                <w:tab w:val="left" w:pos="-63" w:leader="none"/>
              </w:tabs>
              <w:spacing w:before="60" w:after="60"/>
              <w:ind w:left="-113"/>
              <w:contextualSpacing/>
              <w:jc w:val="center"/>
              <w:rPr>
                <w:rStyle w:val="Style5"/>
                <w:color w:val="000000"/>
                <w:sz w:val="24"/>
                <w:szCs w:val="24"/>
                <w:shd w:fill="auto" w:val="clear"/>
              </w:rPr>
            </w:pPr>
            <w:r>
              <w:rPr>
                <w:rStyle w:val="Style5"/>
                <w:b w:val="false"/>
                <w:i w:val="false"/>
                <w:color w:val="000000"/>
                <w:sz w:val="24"/>
                <w:szCs w:val="24"/>
                <w:shd w:fill="auto" w:val="clear"/>
              </w:rPr>
              <w:t>2.1.</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60"/>
              <w:rPr/>
            </w:pPr>
            <w:r>
              <w:rPr>
                <w:rStyle w:val="Style5"/>
                <w:b w:val="false"/>
                <w:i w:val="false"/>
                <w:color w:val="000000"/>
                <w:sz w:val="24"/>
                <w:szCs w:val="24"/>
                <w:shd w:fill="auto" w:val="clear"/>
              </w:rPr>
              <w:t>Требования к техническим и функциональным характеристикам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pPr>
            <w:r>
              <w:rPr>
                <w:rStyle w:val="Style5"/>
                <w:b w:val="false"/>
                <w:i w:val="false"/>
                <w:color w:val="000000"/>
                <w:sz w:val="24"/>
                <w:szCs w:val="24"/>
                <w:shd w:fill="auto" w:val="clear"/>
              </w:rPr>
              <w:t>2.1.3.</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sz w:val="24"/>
                <w:szCs w:val="24"/>
              </w:rPr>
            </w:pPr>
            <w:r>
              <w:rPr>
                <w:rStyle w:val="Style5"/>
                <w:b w:val="false"/>
                <w:i w:val="false"/>
                <w:color w:val="000000"/>
                <w:sz w:val="24"/>
                <w:szCs w:val="24"/>
                <w:shd w:fill="auto" w:val="clear"/>
              </w:rPr>
              <w:t>Преобразователь частоты</w:t>
            </w:r>
          </w:p>
        </w:tc>
        <w:tc>
          <w:tcPr>
            <w:tcW w:w="10921" w:type="dxa"/>
            <w:gridSpan w:val="3"/>
            <w:tcBorders>
              <w:left w:val="single" w:sz="4" w:space="0" w:color="000000"/>
              <w:bottom w:val="single" w:sz="4" w:space="0" w:color="000000"/>
              <w:right w:val="single" w:sz="4" w:space="0" w:color="000000"/>
            </w:tcBorders>
            <w:vAlign w:val="center"/>
          </w:tcPr>
          <w:p>
            <w:pPr>
              <w:pStyle w:val="Normal"/>
              <w:ind w:firstLine="567"/>
              <w:rPr>
                <w:sz w:val="24"/>
                <w:szCs w:val="24"/>
              </w:rPr>
            </w:pPr>
            <w:r>
              <w:rPr>
                <w:sz w:val="24"/>
                <w:szCs w:val="24"/>
              </w:rPr>
              <w:t>Для поочередного плавного пуска в насосный режим четырех обратимых агрегатов Загорской ГАЭС-2, их работы в режиме синхронного компенсатора генераторного вращения, синхронизации с энергосистемой и останова с электрическим частотным торможением из насосного и турбинного режима с рекуперацией энергии в энергосистему обосновано применение в ПТУ высоковольтного преобразователя с регулируемой выходной частотой.</w:t>
            </w:r>
          </w:p>
          <w:p>
            <w:pPr>
              <w:pStyle w:val="Normal"/>
              <w:ind w:firstLine="567"/>
              <w:rPr>
                <w:sz w:val="24"/>
                <w:szCs w:val="24"/>
              </w:rPr>
            </w:pPr>
            <w:r>
              <w:rPr>
                <w:sz w:val="24"/>
                <w:szCs w:val="24"/>
              </w:rPr>
              <w:t>Высоковольтный преобразователь частоты (маркировка – =30</w:t>
            </w:r>
            <w:r>
              <w:rPr>
                <w:sz w:val="24"/>
                <w:szCs w:val="24"/>
                <w:lang w:val="en-US"/>
              </w:rPr>
              <w:t>MPM</w:t>
            </w:r>
            <w:r>
              <w:rPr>
                <w:sz w:val="24"/>
                <w:szCs w:val="24"/>
              </w:rPr>
              <w:t>-</w:t>
            </w:r>
            <w:r>
              <w:rPr>
                <w:sz w:val="24"/>
                <w:szCs w:val="24"/>
                <w:lang w:val="en-US"/>
              </w:rPr>
              <w:t>GU</w:t>
            </w:r>
            <w:r>
              <w:rPr>
                <w:sz w:val="24"/>
                <w:szCs w:val="24"/>
              </w:rPr>
              <w:t>,40</w:t>
            </w:r>
            <w:r>
              <w:rPr>
                <w:sz w:val="24"/>
                <w:szCs w:val="24"/>
                <w:lang w:val="en-US"/>
              </w:rPr>
              <w:t>MPM</w:t>
            </w:r>
            <w:r>
              <w:rPr>
                <w:sz w:val="24"/>
                <w:szCs w:val="24"/>
              </w:rPr>
              <w:t>-</w:t>
            </w:r>
            <w:r>
              <w:rPr>
                <w:sz w:val="24"/>
                <w:szCs w:val="24"/>
                <w:lang w:val="en-US"/>
              </w:rPr>
              <w:t>GU</w:t>
            </w:r>
            <w:r>
              <w:rPr>
                <w:sz w:val="24"/>
                <w:szCs w:val="24"/>
              </w:rPr>
              <w:t>) в соответствии со схемой Приложения А) должен содержать управляемый мостовой шестипульсный выпрямитель на последовательно соединенных тиристорах, сглаживающий реактор звена постоянного тока, мостовой шестипульсный инвертор на последовательно соединенных тиристорах и микропроцессорное устройство управления, защиты, автоматики и отображения информации. Для защиты электрооборудования от коммутационных перенапряжений (междуфазных и относительно земли) в состав преобразователя частоты должно входить устройство защиты от указанных перенапряжений, возникающих синхронно с переключением (коммутацией) тиристоров выпрямителя и инвертора.</w:t>
            </w:r>
          </w:p>
          <w:p>
            <w:pPr>
              <w:pStyle w:val="Normal"/>
              <w:ind w:firstLine="567"/>
              <w:rPr>
                <w:sz w:val="24"/>
                <w:szCs w:val="24"/>
              </w:rPr>
            </w:pPr>
            <w:r>
              <w:rPr>
                <w:sz w:val="24"/>
                <w:szCs w:val="24"/>
              </w:rPr>
              <w:t>Выполнение современного пускового преобразователя частоты на номинальное напряжение мощной синхронной машины предъявляет ряд принципиальных требований, прежде всего к его силовой части. С учетом имеющегося опыта освоения производства тиристоров с высокими параметрами по напряжению и току и современных средств информационной электроники, совершенствования технологии конструирования высоковольтных преобразователей (6-20 кВ) эти требования можно свести к следующим, наиболее существенным:</w:t>
            </w:r>
          </w:p>
          <w:p>
            <w:pPr>
              <w:pStyle w:val="Normal"/>
              <w:ind w:firstLine="567"/>
              <w:rPr>
                <w:sz w:val="24"/>
                <w:szCs w:val="24"/>
              </w:rPr>
            </w:pPr>
            <w:r>
              <w:rPr>
                <w:sz w:val="24"/>
                <w:szCs w:val="24"/>
              </w:rPr>
              <w:t>•</w:t>
            </w:r>
            <w:r>
              <w:rPr>
                <w:sz w:val="24"/>
                <w:szCs w:val="24"/>
              </w:rPr>
              <w:tab/>
              <w:t>Пусковой преобразователь частоты должен обладать высокой экономичностью, т.е. иметь по возможности минимальные габариты и массу, оптимальную стоимость в соответствии с критерием «цена-качество». Это требование, ввиду большой установленной мощности высоковольтного тиристорного преобразователя частоты, составляющей обычно порядка 8 – 12 % номинальной мощности двигателя-генератора, имеет в данном случае особое значение.</w:t>
            </w:r>
          </w:p>
          <w:p>
            <w:pPr>
              <w:pStyle w:val="Normal"/>
              <w:ind w:firstLine="567"/>
              <w:rPr>
                <w:sz w:val="24"/>
                <w:szCs w:val="24"/>
              </w:rPr>
            </w:pPr>
            <w:r>
              <w:rPr>
                <w:sz w:val="24"/>
                <w:szCs w:val="24"/>
              </w:rPr>
              <w:t>•</w:t>
            </w:r>
            <w:r>
              <w:rPr>
                <w:sz w:val="24"/>
                <w:szCs w:val="24"/>
              </w:rPr>
              <w:tab/>
              <w:t>Силовая часть преобразователя частоты должна иметь высокую надежность. Ввиду важности объектов, обслуживаемых пусковым преобразователем, возникновение в нем аварий с последующим отключением сопровождается значительным экономическим ущербом.  В этих условиях обеспечение требуемой  надежности силовой части высоковольтного преобразователя частоты должно быть реализовано за счет применения специальной защиты вентильного оборудования, в функции которой должны входить диагностика состояния тиристоров, сигнализация о неисправности и формирование сигнала на отключение до развития аварии, сопровождающейся «сквозным» пробоем высоковольтного тиристорного вентиля, состоящего из последовательно включенных тиристоров. Применение диагностики состояния вентильного оборудования позволяет рационально организовать защиту силовой части преобразователя от сверхтоков и существенно повысить не только его надежность, но и экономичность.</w:t>
            </w:r>
          </w:p>
          <w:p>
            <w:pPr>
              <w:pStyle w:val="Normal"/>
              <w:ind w:firstLine="567"/>
              <w:rPr>
                <w:sz w:val="24"/>
                <w:szCs w:val="24"/>
              </w:rPr>
            </w:pPr>
            <w:r>
              <w:rPr>
                <w:sz w:val="24"/>
                <w:szCs w:val="24"/>
              </w:rPr>
              <w:t>•</w:t>
            </w:r>
            <w:r>
              <w:rPr>
                <w:sz w:val="24"/>
                <w:szCs w:val="24"/>
              </w:rPr>
              <w:tab/>
              <w:t>Система формирования, передачи и распределения импульсов управления для одновременного включения требуемого количества  последовательно соединенных тиристоров  высоковольтного вентиля должна обладать высокой надежностью  и обеспечивать требуемую изоляционную прочность гальванического разделения силовой части высоковольтного  преобразователя от его системы управлении.</w:t>
            </w:r>
          </w:p>
          <w:p>
            <w:pPr>
              <w:pStyle w:val="Normal"/>
              <w:ind w:firstLine="567"/>
              <w:rPr>
                <w:sz w:val="24"/>
                <w:szCs w:val="24"/>
              </w:rPr>
            </w:pPr>
            <w:r>
              <w:rPr>
                <w:sz w:val="24"/>
                <w:szCs w:val="24"/>
              </w:rPr>
              <w:t>•</w:t>
            </w:r>
            <w:r>
              <w:rPr>
                <w:sz w:val="24"/>
                <w:szCs w:val="24"/>
              </w:rPr>
              <w:tab/>
              <w:t>В силовой части высоковольтного преобразователя должно быть предусмотрено ограничение коммутационных перенапряжений относительно земли, возникающих в пусковых режимах и прикладывающихся к изоляции силового оборудования. Это требование не только определяет необходимость применения схем демпфирования перенапряжений, обеспечивающих ограничение амплитуды перенапряжений до заданного значения и обладающих высокой энергетической эффективностью (минимальные потери, габариты и установленная мощность), но и конкретные условия включения пускового высоковольтного преобразователя в главной схеме электрических соединений ГАЭС.</w:t>
            </w:r>
          </w:p>
          <w:p>
            <w:pPr>
              <w:pStyle w:val="Normal"/>
              <w:ind w:firstLine="567"/>
              <w:rPr>
                <w:sz w:val="24"/>
                <w:szCs w:val="24"/>
              </w:rPr>
            </w:pPr>
            <w:r>
              <w:rPr>
                <w:sz w:val="24"/>
                <w:szCs w:val="24"/>
              </w:rPr>
              <w:t>•</w:t>
            </w:r>
            <w:r>
              <w:rPr>
                <w:sz w:val="24"/>
                <w:szCs w:val="24"/>
              </w:rPr>
              <w:tab/>
              <w:t>Схема силовой части пускового преобразователя должна выбираться с учетом требуемого соотношения между номинальной мощностью преобразователя и мощностью короткого замыкания примыкающей энергосистемы. Это требование вытекает из необходимости обеспечения электромагнитной совместимости преобразователя в условиях его работы на ГАЭС и определяется ГОСТ 13109-97.</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2.1.4.</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bCs/>
                <w:sz w:val="24"/>
                <w:szCs w:val="24"/>
              </w:rPr>
            </w:pPr>
            <w:r>
              <w:rPr>
                <w:rFonts w:eastAsia="Calibri"/>
                <w:sz w:val="22"/>
                <w:szCs w:val="22"/>
                <w:lang w:eastAsia="en-US"/>
              </w:rPr>
              <w:t>Шкафы системы управления, автоматики и питания (из состава сопряжения)</w:t>
            </w:r>
          </w:p>
        </w:tc>
        <w:tc>
          <w:tcPr>
            <w:tcW w:w="10921" w:type="dxa"/>
            <w:gridSpan w:val="3"/>
            <w:tcBorders>
              <w:left w:val="single" w:sz="4" w:space="0" w:color="000000"/>
              <w:bottom w:val="single" w:sz="4" w:space="0" w:color="000000"/>
              <w:right w:val="single" w:sz="4" w:space="0" w:color="000000"/>
            </w:tcBorders>
            <w:vAlign w:val="center"/>
          </w:tcPr>
          <w:p>
            <w:pPr>
              <w:pStyle w:val="Style32"/>
              <w:ind w:firstLine="567"/>
              <w:rPr>
                <w:szCs w:val="24"/>
              </w:rPr>
            </w:pPr>
            <w:r>
              <w:rPr>
                <w:szCs w:val="24"/>
              </w:rPr>
              <w:t>В состав каждого из двух ПТУ, устанавливаемых на Загорской ГАЭС-2, входит  оборудование, предназначенное для координации работы оборудования ПТУ в процессе пуска – останова обратимых агрегатов станции (преобразователя частоты, входного и выходного выключателей ПТУ, а также выключателей агрегатов), а также для связи ПТУ с АСУ ТП станции.</w:t>
            </w:r>
          </w:p>
          <w:p>
            <w:pPr>
              <w:pStyle w:val="Normal"/>
              <w:ind w:firstLine="567"/>
              <w:rPr>
                <w:sz w:val="24"/>
                <w:szCs w:val="24"/>
              </w:rPr>
            </w:pPr>
            <w:r>
              <w:rPr>
                <w:sz w:val="24"/>
                <w:szCs w:val="24"/>
              </w:rPr>
              <w:t>Состав шкафов системы управления, автоматики и питания:</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сигнализации и управления (ШСУ) – с полным набором светодиодных индикаторов, измерительных приборов, ключами и кнопками управления, с питанием от =220 В. С мнемосхемой отображения состояния системы частотного пуска с ключами опробования выключателей и задания режима работы ПТУ (Работа-Ремонт), щитовыми приборами прямого измерения тока, активной и реактивной мощности на входе ПТУ измерительными преобразователями основных режимных параметров, однофазный вольтметр контроля изоляции пусковых шин с переключателем (измеряются фазные и линейные напряжения), со счетчиком коммерческого учета,  измерительными аналоговыми преобразователями: для формирования унифицированных токовых сигналов «4-20 мА», пропорциональных току на входе, активной и реактивной мощности на входе, напряжения на пусковых шинах.</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управления и телемеханики (ШУТМ) – с регистратором аварийных сигналов (РАС), с преобразователями тока, напряжения, мощности, с возможностью выдачи нормированных аналоговых и дискретных сигналов, счётчиком электроэнергии.</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автоматизированного рабочего места (АРМ) – с промышленным компьютером российского производства, монитором, с предустановленным специализированным ПО для мониторинга, настройки, просмотра трендов и архивов.</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сопряжения с объектом (ШСО) – с модулями дискретного и аналогового ввода/вывода и клеммниками подключения контрольных кабелей внешних связей, через которые  должно выполняться сопряжение с агрегатной автоматикой частотного пуска, устройствами релейной защиты и т.п..</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управления сопряжением (ШУС) – с программируемым логическим контроллером REGUL сопряжения автоматики ПТУ и автоматики агрегатов, модулями дискретного и аналогового ввода/вывода, осуществляющим:</w:t>
            </w:r>
          </w:p>
          <w:p>
            <w:pPr>
              <w:pStyle w:val="Normal"/>
              <w:widowControl/>
              <w:numPr>
                <w:ilvl w:val="0"/>
                <w:numId w:val="15"/>
              </w:numPr>
              <w:suppressAutoHyphens w:val="true"/>
              <w:bidi w:val="0"/>
              <w:spacing w:before="0" w:after="0"/>
              <w:ind w:hanging="340" w:left="1814" w:right="227"/>
              <w:jc w:val="both"/>
              <w:rPr>
                <w:sz w:val="24"/>
                <w:szCs w:val="24"/>
              </w:rPr>
            </w:pPr>
            <w:r>
              <w:rPr>
                <w:sz w:val="24"/>
                <w:szCs w:val="24"/>
              </w:rPr>
              <w:t>Прием и обработку сигналов состояния и команд от контактных датчиков электрооборудования ПТУ,</w:t>
            </w:r>
          </w:p>
          <w:p>
            <w:pPr>
              <w:pStyle w:val="Normal"/>
              <w:widowControl/>
              <w:numPr>
                <w:ilvl w:val="0"/>
                <w:numId w:val="15"/>
              </w:numPr>
              <w:suppressAutoHyphens w:val="true"/>
              <w:bidi w:val="0"/>
              <w:spacing w:before="0" w:after="0"/>
              <w:ind w:hanging="340" w:left="1814" w:right="227"/>
              <w:jc w:val="both"/>
              <w:rPr/>
            </w:pPr>
            <w:r>
              <w:rPr>
                <w:sz w:val="24"/>
                <w:szCs w:val="24"/>
              </w:rPr>
              <w:t>Управление режимами работы преобразователя частоты в процессе частотного пуска-торможения агрегатов станции,</w:t>
            </w:r>
          </w:p>
          <w:p>
            <w:pPr>
              <w:pStyle w:val="Normal"/>
              <w:widowControl/>
              <w:numPr>
                <w:ilvl w:val="0"/>
                <w:numId w:val="15"/>
              </w:numPr>
              <w:suppressAutoHyphens w:val="true"/>
              <w:bidi w:val="0"/>
              <w:spacing w:before="0" w:after="0"/>
              <w:ind w:hanging="340" w:left="1814" w:right="227"/>
              <w:jc w:val="both"/>
              <w:rPr/>
            </w:pPr>
            <w:r>
              <w:rPr>
                <w:sz w:val="24"/>
                <w:szCs w:val="24"/>
              </w:rPr>
              <w:t>Взаимодействие с агрегатной автоматикой частотного пуска гидроагрегатов (и через нее с выключателями агрегатов - генераторного и насосного вращения, а также выключателями для подключения агрегата к пусковым шинам),</w:t>
            </w:r>
          </w:p>
          <w:p>
            <w:pPr>
              <w:pStyle w:val="Normal"/>
              <w:widowControl/>
              <w:numPr>
                <w:ilvl w:val="0"/>
                <w:numId w:val="15"/>
              </w:numPr>
              <w:suppressAutoHyphens w:val="true"/>
              <w:bidi w:val="0"/>
              <w:spacing w:before="0" w:after="0"/>
              <w:ind w:hanging="340" w:left="1814" w:right="227"/>
              <w:jc w:val="both"/>
              <w:rPr/>
            </w:pPr>
            <w:r>
              <w:rPr>
                <w:sz w:val="24"/>
                <w:szCs w:val="24"/>
              </w:rPr>
              <w:t>Связь с релейной защитой и системой мониторинга состояния согласующего трансформатора;</w:t>
            </w:r>
          </w:p>
          <w:p>
            <w:pPr>
              <w:pStyle w:val="Normal"/>
              <w:widowControl/>
              <w:numPr>
                <w:ilvl w:val="0"/>
                <w:numId w:val="15"/>
              </w:numPr>
              <w:suppressAutoHyphens w:val="true"/>
              <w:bidi w:val="0"/>
              <w:spacing w:before="0" w:after="0"/>
              <w:ind w:hanging="340" w:left="1814" w:right="227"/>
              <w:jc w:val="both"/>
              <w:rPr/>
            </w:pPr>
            <w:r>
              <w:rPr>
                <w:sz w:val="24"/>
                <w:szCs w:val="24"/>
              </w:rPr>
              <w:t>Управление выключателями на входе и выходе ПТУ – как в штатных, так и аварийных режимах,</w:t>
            </w:r>
          </w:p>
          <w:p>
            <w:pPr>
              <w:pStyle w:val="Normal"/>
              <w:widowControl/>
              <w:numPr>
                <w:ilvl w:val="0"/>
                <w:numId w:val="15"/>
              </w:numPr>
              <w:suppressAutoHyphens w:val="true"/>
              <w:bidi w:val="0"/>
              <w:spacing w:before="0" w:after="0"/>
              <w:ind w:hanging="340" w:left="1814" w:right="227"/>
              <w:jc w:val="both"/>
              <w:rPr/>
            </w:pPr>
            <w:r>
              <w:rPr>
                <w:sz w:val="24"/>
                <w:szCs w:val="24"/>
              </w:rPr>
              <w:t>Контроль состояния коммутационных аппаратов (выключателей и разъединителей) в системе частотного пуска агрегатов ЗаГАЭС-2  и секционного разъединителя на пусковых шинах, связывающего обе секции пусковых шин каждого из ПТУ, изоляции и напряжения на пусковых шинах, с выдачей обобщенных сигналов готовности ПТУ или блокировки его работы,</w:t>
            </w:r>
          </w:p>
          <w:p>
            <w:pPr>
              <w:pStyle w:val="Normal"/>
              <w:widowControl/>
              <w:numPr>
                <w:ilvl w:val="0"/>
                <w:numId w:val="15"/>
              </w:numPr>
              <w:suppressAutoHyphens w:val="true"/>
              <w:bidi w:val="0"/>
              <w:spacing w:before="0" w:after="0"/>
              <w:ind w:hanging="340" w:left="1814" w:right="227"/>
              <w:jc w:val="both"/>
              <w:rPr/>
            </w:pPr>
            <w:r>
              <w:rPr>
                <w:sz w:val="24"/>
                <w:szCs w:val="24"/>
              </w:rPr>
              <w:t>Формирование сигналов состояния системы частотного пуска для мнемосхемы с индикаторами состояния коммутационных аппаратов и режимами работы ПТУ на лицевой панели шкафа №1.</w:t>
            </w:r>
          </w:p>
          <w:p>
            <w:pPr>
              <w:pStyle w:val="Normal"/>
              <w:widowControl/>
              <w:numPr>
                <w:ilvl w:val="0"/>
                <w:numId w:val="15"/>
              </w:numPr>
              <w:suppressAutoHyphens w:val="true"/>
              <w:bidi w:val="0"/>
              <w:spacing w:before="0" w:after="0"/>
              <w:ind w:hanging="340" w:left="1814" w:right="227"/>
              <w:jc w:val="both"/>
              <w:rPr/>
            </w:pPr>
            <w:r>
              <w:rPr>
                <w:sz w:val="24"/>
                <w:szCs w:val="24"/>
              </w:rPr>
              <w:t>Фиксацию (с временной привязкой) событий в системе частотного пуска агрегатов от ПТУ и передачу этой информации в АСУ ТП ГАЭС-2.</w:t>
            </w:r>
          </w:p>
          <w:p>
            <w:pPr>
              <w:pStyle w:val="Normal"/>
              <w:widowControl/>
              <w:numPr>
                <w:ilvl w:val="0"/>
                <w:numId w:val="15"/>
              </w:numPr>
              <w:suppressAutoHyphens w:val="true"/>
              <w:bidi w:val="0"/>
              <w:spacing w:before="0" w:after="0"/>
              <w:ind w:hanging="340" w:left="1814" w:right="227"/>
              <w:jc w:val="both"/>
              <w:rPr/>
            </w:pPr>
            <w:r>
              <w:rPr>
                <w:sz w:val="24"/>
                <w:szCs w:val="24"/>
              </w:rPr>
              <w:t>Регистрацию с привязкой к астрономическому времени последовательности событий (дискретных сигналов) в ПТУ.</w:t>
            </w:r>
          </w:p>
          <w:p>
            <w:pPr>
              <w:pStyle w:val="Normal"/>
              <w:widowControl/>
              <w:numPr>
                <w:ilvl w:val="0"/>
                <w:numId w:val="15"/>
              </w:numPr>
              <w:suppressAutoHyphens w:val="true"/>
              <w:bidi w:val="0"/>
              <w:spacing w:before="0" w:after="0"/>
              <w:ind w:hanging="340" w:left="1814" w:right="227"/>
              <w:jc w:val="both"/>
              <w:rPr>
                <w:sz w:val="24"/>
                <w:szCs w:val="24"/>
              </w:rPr>
            </w:pPr>
            <w:r>
              <w:rPr>
                <w:sz w:val="24"/>
                <w:szCs w:val="24"/>
              </w:rPr>
              <w:t xml:space="preserve">В шкафу сопряжения устанавливается программно-логический модульный контроллер, поддерживающий цифровой протокол передачи данных МЭК 60870-5-104.  Для отображения мнемосхем и сообщений в шкафу установлен терминал с диагональю экрана не менее 12 дюймов. Контроллер подключен к сети нижнего уровня АСУ ТП ЗаГАЭС-2 через дублированный оптический ETHERNET интерфейс. </w:t>
            </w:r>
            <w:r>
              <w:rPr>
                <w:bCs/>
                <w:sz w:val="24"/>
                <w:szCs w:val="24"/>
              </w:rPr>
              <w:t xml:space="preserve">Интеграция в АСУ ТП станционного уровня должна осуществляться без каких-либо качественных и количественных ограничений по объему передаваемой информации, с использованием резервируемых сетей цифровой передачи данных и протоколов передачи данных МЭК 60870-5-104, </w:t>
            </w:r>
            <w:r>
              <w:rPr>
                <w:bCs/>
                <w:sz w:val="24"/>
                <w:szCs w:val="24"/>
                <w:lang w:val="en-US"/>
              </w:rPr>
              <w:t>OPC</w:t>
            </w:r>
            <w:r>
              <w:rPr>
                <w:bCs/>
                <w:sz w:val="24"/>
                <w:szCs w:val="24"/>
              </w:rPr>
              <w:t xml:space="preserve"> </w:t>
            </w:r>
            <w:r>
              <w:rPr>
                <w:bCs/>
                <w:sz w:val="24"/>
                <w:szCs w:val="24"/>
                <w:lang w:val="en-US"/>
              </w:rPr>
              <w:t>UA</w:t>
            </w:r>
            <w:r>
              <w:rPr>
                <w:bCs/>
                <w:sz w:val="24"/>
                <w:szCs w:val="24"/>
              </w:rPr>
              <w:t xml:space="preserve"> непосредственно с уровня контроллеров (без использования промежуточных преобразователей и конверторов протоколов). Должно быть обеспечено взаимодействие с верхним уровнем АСУ ТП с организацией резервированного канала управления. В качестве шины управления реализуется (монтируется) оптическая связь на основе сети Ethernet. Скорость передачи данных по каналу до 1000 Мбит/с. Должен быть обеспечен обмен информацией по двум независимым портам: </w:t>
            </w:r>
          </w:p>
          <w:p>
            <w:pPr>
              <w:pStyle w:val="Normal"/>
              <w:widowControl w:val="false"/>
              <w:numPr>
                <w:ilvl w:val="2"/>
                <w:numId w:val="15"/>
              </w:numPr>
              <w:tabs>
                <w:tab w:val="clear" w:pos="720"/>
                <w:tab w:val="left" w:pos="993" w:leader="none"/>
              </w:tabs>
              <w:suppressAutoHyphens w:val="true"/>
              <w:bidi w:val="0"/>
              <w:spacing w:before="0" w:after="0"/>
              <w:ind w:hanging="227" w:left="3231" w:right="113"/>
              <w:jc w:val="both"/>
              <w:rPr/>
            </w:pPr>
            <w:r>
              <w:rPr>
                <w:bCs/>
                <w:sz w:val="24"/>
                <w:szCs w:val="24"/>
              </w:rPr>
              <w:t>(два IP адреса), либо с поддержкой технологии PRP по дублированной ЛВС блока с другими ПТК систем управления и контроля агрегата с использованием сетевой технологии Ethernet и протоколов, входящих в стек коммуникационных протоколов TCP/IP.</w:t>
            </w:r>
          </w:p>
          <w:p>
            <w:pPr>
              <w:pStyle w:val="Normal"/>
              <w:widowControl/>
              <w:numPr>
                <w:ilvl w:val="0"/>
                <w:numId w:val="15"/>
              </w:numPr>
              <w:tabs>
                <w:tab w:val="clear" w:pos="720"/>
                <w:tab w:val="left" w:pos="993" w:leader="none"/>
                <w:tab w:val="left" w:pos="1495" w:leader="none"/>
              </w:tabs>
              <w:suppressAutoHyphens w:val="false"/>
              <w:bidi w:val="0"/>
              <w:spacing w:before="0" w:after="0"/>
              <w:ind w:hanging="340" w:left="1928" w:right="227"/>
              <w:jc w:val="both"/>
              <w:rPr>
                <w:sz w:val="24"/>
                <w:szCs w:val="24"/>
              </w:rPr>
            </w:pPr>
            <w:r>
              <w:rPr>
                <w:bCs/>
                <w:sz w:val="24"/>
                <w:szCs w:val="24"/>
              </w:rPr>
              <w:t>Контроллеры должны поддерживать передачу данных по двум независимым интерфейсам Ethernet.</w:t>
            </w:r>
            <w:r>
              <w:rPr>
                <w:sz w:val="24"/>
                <w:szCs w:val="24"/>
              </w:rPr>
              <w:t>.</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управления коммутационными аппаратами (ШУКА) – с микропроцессорным устройством автоматики с поддержкой протокола МЭК 60870-5-104,  МЭК 61850, обеспечивающим управление коммутационными аппаратами  на входе и выходе ПТУ.</w:t>
            </w:r>
          </w:p>
          <w:p>
            <w:pPr>
              <w:pStyle w:val="Normal"/>
              <w:widowControl/>
              <w:numPr>
                <w:ilvl w:val="0"/>
                <w:numId w:val="15"/>
              </w:numPr>
              <w:tabs>
                <w:tab w:val="clear" w:pos="720"/>
                <w:tab w:val="left" w:pos="993" w:leader="none"/>
                <w:tab w:val="left" w:pos="1495" w:leader="none"/>
              </w:tabs>
              <w:suppressAutoHyphens w:val="false"/>
              <w:jc w:val="both"/>
              <w:rPr>
                <w:sz w:val="24"/>
                <w:szCs w:val="24"/>
              </w:rPr>
            </w:pPr>
            <w:r>
              <w:rPr>
                <w:sz w:val="24"/>
                <w:szCs w:val="24"/>
              </w:rPr>
              <w:t>Шкаф защит трансформатора и коммутационных аппаратов (ШЗТ) – 2 комплекта, с установленными микропроцессорными устройствами РЗА с поддержкой протокола МЭК 60870-5-104, МЭК-61850, обеспечивающими защиту согласующего трансформатора ПТУ и коммутационных аппаратов в цепях на входе и на выходе ПТУ (выключатели, разъединители).</w:t>
            </w:r>
          </w:p>
          <w:p>
            <w:pPr>
              <w:pStyle w:val="Normal"/>
              <w:widowControl/>
              <w:numPr>
                <w:ilvl w:val="0"/>
                <w:numId w:val="0"/>
              </w:numPr>
              <w:tabs>
                <w:tab w:val="clear" w:pos="720"/>
                <w:tab w:val="left" w:pos="993" w:leader="none"/>
                <w:tab w:val="left" w:pos="1495" w:leader="none"/>
              </w:tabs>
              <w:suppressAutoHyphens w:val="false"/>
              <w:ind w:hanging="0" w:left="786"/>
              <w:jc w:val="both"/>
              <w:rPr>
                <w:sz w:val="24"/>
                <w:szCs w:val="24"/>
              </w:rPr>
            </w:pPr>
            <w:r>
              <w:rPr>
                <w:sz w:val="24"/>
                <w:szCs w:val="24"/>
              </w:rPr>
              <w:t>Системой управления ПТУ должно обеспечиваться:</w:t>
            </w:r>
          </w:p>
          <w:p>
            <w:pPr>
              <w:pStyle w:val="Normal"/>
              <w:widowControl/>
              <w:numPr>
                <w:ilvl w:val="0"/>
                <w:numId w:val="15"/>
              </w:numPr>
              <w:tabs>
                <w:tab w:val="clear" w:pos="720"/>
                <w:tab w:val="left" w:pos="993" w:leader="none"/>
                <w:tab w:val="left" w:pos="1495" w:leader="none"/>
              </w:tabs>
              <w:suppressAutoHyphens w:val="false"/>
              <w:bidi w:val="0"/>
              <w:spacing w:before="0" w:after="0"/>
              <w:ind w:hanging="340" w:left="1644" w:right="113"/>
              <w:jc w:val="both"/>
              <w:rPr>
                <w:sz w:val="24"/>
                <w:szCs w:val="24"/>
              </w:rPr>
            </w:pPr>
            <w:r>
              <w:rPr>
                <w:sz w:val="24"/>
                <w:szCs w:val="24"/>
              </w:rPr>
              <w:t>Управление режимами работы преобразователя частоты в процессе частотного пуска-торможения агрегатов станции,</w:t>
            </w:r>
          </w:p>
          <w:p>
            <w:pPr>
              <w:pStyle w:val="Normal"/>
              <w:widowControl/>
              <w:numPr>
                <w:ilvl w:val="0"/>
                <w:numId w:val="15"/>
              </w:numPr>
              <w:tabs>
                <w:tab w:val="clear" w:pos="720"/>
                <w:tab w:val="left" w:pos="993" w:leader="none"/>
              </w:tabs>
              <w:suppressAutoHyphens w:val="false"/>
              <w:bidi w:val="0"/>
              <w:spacing w:before="0" w:after="0"/>
              <w:ind w:hanging="340" w:left="1644" w:right="113"/>
              <w:jc w:val="both"/>
              <w:rPr>
                <w:sz w:val="24"/>
                <w:szCs w:val="24"/>
              </w:rPr>
            </w:pPr>
            <w:r>
              <w:rPr>
                <w:sz w:val="24"/>
                <w:szCs w:val="24"/>
              </w:rPr>
              <w:t>Взаимодействие с агрегатной автоматикой частотного пуска гидроагрегатов (и через нее с выключателями агрегатов – генераторного и насосного вращения, а также выключателями для подключения агрегата к пусковым шинам),</w:t>
            </w:r>
          </w:p>
          <w:p>
            <w:pPr>
              <w:pStyle w:val="Normal"/>
              <w:widowControl/>
              <w:numPr>
                <w:ilvl w:val="0"/>
                <w:numId w:val="15"/>
              </w:numPr>
              <w:tabs>
                <w:tab w:val="clear" w:pos="720"/>
                <w:tab w:val="left" w:pos="993" w:leader="none"/>
              </w:tabs>
              <w:suppressAutoHyphens w:val="false"/>
              <w:bidi w:val="0"/>
              <w:spacing w:before="0" w:after="0"/>
              <w:ind w:hanging="340" w:left="1644" w:right="113"/>
              <w:jc w:val="both"/>
              <w:rPr>
                <w:sz w:val="24"/>
                <w:szCs w:val="24"/>
              </w:rPr>
            </w:pPr>
            <w:r>
              <w:rPr>
                <w:sz w:val="24"/>
                <w:szCs w:val="24"/>
              </w:rPr>
              <w:t>Релейную защиту и управление выключателями на входе и выходе ПТУ – как в штатных, так и аварийных ситуациях,</w:t>
            </w:r>
          </w:p>
          <w:p>
            <w:pPr>
              <w:pStyle w:val="Normal"/>
              <w:widowControl/>
              <w:numPr>
                <w:ilvl w:val="0"/>
                <w:numId w:val="15"/>
              </w:numPr>
              <w:tabs>
                <w:tab w:val="clear" w:pos="720"/>
                <w:tab w:val="left" w:pos="993" w:leader="none"/>
              </w:tabs>
              <w:suppressAutoHyphens w:val="false"/>
              <w:bidi w:val="0"/>
              <w:spacing w:before="0" w:after="0"/>
              <w:ind w:hanging="340" w:left="1701" w:right="227"/>
              <w:jc w:val="both"/>
              <w:rPr>
                <w:sz w:val="24"/>
                <w:szCs w:val="24"/>
              </w:rPr>
            </w:pPr>
            <w:r>
              <w:rPr>
                <w:sz w:val="24"/>
                <w:szCs w:val="24"/>
              </w:rPr>
              <w:t>Контроль состояния коммутационных аппаратов (выключателей и разъединителей) в системе частотного пуска агрегатов ЗаГАЭС-2, второго ПТУ и секционного разъединителя, связывающего обе секции пусковых шин каждого из ПТУ, изоляции и напряжения на пусковых шинах, с выдачей обобщенных сигналов готовности ПТУ или блокировки его работы,</w:t>
            </w:r>
          </w:p>
          <w:p>
            <w:pPr>
              <w:pStyle w:val="Normal"/>
              <w:widowControl/>
              <w:numPr>
                <w:ilvl w:val="0"/>
                <w:numId w:val="15"/>
              </w:numPr>
              <w:tabs>
                <w:tab w:val="clear" w:pos="720"/>
                <w:tab w:val="left" w:pos="993" w:leader="none"/>
              </w:tabs>
              <w:suppressAutoHyphens w:val="false"/>
              <w:bidi w:val="0"/>
              <w:spacing w:before="0" w:after="0"/>
              <w:ind w:hanging="340" w:left="1701" w:right="227"/>
              <w:jc w:val="both"/>
              <w:rPr>
                <w:sz w:val="24"/>
                <w:szCs w:val="24"/>
              </w:rPr>
            </w:pPr>
            <w:r>
              <w:rPr>
                <w:sz w:val="24"/>
                <w:szCs w:val="24"/>
              </w:rPr>
              <w:t>Измерение основных электрических режимных параметров (напряжения, тока, активной мощности и частоты вращения агрегата) в процессе пуска-торможения и передачу этой информации в АСУ ТП станции.</w:t>
            </w:r>
          </w:p>
          <w:p>
            <w:pPr>
              <w:pStyle w:val="Normal"/>
              <w:widowControl/>
              <w:numPr>
                <w:ilvl w:val="0"/>
                <w:numId w:val="15"/>
              </w:numPr>
              <w:tabs>
                <w:tab w:val="clear" w:pos="720"/>
                <w:tab w:val="left" w:pos="993" w:leader="none"/>
              </w:tabs>
              <w:suppressAutoHyphens w:val="false"/>
              <w:bidi w:val="0"/>
              <w:spacing w:before="0" w:after="0"/>
              <w:ind w:hanging="340" w:left="1701" w:right="227"/>
              <w:jc w:val="both"/>
              <w:rPr>
                <w:sz w:val="24"/>
                <w:szCs w:val="24"/>
              </w:rPr>
            </w:pPr>
            <w:r>
              <w:rPr>
                <w:sz w:val="24"/>
                <w:szCs w:val="24"/>
              </w:rPr>
              <w:t>Отображение состояния системы частотного пуска ЗаГАЭС-2 в виде мнемосхемы со светодиодными индикаторами состояния коммутационных аппаратов и режимов обоих ПТУ.</w:t>
            </w:r>
          </w:p>
          <w:p>
            <w:pPr>
              <w:pStyle w:val="Normal"/>
              <w:widowControl/>
              <w:numPr>
                <w:ilvl w:val="0"/>
                <w:numId w:val="15"/>
              </w:numPr>
              <w:tabs>
                <w:tab w:val="clear" w:pos="720"/>
                <w:tab w:val="left" w:pos="993" w:leader="none"/>
              </w:tabs>
              <w:suppressAutoHyphens w:val="false"/>
              <w:bidi w:val="0"/>
              <w:spacing w:before="0" w:after="0"/>
              <w:ind w:hanging="340" w:left="1701" w:right="227"/>
              <w:jc w:val="both"/>
              <w:rPr>
                <w:sz w:val="24"/>
                <w:szCs w:val="24"/>
              </w:rPr>
            </w:pPr>
            <w:r>
              <w:rPr>
                <w:sz w:val="24"/>
                <w:szCs w:val="24"/>
              </w:rPr>
              <w:t>Регистрацию событий в системе частотного пуска ЗаГАЭС-2 от данного ПТУ и передача этой информации в АСУ ТП станции.</w:t>
            </w:r>
          </w:p>
          <w:p>
            <w:pPr>
              <w:pStyle w:val="Normal"/>
              <w:widowControl/>
              <w:numPr>
                <w:ilvl w:val="0"/>
                <w:numId w:val="15"/>
              </w:numPr>
              <w:tabs>
                <w:tab w:val="clear" w:pos="720"/>
                <w:tab w:val="left" w:pos="993" w:leader="none"/>
              </w:tabs>
              <w:suppressAutoHyphens w:val="false"/>
              <w:bidi w:val="0"/>
              <w:spacing w:before="0" w:after="0"/>
              <w:ind w:hanging="340" w:left="1701" w:right="227"/>
              <w:jc w:val="both"/>
              <w:rPr>
                <w:sz w:val="24"/>
                <w:szCs w:val="24"/>
              </w:rPr>
            </w:pPr>
            <w:r>
              <w:rPr>
                <w:sz w:val="24"/>
                <w:szCs w:val="24"/>
              </w:rPr>
              <w:t>Формирование необходимых аналоговых и дискретных сигналов для отображения состояния системы частотного пуска на главном (ГЩУ) и агрегатном (АЩУ) щитах управления станции,</w:t>
            </w:r>
          </w:p>
          <w:p>
            <w:pPr>
              <w:pStyle w:val="Normal"/>
              <w:ind w:firstLine="567"/>
              <w:rPr>
                <w:sz w:val="24"/>
                <w:szCs w:val="24"/>
              </w:rPr>
            </w:pPr>
            <w:r>
              <w:rPr>
                <w:sz w:val="24"/>
                <w:szCs w:val="24"/>
              </w:rPr>
              <w:t>Коммерческий учет потребляемой и вырабатываемой электрической энергии при пуске и торможении агрегатов ЗаГАЭС-2.</w:t>
            </w:r>
          </w:p>
          <w:p>
            <w:pPr>
              <w:pStyle w:val="Body"/>
              <w:suppressAutoHyphens w:val="true"/>
              <w:spacing w:lineRule="auto" w:line="240"/>
              <w:ind w:firstLine="567" w:left="0"/>
              <w:rPr>
                <w:rFonts w:ascii="Times New Roman" w:hAnsi="Times New Roman"/>
                <w:szCs w:val="24"/>
              </w:rPr>
            </w:pPr>
            <w:r>
              <w:rPr>
                <w:rFonts w:ascii="Times New Roman" w:hAnsi="Times New Roman"/>
                <w:szCs w:val="24"/>
              </w:rPr>
            </w:r>
          </w:p>
          <w:p>
            <w:pPr>
              <w:pStyle w:val="Body"/>
              <w:suppressAutoHyphens w:val="true"/>
              <w:spacing w:lineRule="auto" w:line="240"/>
              <w:ind w:firstLine="442" w:left="0"/>
              <w:rPr>
                <w:rFonts w:ascii="Times New Roman" w:hAnsi="Times New Roman"/>
                <w:szCs w:val="24"/>
              </w:rPr>
            </w:pPr>
            <w:r>
              <w:rPr>
                <w:rFonts w:ascii="Times New Roman" w:hAnsi="Times New Roman"/>
                <w:szCs w:val="24"/>
              </w:rPr>
              <w:t>Шкафы ШП, шкафы питания ПТУ от системы оперативного постоянного тока 220В и переменного тока 380/220 В 50 Гц станции, также содержащий в своем составе источники</w:t>
            </w:r>
            <w:r>
              <w:rPr>
                <w:szCs w:val="24"/>
              </w:rPr>
              <w:t xml:space="preserve"> </w:t>
            </w:r>
            <w:r>
              <w:rPr>
                <w:rFonts w:ascii="Times New Roman" w:hAnsi="Times New Roman"/>
                <w:szCs w:val="24"/>
              </w:rPr>
              <w:t>бесперебойного питания.</w:t>
            </w:r>
          </w:p>
          <w:p>
            <w:pPr>
              <w:pStyle w:val="Normal"/>
              <w:ind w:firstLine="567"/>
              <w:jc w:val="both"/>
              <w:rPr>
                <w:sz w:val="24"/>
                <w:szCs w:val="24"/>
              </w:rPr>
            </w:pPr>
            <w:r>
              <w:rPr>
                <w:bCs/>
                <w:sz w:val="24"/>
                <w:szCs w:val="24"/>
              </w:rPr>
              <w:t>Синхронизация системного времени устройств должна осуществляться по протоколу NTP/PTPv2 от существующей системы обеспечения единого времени Загорской ГАЭС.</w:t>
            </w:r>
          </w:p>
          <w:p>
            <w:pPr>
              <w:pStyle w:val="Normal"/>
              <w:ind w:firstLine="567"/>
              <w:jc w:val="both"/>
              <w:rPr>
                <w:sz w:val="24"/>
                <w:szCs w:val="24"/>
              </w:rPr>
            </w:pPr>
            <w:r>
              <w:rPr>
                <w:bCs/>
                <w:sz w:val="24"/>
                <w:szCs w:val="24"/>
              </w:rPr>
              <w:t>Система единого времени должна обеспечивать точность синхронизации не хуже 1 мс.</w:t>
            </w:r>
          </w:p>
          <w:p>
            <w:pPr>
              <w:pStyle w:val="Normal"/>
              <w:ind w:firstLine="567"/>
              <w:jc w:val="both"/>
              <w:rPr>
                <w:sz w:val="24"/>
                <w:szCs w:val="24"/>
              </w:rPr>
            </w:pPr>
            <w:r>
              <w:rPr>
                <w:bCs/>
                <w:sz w:val="24"/>
                <w:szCs w:val="24"/>
              </w:rPr>
              <w:t>Для передачи диагностической информации должна быть обеспечена поддержка протокола SNMP V2.0 и выше.</w:t>
            </w:r>
          </w:p>
          <w:p>
            <w:pPr>
              <w:pStyle w:val="Normal"/>
              <w:keepNext w:val="true"/>
              <w:ind w:firstLine="442"/>
              <w:jc w:val="both"/>
              <w:rPr>
                <w:sz w:val="24"/>
                <w:szCs w:val="24"/>
              </w:rPr>
            </w:pPr>
            <w:r>
              <w:rPr>
                <w:sz w:val="24"/>
                <w:szCs w:val="24"/>
              </w:rPr>
              <w:t>Все МП устройства, панели оператора, сетевые компоненты, должны удовлетворять требованиям технической политики ПАО «РусГидро», в том числе политике импортозамещения, и быть включены в реестр российской промышленной продукции (Минпромторг).</w:t>
            </w:r>
          </w:p>
          <w:p>
            <w:pPr>
              <w:pStyle w:val="Normal"/>
              <w:keepNext w:val="true"/>
              <w:ind w:firstLine="442"/>
              <w:jc w:val="both"/>
              <w:rPr>
                <w:sz w:val="24"/>
                <w:szCs w:val="24"/>
              </w:rPr>
            </w:pPr>
            <w:r>
              <w:rPr>
                <w:sz w:val="24"/>
                <w:szCs w:val="24"/>
              </w:rPr>
              <w:t>Средства измерений должны иметь действующую поверку и быть внесены в Федеральный информационный фонд по обеспечению единства измерений.</w:t>
            </w:r>
          </w:p>
          <w:p>
            <w:pPr>
              <w:pStyle w:val="Normal"/>
              <w:keepNext w:val="true"/>
              <w:ind w:firstLine="442"/>
              <w:jc w:val="both"/>
              <w:rPr>
                <w:sz w:val="24"/>
                <w:szCs w:val="24"/>
              </w:rPr>
            </w:pPr>
            <w:r>
              <w:rPr>
                <w:sz w:val="24"/>
                <w:szCs w:val="24"/>
              </w:rPr>
              <w:t xml:space="preserve">Поставляемое программное обеспечение должно быть включено в Единый реестр российских программ для электронных вычислительных машин и баз данных </w:t>
            </w:r>
            <w:hyperlink r:id="rId13">
              <w:r>
                <w:rPr>
                  <w:rStyle w:val="Hyperlink"/>
                  <w:sz w:val="24"/>
                  <w:szCs w:val="24"/>
                </w:rPr>
                <w:t>https://reestr.digital.gov.ru/</w:t>
              </w:r>
            </w:hyperlink>
            <w:r>
              <w:rPr>
                <w:sz w:val="24"/>
                <w:szCs w:val="24"/>
              </w:rPr>
              <w:t>.</w:t>
            </w:r>
          </w:p>
          <w:p>
            <w:pPr>
              <w:pStyle w:val="Normal"/>
              <w:keepNext w:val="true"/>
              <w:ind w:firstLine="442"/>
              <w:jc w:val="both"/>
              <w:rPr>
                <w:sz w:val="24"/>
                <w:szCs w:val="24"/>
              </w:rPr>
            </w:pPr>
            <w:r>
              <w:rPr>
                <w:sz w:val="24"/>
                <w:szCs w:val="24"/>
              </w:rPr>
              <w:t xml:space="preserve">В части интеграции в АСУТП МП устройства должны соответствовать типовым проектным решениям ПАО «РусГидро» в части АСУ ЭТО ГЭС. </w:t>
            </w:r>
          </w:p>
          <w:p>
            <w:pPr>
              <w:pStyle w:val="Normal"/>
              <w:keepNext w:val="true"/>
              <w:jc w:val="both"/>
              <w:rPr>
                <w:sz w:val="24"/>
                <w:szCs w:val="24"/>
              </w:rPr>
            </w:pPr>
            <w:r>
              <w:rPr>
                <w:sz w:val="24"/>
                <w:szCs w:val="24"/>
              </w:rPr>
              <w:t>Протоколы и интерфейсы интеграции согласовать с разработчиком АСУТП.</w:t>
            </w:r>
          </w:p>
          <w:p>
            <w:pPr>
              <w:pStyle w:val="Normal"/>
              <w:ind w:firstLine="567"/>
              <w:rPr>
                <w:sz w:val="24"/>
                <w:szCs w:val="24"/>
              </w:rPr>
            </w:pPr>
            <w:r>
              <w:rPr>
                <w:sz w:val="24"/>
                <w:szCs w:val="24"/>
              </w:rPr>
              <w:t>Терминалы защит и управления должны обеспечивать автоматическую регистрацию аварийных осциллограмм и аварийных событий с выдачей аварийной информации на рабочую станцию ПТУ и в АСУ ТП ГАЭС с использованием стандартных локальных сетей и протоколов обмена:</w:t>
            </w:r>
          </w:p>
          <w:p>
            <w:pPr>
              <w:pStyle w:val="Normal"/>
              <w:numPr>
                <w:ilvl w:val="0"/>
                <w:numId w:val="16"/>
              </w:numPr>
              <w:jc w:val="both"/>
              <w:rPr>
                <w:sz w:val="24"/>
                <w:szCs w:val="24"/>
                <w:shd w:fill="FFFFFF" w:val="clear"/>
              </w:rPr>
            </w:pPr>
            <w:r>
              <w:rPr>
                <w:bCs/>
                <w:sz w:val="24"/>
                <w:szCs w:val="24"/>
              </w:rPr>
              <w:t>Осциллограммы автоматически конвертируются в международный формат COMTRADE.</w:t>
            </w:r>
          </w:p>
          <w:p>
            <w:pPr>
              <w:pStyle w:val="Normal"/>
              <w:numPr>
                <w:ilvl w:val="0"/>
                <w:numId w:val="16"/>
              </w:numPr>
              <w:jc w:val="both"/>
              <w:rPr>
                <w:sz w:val="24"/>
                <w:szCs w:val="24"/>
              </w:rPr>
            </w:pPr>
            <w:r>
              <w:rPr>
                <w:sz w:val="24"/>
                <w:szCs w:val="24"/>
                <w:shd w:fill="FFFFFF" w:val="clear"/>
              </w:rPr>
              <w:t xml:space="preserve">Выдача аварийных сообщений о причине и времени аварийного отключения </w:t>
            </w:r>
            <w:r>
              <w:rPr>
                <w:sz w:val="24"/>
                <w:szCs w:val="24"/>
              </w:rPr>
              <w:t>осуществляется с привязкой к астрономическому времени с погрешностью не хуже 1 мс.</w:t>
            </w:r>
          </w:p>
          <w:p>
            <w:pPr>
              <w:pStyle w:val="Normal"/>
              <w:numPr>
                <w:ilvl w:val="0"/>
                <w:numId w:val="16"/>
              </w:numPr>
              <w:spacing w:before="0" w:after="120"/>
              <w:jc w:val="both"/>
              <w:rPr>
                <w:sz w:val="24"/>
                <w:szCs w:val="24"/>
              </w:rPr>
            </w:pPr>
            <w:r>
              <w:rPr>
                <w:sz w:val="24"/>
                <w:szCs w:val="24"/>
                <w:shd w:fill="FFFFFF" w:val="clear"/>
              </w:rPr>
              <w:t xml:space="preserve">Для интеграции с АСУ ТП необходимо обеспечить использование интерфейса Industrial Ethernet с поддержкой протокола стандарта IEC 61850. </w:t>
            </w:r>
          </w:p>
          <w:p>
            <w:pPr>
              <w:pStyle w:val="Normal"/>
              <w:numPr>
                <w:ilvl w:val="0"/>
                <w:numId w:val="16"/>
              </w:numPr>
              <w:spacing w:before="0" w:after="120"/>
              <w:jc w:val="both"/>
              <w:rPr>
                <w:sz w:val="24"/>
                <w:szCs w:val="24"/>
              </w:rPr>
            </w:pPr>
            <w:r>
              <w:rPr>
                <w:sz w:val="24"/>
                <w:szCs w:val="24"/>
                <w:shd w:fill="FFFFFF" w:val="clear"/>
              </w:rPr>
              <w:t>В микропроцессорных защитах должна предусматриваться возможность выполнения дополнительных функций на базе использования имеющейся в них информации (функции осциллографа, регистрации событий, изменения групп уставок и др.). Также должна предусматриваться возможность вывода из МП-устройств РЗА необходимого объема информации для анализа правильности действия РЗА и для создания координированных систем контроля и управления или использования в АСУ ТП ГАЭС.</w:t>
            </w:r>
          </w:p>
          <w:p>
            <w:pPr>
              <w:pStyle w:val="Normal"/>
              <w:numPr>
                <w:ilvl w:val="0"/>
                <w:numId w:val="16"/>
              </w:numPr>
              <w:spacing w:before="0" w:after="120"/>
              <w:jc w:val="both"/>
              <w:rPr>
                <w:sz w:val="24"/>
                <w:szCs w:val="24"/>
              </w:rPr>
            </w:pPr>
            <w:r>
              <w:rPr>
                <w:sz w:val="24"/>
                <w:szCs w:val="24"/>
                <w:shd w:fill="FFFFFF" w:val="clear"/>
              </w:rPr>
              <w:t>МП-устройства РЗА должны содержать оперативные элементы местного контроля, управления и сигнализации со встроенным интерфейсом общения "человек-защита". МП-устройства РЗА должны обеспечивать такое же общение для дистанционного контроля и управления.</w:t>
            </w:r>
          </w:p>
          <w:p>
            <w:pPr>
              <w:pStyle w:val="Normal"/>
              <w:numPr>
                <w:ilvl w:val="0"/>
                <w:numId w:val="16"/>
              </w:numPr>
              <w:spacing w:before="0" w:after="120"/>
              <w:jc w:val="both"/>
              <w:rPr>
                <w:sz w:val="24"/>
                <w:szCs w:val="24"/>
              </w:rPr>
            </w:pPr>
            <w:r>
              <w:rPr>
                <w:sz w:val="24"/>
                <w:szCs w:val="24"/>
                <w:shd w:fill="FFFFFF" w:val="clear"/>
              </w:rPr>
              <w:t>МП-устройства РЗА должны выполняться с программируемой логикой взаимодействия как между различными функциями защиты, управления и контроля, входящими в состав МП-устройства РЗА (внутренними функциями), так и между этими функциями и внешними устройствами других защит, управления и контроля электростанции.</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2.1.5.</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bCs/>
                <w:sz w:val="24"/>
                <w:szCs w:val="24"/>
              </w:rPr>
            </w:pPr>
            <w:r>
              <w:rPr>
                <w:bCs/>
                <w:sz w:val="24"/>
                <w:szCs w:val="24"/>
              </w:rPr>
              <w:t>Токоограничивающие реакторы</w:t>
            </w:r>
          </w:p>
        </w:tc>
        <w:tc>
          <w:tcPr>
            <w:tcW w:w="10921" w:type="dxa"/>
            <w:gridSpan w:val="3"/>
            <w:tcBorders>
              <w:left w:val="single" w:sz="4" w:space="0" w:color="000000"/>
              <w:bottom w:val="single" w:sz="4" w:space="0" w:color="000000"/>
              <w:right w:val="single" w:sz="4" w:space="0" w:color="000000"/>
            </w:tcBorders>
            <w:vAlign w:val="center"/>
          </w:tcPr>
          <w:p>
            <w:pPr>
              <w:pStyle w:val="Normal"/>
              <w:ind w:firstLine="567"/>
              <w:jc w:val="both"/>
              <w:rPr>
                <w:sz w:val="24"/>
                <w:szCs w:val="24"/>
              </w:rPr>
            </w:pPr>
            <w:r>
              <w:rPr>
                <w:sz w:val="24"/>
                <w:szCs w:val="24"/>
              </w:rPr>
              <w:t>В схеме ПТУ предусмотрена установка токоограничивающих реакторов на входе (перед выключателем со стороны сетевой обмотки N1 согласующего трансформатора) и на выходе преобразователя частоты после выключателя.</w:t>
            </w:r>
          </w:p>
          <w:p>
            <w:pPr>
              <w:pStyle w:val="Normal"/>
              <w:ind w:firstLine="567"/>
              <w:jc w:val="both"/>
              <w:rPr>
                <w:sz w:val="24"/>
                <w:szCs w:val="24"/>
              </w:rPr>
            </w:pPr>
            <w:r>
              <w:rPr>
                <w:sz w:val="24"/>
                <w:szCs w:val="24"/>
              </w:rPr>
              <w:t>Входной реактор предназначен для ограничения тока короткого замыкания во входных цепях преобразователя частоты, например, при возникновении аварийной ситуации в управляемом выпрямителе, связанной с потерей управляемости тиристоров, а также для защиты выключателя.</w:t>
            </w:r>
          </w:p>
          <w:p>
            <w:pPr>
              <w:pStyle w:val="Normal"/>
              <w:ind w:firstLine="567"/>
              <w:jc w:val="both"/>
              <w:rPr>
                <w:sz w:val="24"/>
                <w:szCs w:val="24"/>
              </w:rPr>
            </w:pPr>
            <w:r>
              <w:rPr>
                <w:sz w:val="24"/>
                <w:szCs w:val="24"/>
              </w:rPr>
              <w:t>Выходной реактор устанавливается для ограничения амплитуды аварийного тока через тиристоры инвертора при «несквозном» срыве инверторного режима аналогичному двухфазному короткому замыканию.</w:t>
            </w:r>
          </w:p>
          <w:p>
            <w:pPr>
              <w:pStyle w:val="Normal"/>
              <w:ind w:firstLine="567"/>
              <w:jc w:val="both"/>
              <w:rPr>
                <w:sz w:val="24"/>
                <w:szCs w:val="24"/>
              </w:rPr>
            </w:pPr>
            <w:r>
              <w:rPr>
                <w:sz w:val="24"/>
                <w:szCs w:val="24"/>
              </w:rPr>
              <w:t>Амплитуда тока короткого замыкания на входе ограничена суммарным индуктивным сопротивлением согласующего трансформатора и входного реактора, обеспечивающим защиту выключателя. При этом сопротивление входного реактора выбирается из условий ограничения тока двухфазного короткого замыкания на уровне ударного тока тиристоров выпрямителя. Минимальное допустимое значение индуктивного сопротивления выходного реактора также определяется величиной ударного тока тиристоров инвертора.</w:t>
            </w:r>
          </w:p>
          <w:p>
            <w:pPr>
              <w:pStyle w:val="Style32"/>
              <w:ind w:firstLine="567"/>
              <w:rPr>
                <w:szCs w:val="24"/>
              </w:rPr>
            </w:pPr>
            <w:r>
              <w:rPr>
                <w:szCs w:val="24"/>
              </w:rPr>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2.1.6.</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Режимы, реализуемые САУ ПТУ</w:t>
            </w:r>
          </w:p>
        </w:tc>
        <w:tc>
          <w:tcPr>
            <w:tcW w:w="10921" w:type="dxa"/>
            <w:gridSpan w:val="3"/>
            <w:tcBorders>
              <w:left w:val="single" w:sz="4" w:space="0" w:color="000000"/>
              <w:bottom w:val="single" w:sz="4" w:space="0" w:color="000000"/>
              <w:right w:val="single" w:sz="4" w:space="0" w:color="000000"/>
            </w:tcBorders>
            <w:vAlign w:val="center"/>
          </w:tcPr>
          <w:p>
            <w:pPr>
              <w:pStyle w:val="Normal"/>
              <w:widowControl/>
              <w:suppressAutoHyphens w:val="false"/>
              <w:rPr>
                <w:color w:val="000000"/>
                <w:sz w:val="24"/>
                <w:szCs w:val="24"/>
                <w:u w:val="single"/>
              </w:rPr>
            </w:pPr>
            <w:r>
              <w:rPr>
                <w:bCs/>
                <w:iCs/>
                <w:color w:val="000000"/>
                <w:sz w:val="24"/>
                <w:szCs w:val="24"/>
                <w:u w:val="single"/>
              </w:rPr>
              <w:t>1.Пуск из неподвижного состояния</w:t>
            </w:r>
          </w:p>
          <w:p>
            <w:pPr>
              <w:pStyle w:val="Normal"/>
              <w:widowControl/>
              <w:suppressAutoHyphens w:val="false"/>
              <w:rPr>
                <w:sz w:val="24"/>
                <w:szCs w:val="24"/>
              </w:rPr>
            </w:pPr>
            <w:r>
              <w:rPr>
                <w:sz w:val="24"/>
                <w:szCs w:val="24"/>
              </w:rPr>
              <w:t>Пуск любого из агрегатов ГА 7-10 возможен как с помощью ПТУ-3, так и с помощью ПТУ-4. При пуске ГА-7 или ГА-8 от ПТУ-4, либо при пуске ГА-9 или ГА-10 от ПТУ3 разъединитель пусковых шин (РС2-ПШ) должен быть включен.</w:t>
            </w:r>
          </w:p>
          <w:p>
            <w:pPr>
              <w:pStyle w:val="Normal"/>
              <w:widowControl/>
              <w:suppressAutoHyphens w:val="false"/>
              <w:rPr>
                <w:color w:val="000000"/>
                <w:sz w:val="24"/>
                <w:szCs w:val="24"/>
              </w:rPr>
            </w:pPr>
            <w:r>
              <w:rPr>
                <w:color w:val="000000"/>
                <w:sz w:val="24"/>
                <w:szCs w:val="24"/>
              </w:rPr>
              <w:t>При пуске автоматика агрегата выполняет следующие операции:</w:t>
            </w:r>
          </w:p>
          <w:p>
            <w:pPr>
              <w:pStyle w:val="Normal"/>
              <w:widowControl/>
              <w:suppressAutoHyphens w:val="false"/>
              <w:rPr>
                <w:color w:val="000000"/>
                <w:sz w:val="24"/>
                <w:szCs w:val="24"/>
              </w:rPr>
            </w:pPr>
            <w:r>
              <w:rPr>
                <w:color w:val="000000"/>
                <w:sz w:val="24"/>
                <w:szCs w:val="24"/>
              </w:rPr>
              <w:t>- отжимает воду из камеры рабочего колеса;</w:t>
            </w:r>
          </w:p>
          <w:p>
            <w:pPr>
              <w:pStyle w:val="Normal"/>
              <w:widowControl/>
              <w:suppressAutoHyphens w:val="false"/>
              <w:rPr>
                <w:color w:val="000000"/>
                <w:sz w:val="24"/>
                <w:szCs w:val="24"/>
              </w:rPr>
            </w:pPr>
            <w:r>
              <w:rPr>
                <w:color w:val="000000"/>
                <w:sz w:val="24"/>
                <w:szCs w:val="24"/>
              </w:rPr>
              <w:t>- дает команду в систему возбуждения на включение устройства гашения поля;</w:t>
            </w:r>
          </w:p>
          <w:p>
            <w:pPr>
              <w:pStyle w:val="Normal"/>
              <w:widowControl/>
              <w:suppressAutoHyphens w:val="false"/>
              <w:rPr>
                <w:color w:val="000000"/>
                <w:sz w:val="24"/>
                <w:szCs w:val="24"/>
              </w:rPr>
            </w:pPr>
            <w:r>
              <w:rPr>
                <w:color w:val="000000"/>
                <w:sz w:val="24"/>
                <w:szCs w:val="24"/>
              </w:rPr>
              <w:t>- включает систему охлаждения агрегата.</w:t>
            </w:r>
          </w:p>
          <w:p>
            <w:pPr>
              <w:pStyle w:val="Normal"/>
              <w:widowControl/>
              <w:suppressAutoHyphens w:val="false"/>
              <w:rPr>
                <w:color w:val="000000"/>
                <w:sz w:val="24"/>
                <w:szCs w:val="24"/>
              </w:rPr>
            </w:pPr>
            <w:r>
              <w:rPr>
                <w:color w:val="000000"/>
                <w:sz w:val="24"/>
                <w:szCs w:val="24"/>
              </w:rPr>
              <w:t>После выполнения команд следует команда в систему возбуждения на возбуждение генератора/двигателя до Iрот=Iрот.хх.</w:t>
            </w:r>
          </w:p>
          <w:p>
            <w:pPr>
              <w:pStyle w:val="Normal"/>
              <w:widowControl/>
              <w:suppressAutoHyphens w:val="false"/>
              <w:rPr>
                <w:color w:val="000000"/>
                <w:sz w:val="24"/>
                <w:szCs w:val="24"/>
              </w:rPr>
            </w:pPr>
            <w:r>
              <w:rPr>
                <w:color w:val="000000"/>
                <w:sz w:val="24"/>
                <w:szCs w:val="24"/>
              </w:rPr>
              <w:t>Далее в соответствующее ПТУ подаются следующие команды:</w:t>
            </w:r>
          </w:p>
          <w:p>
            <w:pPr>
              <w:pStyle w:val="Normal"/>
              <w:widowControl/>
              <w:suppressAutoHyphens w:val="false"/>
              <w:rPr>
                <w:color w:val="000000"/>
                <w:sz w:val="24"/>
                <w:szCs w:val="24"/>
              </w:rPr>
            </w:pPr>
            <w:r>
              <w:rPr>
                <w:color w:val="000000"/>
                <w:sz w:val="24"/>
                <w:szCs w:val="24"/>
              </w:rPr>
              <w:t>- О подаче тока возбуждения холостого хода;</w:t>
            </w:r>
          </w:p>
          <w:p>
            <w:pPr>
              <w:pStyle w:val="Normal"/>
              <w:widowControl/>
              <w:suppressAutoHyphens w:val="false"/>
              <w:rPr>
                <w:color w:val="000000"/>
                <w:sz w:val="24"/>
                <w:szCs w:val="24"/>
              </w:rPr>
            </w:pPr>
            <w:r>
              <w:rPr>
                <w:color w:val="000000"/>
                <w:sz w:val="24"/>
                <w:szCs w:val="24"/>
              </w:rPr>
              <w:t>- О направлении вращения (насосное или генераторное);</w:t>
            </w:r>
          </w:p>
          <w:p>
            <w:pPr>
              <w:pStyle w:val="Normal"/>
              <w:widowControl/>
              <w:suppressAutoHyphens w:val="false"/>
              <w:rPr>
                <w:color w:val="000000"/>
                <w:sz w:val="24"/>
                <w:szCs w:val="24"/>
              </w:rPr>
            </w:pPr>
            <w:r>
              <w:rPr>
                <w:color w:val="000000"/>
                <w:sz w:val="24"/>
                <w:szCs w:val="24"/>
              </w:rPr>
              <w:t>- Пуск - импульсный сигнал.</w:t>
            </w:r>
          </w:p>
          <w:p>
            <w:pPr>
              <w:pStyle w:val="Normal"/>
              <w:widowControl/>
              <w:suppressAutoHyphens w:val="false"/>
              <w:rPr>
                <w:color w:val="000000"/>
                <w:sz w:val="24"/>
                <w:szCs w:val="24"/>
              </w:rPr>
            </w:pPr>
            <w:r>
              <w:rPr>
                <w:color w:val="000000"/>
                <w:sz w:val="24"/>
                <w:szCs w:val="24"/>
              </w:rPr>
              <w:t>Проверяется готовность ПТУ к работе и подается команда на включение выключателя подключения пускаемого агрегата к пусковым шинам.</w:t>
            </w:r>
          </w:p>
          <w:p>
            <w:pPr>
              <w:pStyle w:val="Default"/>
              <w:rPr/>
            </w:pPr>
            <w:r>
              <w:rPr/>
              <w:t>Производится разгон от ПТУ до подсинхронной скорости с выдачей при достижении заданной скорости сигнала «Частота заданная». В процессе разгона обеспечиваются ограничения рывка, момента, токов, выполняется синхронизация выключателя генератора/двигателя, после чего формируется команда на останов ПТУ.</w:t>
            </w:r>
          </w:p>
          <w:p>
            <w:pPr>
              <w:pStyle w:val="Normal"/>
              <w:widowControl/>
              <w:suppressAutoHyphens w:val="false"/>
              <w:rPr>
                <w:color w:val="000000"/>
                <w:sz w:val="24"/>
                <w:szCs w:val="24"/>
              </w:rPr>
            </w:pPr>
            <w:r>
              <w:rPr>
                <w:color w:val="000000"/>
                <w:sz w:val="24"/>
                <w:szCs w:val="24"/>
              </w:rPr>
              <w:t>После получение команды на останов САУ ПТУ переводит выпрямитель в инверторный режим до погасания тока, после чего снимает импульсы управления тиристорами.</w:t>
            </w:r>
          </w:p>
          <w:p>
            <w:pPr>
              <w:pStyle w:val="Normal"/>
              <w:widowControl/>
              <w:suppressAutoHyphens w:val="false"/>
              <w:rPr>
                <w:color w:val="000000"/>
                <w:sz w:val="24"/>
                <w:szCs w:val="24"/>
              </w:rPr>
            </w:pPr>
            <w:r>
              <w:rPr>
                <w:color w:val="000000"/>
                <w:sz w:val="24"/>
                <w:szCs w:val="24"/>
              </w:rPr>
              <w:t xml:space="preserve">• </w:t>
            </w:r>
            <w:r>
              <w:rPr>
                <w:color w:val="000000"/>
                <w:sz w:val="24"/>
                <w:szCs w:val="24"/>
              </w:rPr>
              <w:t>Отключает выключатель между пусковыми шинами и синхронной машиной.</w:t>
            </w:r>
          </w:p>
          <w:p>
            <w:pPr>
              <w:pStyle w:val="Normal"/>
              <w:widowControl/>
              <w:suppressAutoHyphens w:val="false"/>
              <w:rPr>
                <w:color w:val="000000"/>
                <w:sz w:val="24"/>
                <w:szCs w:val="24"/>
              </w:rPr>
            </w:pPr>
            <w:r>
              <w:rPr>
                <w:color w:val="000000"/>
                <w:sz w:val="24"/>
                <w:szCs w:val="24"/>
              </w:rPr>
              <w:t xml:space="preserve">• </w:t>
            </w:r>
            <w:r>
              <w:rPr>
                <w:color w:val="000000"/>
                <w:sz w:val="24"/>
                <w:szCs w:val="24"/>
              </w:rPr>
              <w:t>После этого ПТУ переходит в режим «Ожидание».</w:t>
            </w:r>
          </w:p>
          <w:p>
            <w:pPr>
              <w:pStyle w:val="Normal"/>
              <w:widowControl/>
              <w:suppressAutoHyphens w:val="false"/>
              <w:rPr>
                <w:color w:val="000000"/>
                <w:sz w:val="24"/>
                <w:szCs w:val="24"/>
                <w:u w:val="single"/>
              </w:rPr>
            </w:pPr>
            <w:r>
              <w:rPr>
                <w:bCs/>
                <w:iCs/>
                <w:color w:val="000000"/>
                <w:sz w:val="24"/>
                <w:szCs w:val="24"/>
                <w:u w:val="single"/>
              </w:rPr>
              <w:t>2. Подхват выбегающего агрегата (из насосного или генераторного режима) и его торможение (Режим торможения)</w:t>
            </w:r>
          </w:p>
          <w:p>
            <w:pPr>
              <w:pStyle w:val="Normal"/>
              <w:widowControl/>
              <w:suppressAutoHyphens w:val="false"/>
              <w:rPr>
                <w:color w:val="000000"/>
                <w:sz w:val="24"/>
                <w:szCs w:val="24"/>
              </w:rPr>
            </w:pPr>
            <w:r>
              <w:rPr>
                <w:color w:val="000000"/>
                <w:sz w:val="24"/>
                <w:szCs w:val="24"/>
              </w:rPr>
              <w:t>Эта команда формируется на агрегатном щите управления (АЩУ) после отключения агрегата от сети. До подачи этой команды ПТУ автоматика агрегата должна выполнить следующие действия:</w:t>
            </w:r>
          </w:p>
          <w:p>
            <w:pPr>
              <w:pStyle w:val="Normal"/>
              <w:widowControl/>
              <w:suppressAutoHyphens w:val="false"/>
              <w:rPr>
                <w:color w:val="000000"/>
                <w:sz w:val="24"/>
                <w:szCs w:val="24"/>
              </w:rPr>
            </w:pPr>
            <w:r>
              <w:rPr>
                <w:color w:val="000000"/>
                <w:sz w:val="24"/>
                <w:szCs w:val="24"/>
              </w:rPr>
              <w:t>•</w:t>
            </w:r>
            <w:r>
              <w:rPr>
                <w:color w:val="000000"/>
                <w:sz w:val="24"/>
                <w:szCs w:val="24"/>
              </w:rPr>
              <w:t>Подключить отключенный агрегат к пусковым шинам с помощью выключателя.</w:t>
            </w:r>
          </w:p>
          <w:p>
            <w:pPr>
              <w:pStyle w:val="Normal"/>
              <w:widowControl/>
              <w:suppressAutoHyphens w:val="false"/>
              <w:rPr>
                <w:color w:val="000000"/>
                <w:sz w:val="24"/>
                <w:szCs w:val="24"/>
              </w:rPr>
            </w:pPr>
            <w:r>
              <w:rPr>
                <w:color w:val="000000"/>
                <w:sz w:val="24"/>
                <w:szCs w:val="24"/>
              </w:rPr>
              <w:t xml:space="preserve">• </w:t>
            </w:r>
            <w:r>
              <w:rPr>
                <w:color w:val="000000"/>
                <w:sz w:val="24"/>
                <w:szCs w:val="24"/>
              </w:rPr>
              <w:t>Включить входной выключатель (ВВ-П3(П4)).</w:t>
            </w:r>
          </w:p>
          <w:p>
            <w:pPr>
              <w:pStyle w:val="Normal"/>
              <w:widowControl/>
              <w:suppressAutoHyphens w:val="false"/>
              <w:rPr>
                <w:color w:val="000000"/>
                <w:sz w:val="24"/>
                <w:szCs w:val="24"/>
              </w:rPr>
            </w:pPr>
            <w:r>
              <w:rPr>
                <w:color w:val="000000"/>
                <w:sz w:val="24"/>
                <w:szCs w:val="24"/>
              </w:rPr>
              <w:t xml:space="preserve">• </w:t>
            </w:r>
            <w:r>
              <w:rPr>
                <w:color w:val="000000"/>
                <w:sz w:val="24"/>
                <w:szCs w:val="24"/>
              </w:rPr>
              <w:t>Задать ток возбуждения холостого хода.</w:t>
            </w:r>
          </w:p>
          <w:p>
            <w:pPr>
              <w:pStyle w:val="Normal"/>
              <w:widowControl/>
              <w:suppressAutoHyphens w:val="false"/>
              <w:rPr>
                <w:color w:val="000000"/>
                <w:sz w:val="24"/>
                <w:szCs w:val="24"/>
              </w:rPr>
            </w:pPr>
            <w:r>
              <w:rPr>
                <w:color w:val="000000"/>
                <w:sz w:val="24"/>
                <w:szCs w:val="24"/>
              </w:rPr>
              <w:t xml:space="preserve">• </w:t>
            </w:r>
            <w:r>
              <w:rPr>
                <w:color w:val="000000"/>
                <w:sz w:val="24"/>
                <w:szCs w:val="24"/>
              </w:rPr>
              <w:t>При наличии разрешения от САУ на включение выходного выключателя (В1-П3(П4)) включить его, при этом статор обратимого агрегата оказывается подключенным к пусковым шинам переменной частоты.</w:t>
            </w:r>
          </w:p>
          <w:p>
            <w:pPr>
              <w:pStyle w:val="Normal"/>
              <w:widowControl/>
              <w:suppressAutoHyphens w:val="false"/>
              <w:rPr>
                <w:color w:val="000000"/>
                <w:sz w:val="24"/>
                <w:szCs w:val="24"/>
              </w:rPr>
            </w:pPr>
            <w:r>
              <w:rPr>
                <w:color w:val="000000"/>
                <w:sz w:val="24"/>
                <w:szCs w:val="24"/>
              </w:rPr>
              <w:t xml:space="preserve">• </w:t>
            </w:r>
            <w:r>
              <w:rPr>
                <w:color w:val="000000"/>
                <w:sz w:val="24"/>
                <w:szCs w:val="24"/>
              </w:rPr>
              <w:t>Задать САУ ПТУ направление вращения ротора агрегата (насосное или генераторное).</w:t>
            </w:r>
          </w:p>
          <w:p>
            <w:pPr>
              <w:pStyle w:val="Normal"/>
              <w:widowControl/>
              <w:suppressAutoHyphens w:val="false"/>
              <w:rPr>
                <w:color w:val="000000"/>
                <w:sz w:val="24"/>
                <w:szCs w:val="24"/>
              </w:rPr>
            </w:pPr>
            <w:r>
              <w:rPr>
                <w:color w:val="000000"/>
                <w:sz w:val="24"/>
                <w:szCs w:val="24"/>
              </w:rPr>
              <w:t xml:space="preserve">• </w:t>
            </w:r>
            <w:r>
              <w:rPr>
                <w:color w:val="000000"/>
                <w:sz w:val="24"/>
                <w:szCs w:val="24"/>
              </w:rPr>
              <w:t>Подать команду Торможение (импульсный сигнал).</w:t>
            </w:r>
          </w:p>
          <w:p>
            <w:pPr>
              <w:pStyle w:val="Normal"/>
              <w:widowControl/>
              <w:suppressAutoHyphens w:val="false"/>
              <w:rPr>
                <w:color w:val="000000"/>
                <w:sz w:val="24"/>
                <w:szCs w:val="24"/>
              </w:rPr>
            </w:pPr>
            <w:r>
              <w:rPr>
                <w:color w:val="000000"/>
                <w:sz w:val="24"/>
                <w:szCs w:val="24"/>
              </w:rPr>
            </w:r>
          </w:p>
          <w:p>
            <w:pPr>
              <w:pStyle w:val="Normal"/>
              <w:widowControl/>
              <w:suppressAutoHyphens w:val="false"/>
              <w:ind w:firstLine="301"/>
              <w:rPr>
                <w:color w:val="000000"/>
                <w:sz w:val="24"/>
                <w:szCs w:val="24"/>
              </w:rPr>
            </w:pPr>
            <w:r>
              <w:rPr>
                <w:color w:val="000000"/>
                <w:sz w:val="24"/>
                <w:szCs w:val="24"/>
              </w:rPr>
              <w:t>Получив указанную команду, САУ выполняет следующие действия:</w:t>
            </w:r>
          </w:p>
          <w:p>
            <w:pPr>
              <w:pStyle w:val="Normal"/>
              <w:widowControl/>
              <w:suppressAutoHyphens w:val="false"/>
              <w:rPr>
                <w:color w:val="000000"/>
                <w:sz w:val="24"/>
                <w:szCs w:val="24"/>
              </w:rPr>
            </w:pPr>
            <w:r>
              <w:rPr>
                <w:color w:val="000000"/>
                <w:sz w:val="24"/>
                <w:szCs w:val="24"/>
              </w:rPr>
              <w:t xml:space="preserve">• </w:t>
            </w:r>
            <w:r>
              <w:rPr>
                <w:color w:val="000000"/>
                <w:sz w:val="24"/>
                <w:szCs w:val="24"/>
              </w:rPr>
              <w:t>Проверяет сигналы обратной связи о включении входного и выходного выключателей, готовность возбудителя, разрешения от технологических блокировок, после чего САУ осуществляет процесс торможения обратимого агрегата с насосным или генераторным вращением.</w:t>
            </w:r>
          </w:p>
          <w:p>
            <w:pPr>
              <w:pStyle w:val="Default"/>
              <w:rPr/>
            </w:pPr>
            <w:r>
              <w:rPr/>
              <w:t xml:space="preserve">• </w:t>
            </w:r>
            <w:r>
              <w:rPr/>
              <w:t>По сигналам обратных связей САУ производит поиск частоты вращения ротора и положение вектора напряжения статора синхронной машины, включает преобразователь частоты с требуемыми значениями частоты, фазы и амплитуды напряжения на выходе инвертора и осуществляет подхват выбегающего агрегата,</w:t>
            </w:r>
          </w:p>
          <w:p>
            <w:pPr>
              <w:pStyle w:val="Normal"/>
              <w:widowControl/>
              <w:suppressAutoHyphens w:val="false"/>
              <w:spacing w:before="0" w:after="183"/>
              <w:rPr>
                <w:color w:val="000000"/>
                <w:sz w:val="24"/>
                <w:szCs w:val="24"/>
              </w:rPr>
            </w:pPr>
            <w:r>
              <w:rPr>
                <w:color w:val="000000"/>
                <w:sz w:val="24"/>
                <w:szCs w:val="24"/>
              </w:rPr>
              <w:t xml:space="preserve">• </w:t>
            </w:r>
            <w:r>
              <w:rPr>
                <w:color w:val="000000"/>
                <w:sz w:val="24"/>
                <w:szCs w:val="24"/>
              </w:rPr>
              <w:t>Плавно останавливает за счет рекуперативного торможения ротор обратимого агрегата, при этом скорость снижения частоты вращения определяется максимально допустимым моментом торможения, который может обеспечить преобразователь частоты;</w:t>
            </w:r>
          </w:p>
          <w:p>
            <w:pPr>
              <w:pStyle w:val="Normal"/>
              <w:widowControl/>
              <w:suppressAutoHyphens w:val="false"/>
              <w:spacing w:before="0" w:after="183"/>
              <w:ind w:firstLine="301"/>
              <w:rPr>
                <w:color w:val="000000"/>
                <w:sz w:val="24"/>
                <w:szCs w:val="24"/>
              </w:rPr>
            </w:pPr>
            <w:r>
              <w:rPr>
                <w:color w:val="000000"/>
                <w:sz w:val="24"/>
                <w:szCs w:val="24"/>
              </w:rPr>
              <w:t>После полной остановки ротора САУ гасит ток в преобразователе, снимает импульсы управления, и выдает сигнал “Торможение завершено”, по которому автоматика агрегата отключает выключатель подключения агрегата к пусковым шинам, гасит поле возбуждения синхронной машины,</w:t>
            </w:r>
          </w:p>
          <w:p>
            <w:pPr>
              <w:pStyle w:val="Normal"/>
              <w:widowControl/>
              <w:suppressAutoHyphens w:val="false"/>
              <w:spacing w:before="0" w:after="183"/>
              <w:rPr>
                <w:color w:val="000000"/>
                <w:sz w:val="24"/>
                <w:szCs w:val="24"/>
              </w:rPr>
            </w:pPr>
            <w:r>
              <w:rPr>
                <w:color w:val="000000"/>
                <w:sz w:val="24"/>
                <w:szCs w:val="24"/>
              </w:rPr>
              <w:t xml:space="preserve">• </w:t>
            </w:r>
            <w:r>
              <w:rPr>
                <w:color w:val="000000"/>
                <w:sz w:val="24"/>
                <w:szCs w:val="24"/>
              </w:rPr>
              <w:t>После этого ПТУ переходит в режим «Ожидание».</w:t>
            </w:r>
          </w:p>
          <w:p>
            <w:pPr>
              <w:pStyle w:val="Normal"/>
              <w:widowControl/>
              <w:suppressAutoHyphens w:val="false"/>
              <w:rPr>
                <w:color w:val="000000"/>
                <w:sz w:val="24"/>
                <w:szCs w:val="24"/>
                <w:u w:val="single"/>
              </w:rPr>
            </w:pPr>
            <w:r>
              <w:rPr>
                <w:bCs/>
                <w:iCs/>
                <w:color w:val="000000"/>
                <w:sz w:val="24"/>
                <w:szCs w:val="24"/>
                <w:u w:val="single"/>
              </w:rPr>
              <w:t>3. Режим «Ожидание»</w:t>
            </w:r>
          </w:p>
          <w:p>
            <w:pPr>
              <w:pStyle w:val="Normal"/>
              <w:widowControl/>
              <w:suppressAutoHyphens w:val="false"/>
              <w:rPr>
                <w:color w:val="000000"/>
                <w:sz w:val="24"/>
                <w:szCs w:val="24"/>
              </w:rPr>
            </w:pPr>
            <w:r>
              <w:rPr>
                <w:color w:val="000000"/>
                <w:sz w:val="24"/>
                <w:szCs w:val="24"/>
              </w:rPr>
              <w:t>Режим “Ожидание“ наступает после завершения пуска или торможения. При этом входные и выходные выключатели ПТУ остаются включенными. Импульсы управления в преобразователе частоты отсутствуют, а сами вентили заперты. Режим ожидания сохраняется до следующего пуска или торможения. При этом питание системы управления остается все время включенным.</w:t>
            </w:r>
          </w:p>
          <w:p>
            <w:pPr>
              <w:pStyle w:val="Normal"/>
              <w:widowControl/>
              <w:suppressAutoHyphens w:val="false"/>
              <w:rPr>
                <w:color w:val="000000"/>
                <w:sz w:val="24"/>
                <w:szCs w:val="24"/>
                <w:u w:val="single"/>
              </w:rPr>
            </w:pPr>
            <w:r>
              <w:rPr>
                <w:bCs/>
                <w:color w:val="000000"/>
                <w:sz w:val="24"/>
                <w:szCs w:val="24"/>
                <w:u w:val="single"/>
              </w:rPr>
              <w:t>Отключение ПТУ.</w:t>
            </w:r>
          </w:p>
          <w:p>
            <w:pPr>
              <w:pStyle w:val="Normal"/>
              <w:widowControl/>
              <w:suppressAutoHyphens w:val="false"/>
              <w:ind w:firstLine="442"/>
              <w:rPr>
                <w:color w:val="000000"/>
                <w:sz w:val="24"/>
                <w:szCs w:val="24"/>
              </w:rPr>
            </w:pPr>
            <w:r>
              <w:rPr>
                <w:color w:val="000000"/>
                <w:sz w:val="24"/>
                <w:szCs w:val="24"/>
              </w:rPr>
              <w:t>При нормальном отключении ПТУ после пуска или останова агрегата автоматика агрегата выдает команду «Останов» ПТУ. По этой команде выпрямитель переводится в инверторный режим до погасания тока, после чего импульсы управления тиристорами снимаются.</w:t>
            </w:r>
          </w:p>
          <w:p>
            <w:pPr>
              <w:pStyle w:val="Normal"/>
              <w:widowControl/>
              <w:suppressAutoHyphens w:val="false"/>
              <w:ind w:firstLine="442"/>
              <w:rPr>
                <w:color w:val="000000"/>
                <w:sz w:val="24"/>
                <w:szCs w:val="24"/>
              </w:rPr>
            </w:pPr>
            <w:r>
              <w:rPr>
                <w:color w:val="000000"/>
                <w:sz w:val="24"/>
                <w:szCs w:val="24"/>
              </w:rPr>
              <w:t>Решение об отключении выключателей ПТУ принимает оперативный персонал.</w:t>
            </w:r>
          </w:p>
          <w:p>
            <w:pPr>
              <w:pStyle w:val="Normal"/>
              <w:widowControl/>
              <w:suppressAutoHyphens w:val="false"/>
              <w:ind w:firstLine="442"/>
              <w:rPr>
                <w:color w:val="000000"/>
                <w:sz w:val="24"/>
                <w:szCs w:val="24"/>
              </w:rPr>
            </w:pPr>
            <w:r>
              <w:rPr>
                <w:color w:val="000000"/>
                <w:sz w:val="24"/>
                <w:szCs w:val="24"/>
              </w:rPr>
              <w:t>При аварийном отключении преобразователя выключатели ПТУ отключаются только после выполнения команды «Останов» и полного погасания тока в цепи выпрямителя и инвертора.</w:t>
            </w:r>
          </w:p>
          <w:p>
            <w:pPr>
              <w:pStyle w:val="Normal"/>
              <w:widowControl/>
              <w:suppressAutoHyphens w:val="false"/>
              <w:ind w:firstLine="442"/>
              <w:rPr>
                <w:color w:val="000000"/>
                <w:sz w:val="24"/>
                <w:szCs w:val="24"/>
              </w:rPr>
            </w:pPr>
            <w:r>
              <w:rPr>
                <w:color w:val="000000"/>
                <w:sz w:val="24"/>
                <w:szCs w:val="24"/>
              </w:rPr>
              <w:t>Все устройства защиты, требующие отключения пускового устройства, подключены к входам внешних неисправностей САУ. Аналогичным образом заводятся в САУ и цепи кнопок «Аварийного останова» на местном пульте управления ШУ, ГЩУ и на АЩУ каждого агрегата.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2.1.7.</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bCs/>
                <w:sz w:val="24"/>
                <w:szCs w:val="24"/>
              </w:rPr>
            </w:pPr>
            <w:r>
              <w:rPr>
                <w:rStyle w:val="Style5"/>
                <w:b w:val="false"/>
                <w:i w:val="false"/>
                <w:color w:val="000000"/>
                <w:sz w:val="24"/>
                <w:szCs w:val="24"/>
                <w:shd w:fill="auto" w:val="clear"/>
              </w:rPr>
              <w:t>Основные технические требования к шкафам управления и сигнализации</w:t>
            </w:r>
          </w:p>
        </w:tc>
        <w:tc>
          <w:tcPr>
            <w:tcW w:w="10921" w:type="dxa"/>
            <w:gridSpan w:val="3"/>
            <w:tcBorders>
              <w:left w:val="single" w:sz="4" w:space="0" w:color="000000"/>
              <w:bottom w:val="single" w:sz="4" w:space="0" w:color="000000"/>
              <w:right w:val="single" w:sz="4" w:space="0" w:color="000000"/>
            </w:tcBorders>
            <w:vAlign w:val="center"/>
          </w:tcPr>
          <w:p>
            <w:pPr>
              <w:pStyle w:val="Normal"/>
              <w:ind w:firstLine="567"/>
              <w:jc w:val="both"/>
              <w:rPr>
                <w:sz w:val="24"/>
                <w:szCs w:val="24"/>
              </w:rPr>
            </w:pPr>
            <w:r>
              <w:rPr>
                <w:sz w:val="24"/>
                <w:szCs w:val="24"/>
              </w:rPr>
              <w:t>Исполнитель обеспечивает автоматическое переключение питания (между питающими вводами) внутри шкафов, обеспечивающее бесперебойное электропитание оборудования.</w:t>
            </w:r>
          </w:p>
          <w:p>
            <w:pPr>
              <w:pStyle w:val="Normal"/>
              <w:ind w:firstLine="567"/>
              <w:jc w:val="both"/>
              <w:rPr>
                <w:sz w:val="24"/>
                <w:szCs w:val="24"/>
              </w:rPr>
            </w:pPr>
            <w:r>
              <w:rPr>
                <w:sz w:val="24"/>
                <w:szCs w:val="24"/>
              </w:rPr>
              <w:t>Каждый шкаф должен иметь табличку с наименованием и обозначением по принятой на Загорской ГАЭС-2 системе обозначений (Согласовывается с Заказчиком). К каждому аппарату внутри шкафа должна быть выполнена надпись с обозначением аппарата по схеме.</w:t>
            </w:r>
          </w:p>
          <w:p>
            <w:pPr>
              <w:pStyle w:val="Normal"/>
              <w:ind w:firstLine="567"/>
              <w:jc w:val="both"/>
              <w:rPr>
                <w:sz w:val="24"/>
                <w:szCs w:val="24"/>
              </w:rPr>
            </w:pPr>
            <w:r>
              <w:rPr>
                <w:sz w:val="24"/>
                <w:szCs w:val="24"/>
              </w:rPr>
              <w:t>Шкафы должны быть изготовлены по типу RITTAL. Окраска шкафов светло-серого цвета типа RAL7035 (порошковая эмаль). Другой цвет окраски предварительно согласовывается с Заказчиком. Шкафы напольного исполнения, должны иметь габариты не более 800х600х2200. Габариты других шкафов согласовываются с Заказчиком.</w:t>
            </w:r>
          </w:p>
          <w:p>
            <w:pPr>
              <w:pStyle w:val="Normal"/>
              <w:ind w:firstLine="567"/>
              <w:jc w:val="both"/>
              <w:rPr>
                <w:sz w:val="24"/>
                <w:szCs w:val="24"/>
              </w:rPr>
            </w:pPr>
            <w:r>
              <w:rPr>
                <w:sz w:val="24"/>
                <w:szCs w:val="24"/>
              </w:rPr>
              <w:t>Шкафы должны иметь климатическое исполнение У3 по ГОСТ 15150-69, стойкость к механическим внешним воздействующим факторам – не ниже М38 по ГОСТ 17516.1-90, степень защиты не ниже IP54 с, предпочтительно, естественной вентиляцией.</w:t>
            </w:r>
          </w:p>
          <w:p>
            <w:pPr>
              <w:pStyle w:val="Normal"/>
              <w:ind w:firstLine="567"/>
              <w:jc w:val="both"/>
              <w:rPr>
                <w:sz w:val="24"/>
                <w:szCs w:val="24"/>
              </w:rPr>
            </w:pPr>
            <w:r>
              <w:rPr>
                <w:sz w:val="24"/>
                <w:szCs w:val="24"/>
              </w:rPr>
              <w:t>Все двери, съемные крышки должны иметь уплотнения, а кабельные вводы оснащены сальниками соответствующего размера в достаточном количестве и необходимым запасом. Подвод кабелей (снизу/сверху) будет уточнен на стадии рабочего проектирования.</w:t>
            </w:r>
          </w:p>
          <w:p>
            <w:pPr>
              <w:pStyle w:val="Normal"/>
              <w:ind w:firstLine="567"/>
              <w:jc w:val="both"/>
              <w:rPr>
                <w:sz w:val="24"/>
                <w:szCs w:val="24"/>
              </w:rPr>
            </w:pPr>
            <w:r>
              <w:rPr>
                <w:sz w:val="24"/>
                <w:szCs w:val="24"/>
              </w:rPr>
              <w:t>Каждый шкаф должен быть оборудован закрытым для доступа резистивным нагревателем с термостатом, предназначенным для обогрева и защиты внутреннего оборудования от осаждения влаги. Нагреватель должен быть рассчитан на номинальное напряжение питания 220В переменного тока, подаваемое через двухполюсный автоматический выключатель.</w:t>
            </w:r>
          </w:p>
          <w:p>
            <w:pPr>
              <w:pStyle w:val="Normal"/>
              <w:ind w:firstLine="567"/>
              <w:jc w:val="both"/>
              <w:rPr>
                <w:sz w:val="24"/>
                <w:szCs w:val="24"/>
              </w:rPr>
            </w:pPr>
            <w:r>
              <w:rPr>
                <w:sz w:val="24"/>
                <w:szCs w:val="24"/>
              </w:rPr>
              <w:t>В каждом шкафу должны быть установлены лампа освещения, управляемая конечным выключателем двери, спаренная электрическая розетка с заземляющим контактом с номинальным напряжением 220В переменного тока и рабочим током 10А для питания дополнительного оборудования и инструмента при монтаже, наладке и проверках.</w:t>
            </w:r>
          </w:p>
          <w:p>
            <w:pPr>
              <w:pStyle w:val="Normal"/>
              <w:ind w:firstLine="567"/>
              <w:jc w:val="both"/>
              <w:rPr>
                <w:sz w:val="24"/>
                <w:szCs w:val="24"/>
              </w:rPr>
            </w:pPr>
            <w:r>
              <w:rPr>
                <w:sz w:val="24"/>
                <w:szCs w:val="24"/>
              </w:rPr>
              <w:t>Вся внешняя и внутренняя проводка должна быть выполнена медными кабелями с сечениями жил не менее 1,5 мм.кв. с ПВХнг-LS изоляцией с применением экранов там, где это необходимо.</w:t>
            </w:r>
          </w:p>
          <w:p>
            <w:pPr>
              <w:pStyle w:val="Normal"/>
              <w:ind w:firstLine="567"/>
              <w:jc w:val="both"/>
              <w:rPr>
                <w:sz w:val="24"/>
                <w:szCs w:val="24"/>
              </w:rPr>
            </w:pPr>
            <w:r>
              <w:rPr>
                <w:sz w:val="24"/>
                <w:szCs w:val="24"/>
              </w:rPr>
              <w:t>Вся аппаратура, установленная в шкафах, должна быть рассчитана на термическое и динамическое действие токов короткого замыкания в данной точке сети электроснабжения. Уровень токов короткого замыкания сообщается Генеральным проектировщиком после получения значений мощностей электродвигателей, уставленных на разъединителе.</w:t>
            </w:r>
          </w:p>
          <w:p>
            <w:pPr>
              <w:pStyle w:val="Normal"/>
              <w:ind w:firstLine="567"/>
              <w:jc w:val="both"/>
              <w:rPr>
                <w:sz w:val="24"/>
                <w:szCs w:val="24"/>
              </w:rPr>
            </w:pPr>
            <w:r>
              <w:rPr>
                <w:sz w:val="24"/>
                <w:szCs w:val="24"/>
              </w:rPr>
              <w:t>В шкафах должны быть предусмотрены клеммы для подключения контрольных кабелей и кабелей освещения с сечением жил 2,5 мм.кв.</w:t>
            </w:r>
          </w:p>
          <w:p>
            <w:pPr>
              <w:pStyle w:val="Normal"/>
              <w:ind w:firstLine="567"/>
              <w:jc w:val="both"/>
              <w:rPr>
                <w:sz w:val="24"/>
                <w:szCs w:val="24"/>
              </w:rPr>
            </w:pPr>
            <w:r>
              <w:rPr>
                <w:sz w:val="24"/>
                <w:szCs w:val="24"/>
              </w:rPr>
              <w:t>Соединение оборудования и укладка проводов внутри шкафа должны быть выполнены таким образом, чтобы возможность их повреждения была минимальной.</w:t>
            </w:r>
          </w:p>
          <w:p>
            <w:pPr>
              <w:pStyle w:val="Normal"/>
              <w:ind w:firstLine="567"/>
              <w:jc w:val="both"/>
              <w:rPr>
                <w:sz w:val="24"/>
                <w:szCs w:val="24"/>
              </w:rPr>
            </w:pPr>
            <w:r>
              <w:rPr>
                <w:sz w:val="24"/>
                <w:szCs w:val="24"/>
              </w:rPr>
              <w:t>Аппаратура, требующая заземления, металлические конструкции шкафа, экраны кабелей должны быть соединены с медной шиной заземления, установленной внутри шкафа.</w:t>
            </w:r>
          </w:p>
          <w:p>
            <w:pPr>
              <w:pStyle w:val="Normal"/>
              <w:ind w:firstLine="567"/>
              <w:jc w:val="both"/>
              <w:rPr>
                <w:sz w:val="24"/>
                <w:szCs w:val="24"/>
              </w:rPr>
            </w:pPr>
            <w:r>
              <w:rPr>
                <w:sz w:val="24"/>
                <w:szCs w:val="24"/>
              </w:rPr>
              <w:t>Конструктивное исполнение шкафа должно обеспечить доступ обслуживающего персонала к внутренним элементам как с внешней (лицевой) стороны, так и с внутренней стороны. Для возможности обслуживания внутренних элементов должен быть обеспечен необходимый уровень освещенности. Во внутренней части шкафа должны быть установлены дополнительные розетки питания. Измерительные, сигнальные приборы и индикаторы должны быть расположены на видных местах и легко доступны в соответствии с ГОСТ 12-200.049.</w:t>
            </w:r>
          </w:p>
          <w:p>
            <w:pPr>
              <w:pStyle w:val="Normal"/>
              <w:ind w:firstLine="567"/>
              <w:jc w:val="both"/>
              <w:rPr>
                <w:sz w:val="24"/>
                <w:szCs w:val="24"/>
              </w:rPr>
            </w:pPr>
            <w:r>
              <w:rPr>
                <w:sz w:val="24"/>
                <w:szCs w:val="24"/>
              </w:rPr>
              <w:t>Все двери шкафного оборудования должны иметь замки с одинаковыми, согласованными с Заказчиком (образец ключа и личинки выдает Заказчик), личинками и открываться при помощи единого «мастер - ключа». Так же Исполнитель должен включить в поставку две запасные личинки. Замки дверей шкафного оборудования должны иметь надежный механизм, защищающий от несанкционированного доступа. Количество «мастер – ключей» должно соответствовать количеству шкафов.</w:t>
            </w:r>
          </w:p>
          <w:p>
            <w:pPr>
              <w:pStyle w:val="Normal"/>
              <w:ind w:firstLine="567"/>
              <w:jc w:val="both"/>
              <w:rPr>
                <w:sz w:val="24"/>
                <w:szCs w:val="24"/>
              </w:rPr>
            </w:pPr>
            <w:r>
              <w:rPr>
                <w:sz w:val="24"/>
                <w:szCs w:val="24"/>
              </w:rPr>
              <w:t>В шкафах УСО необходимо предусмотреть места для наложения переносных заземлений, розетки с защитными автоматами для питания испытательной аппаратуры (ноутбук, РЕТОМ, осциллограф), встроенные лампы местного освещения. Все клеммные зажимы как винтовые, так невинтовые (WAGO), а также специализированные токовые клеммы и испытательные блоки в токовых цепях должны иметь повышенную надежность, не требовать периодических протяжек, быть устойчивыми к вибрации.</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2.1.8</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Требования к электромагнитной совместимости</w:t>
            </w:r>
          </w:p>
        </w:tc>
        <w:tc>
          <w:tcPr>
            <w:tcW w:w="10921" w:type="dxa"/>
            <w:gridSpan w:val="3"/>
            <w:tcBorders>
              <w:left w:val="single" w:sz="4" w:space="0" w:color="000000"/>
              <w:bottom w:val="single" w:sz="4" w:space="0" w:color="000000"/>
              <w:right w:val="single" w:sz="4" w:space="0" w:color="000000"/>
            </w:tcBorders>
            <w:vAlign w:val="center"/>
          </w:tcPr>
          <w:p>
            <w:pPr>
              <w:pStyle w:val="Normal"/>
              <w:rPr>
                <w:sz w:val="24"/>
                <w:szCs w:val="24"/>
              </w:rPr>
            </w:pPr>
            <w:r>
              <w:rPr>
                <w:sz w:val="24"/>
                <w:szCs w:val="24"/>
              </w:rPr>
              <w:t>Микропроцессорная аппаратура, расположенная в непосредственной близости, должна выдерживать воздействие магнитных полей, возникающих в результате протекания рабочих токов по линиям (шинам, токопроводам) 15,75 кВ.</w:t>
            </w:r>
          </w:p>
          <w:p>
            <w:pPr>
              <w:pStyle w:val="Normal"/>
              <w:rPr>
                <w:sz w:val="24"/>
                <w:szCs w:val="24"/>
              </w:rPr>
            </w:pPr>
            <w:r>
              <w:rPr>
                <w:sz w:val="24"/>
                <w:szCs w:val="24"/>
              </w:rPr>
              <w:t>Для обеспечения электромагнитной совместимости, вновь устанавливаемых шкафов, необходимо чтобы их характеристики были не хуже:</w:t>
            </w:r>
          </w:p>
          <w:p>
            <w:pPr>
              <w:pStyle w:val="Normal"/>
              <w:rPr>
                <w:sz w:val="24"/>
                <w:szCs w:val="24"/>
              </w:rPr>
            </w:pPr>
            <w:r>
              <w:rPr>
                <w:sz w:val="24"/>
                <w:szCs w:val="24"/>
              </w:rPr>
              <w:t>•</w:t>
            </w:r>
            <w:r>
              <w:rPr>
                <w:sz w:val="24"/>
                <w:szCs w:val="24"/>
              </w:rPr>
              <w:tab/>
              <w:t>сопротивление изоляции всех электрически независимых цепей шкафа (кроме портов последовательной передачи данных терминала) относительно корпуса и между собой, измеренное в холодном состоянии при температуре окружающего воздуха (20±5) °С и относительной влажности до 80 % не менее 100 Мом;</w:t>
            </w:r>
          </w:p>
          <w:p>
            <w:pPr>
              <w:pStyle w:val="Normal"/>
              <w:rPr>
                <w:sz w:val="24"/>
                <w:szCs w:val="24"/>
              </w:rPr>
            </w:pPr>
            <w:r>
              <w:rPr/>
              <w:t>•</w:t>
            </w:r>
            <w:r>
              <w:rPr/>
              <w:tab/>
            </w:r>
            <w:r>
              <w:rPr>
                <w:sz w:val="24"/>
                <w:szCs w:val="24"/>
              </w:rPr>
              <w:t>электрическая изоляция между всеми независимыми цепями шкафа (кроме портов последовательной передачи данных терминала) относительно корпуса и всех независимых цепей между собой выдерживает без пробоя и перекрытия испытательное напряжение 2000 В (эффективное значение) переменного тока частоты 50 Гц в течение 1 мин. Электрическая изоляция цепей тока, включенных в разные фазы, между собой и на землю выдерживает без пробоя и перекрытия испытательное напряжение 2000 В переменного тока частоты 50 Гц в течение 1 мин. При повторных испытаниях шкафа испытательное напряжение не превышает 85 % от вышеуказанных значений;</w:t>
            </w:r>
          </w:p>
          <w:p>
            <w:pPr>
              <w:pStyle w:val="Normal"/>
              <w:rPr>
                <w:color w:val="000000" w:themeColor="text1"/>
                <w:sz w:val="24"/>
                <w:szCs w:val="24"/>
              </w:rPr>
            </w:pPr>
            <w:r>
              <w:rPr>
                <w:color w:val="000000" w:themeColor="text1"/>
                <w:sz w:val="24"/>
                <w:szCs w:val="24"/>
              </w:rPr>
              <w:t>•</w:t>
            </w:r>
            <w:r>
              <w:rPr>
                <w:color w:val="000000" w:themeColor="text1"/>
                <w:sz w:val="24"/>
                <w:szCs w:val="24"/>
              </w:rPr>
              <w:tab/>
              <w:t>питание осуществляется от цепей оперативного постоянного тока. Микроэлектронная часть устройства шкафа гальванически отделена от источника оперативного постоянного тока;</w:t>
            </w:r>
          </w:p>
          <w:p>
            <w:pPr>
              <w:pStyle w:val="Normal"/>
              <w:rPr>
                <w:b/>
                <w:bCs/>
                <w:color w:val="000000" w:themeColor="text1"/>
              </w:rPr>
            </w:pPr>
            <w:r>
              <w:rPr>
                <w:color w:val="000000" w:themeColor="text1"/>
                <w:sz w:val="24"/>
                <w:szCs w:val="24"/>
              </w:rPr>
              <w:t>•</w:t>
            </w:r>
            <w:r>
              <w:rPr>
                <w:color w:val="000000" w:themeColor="text1"/>
                <w:sz w:val="24"/>
                <w:szCs w:val="24"/>
              </w:rPr>
              <w:tab/>
              <w:t>шкаф правильно функционирует при изменении напряжения оперативного постоянного тока в диапазоне 0,8 ÷ 1,1 Uпит. Допускается наличие синусоидальной составляющей с амплитудой до 6% от среднего значения, имеющей частоту второй гармоники промышленной частоты. При этом относительная дополнительная погрешность параметров срабатывания пусковых органов терминала не должна превышать ± 3% относительно значений параметров срабатывания, измеренных при напряжении оперативного постоянного тока, равном Uпит, и отсутствии периодической составляющей;</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2.1.9</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Требования к электробезопасности</w:t>
            </w:r>
          </w:p>
        </w:tc>
        <w:tc>
          <w:tcPr>
            <w:tcW w:w="10921" w:type="dxa"/>
            <w:gridSpan w:val="3"/>
            <w:tcBorders>
              <w:left w:val="single" w:sz="4" w:space="0" w:color="000000"/>
              <w:bottom w:val="single" w:sz="4" w:space="0" w:color="000000"/>
              <w:right w:val="single" w:sz="4" w:space="0" w:color="000000"/>
            </w:tcBorders>
            <w:vAlign w:val="center"/>
          </w:tcPr>
          <w:p>
            <w:pPr>
              <w:pStyle w:val="Normal"/>
              <w:tabs>
                <w:tab w:val="clear" w:pos="720"/>
                <w:tab w:val="left" w:pos="0" w:leader="none"/>
              </w:tabs>
              <w:jc w:val="both"/>
              <w:rPr>
                <w:sz w:val="24"/>
                <w:szCs w:val="24"/>
              </w:rPr>
            </w:pPr>
            <w:r>
              <w:rPr>
                <w:sz w:val="24"/>
                <w:szCs w:val="24"/>
              </w:rPr>
              <w:t>Соответствие с ГОСТ Р 51321.1-2007, СТБ МЭК 60439-1-2007. В шкафах обеспечивается непрерывность цепи защитного заземления. При этом электрическое сопротивление, измеренное между болтом для заземления шкафа и любой заземляемой металлической частью, не превышает 0,1 Ом.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2.1.10.</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Требования к технической документации</w:t>
            </w:r>
          </w:p>
        </w:tc>
        <w:tc>
          <w:tcPr>
            <w:tcW w:w="10921" w:type="dxa"/>
            <w:gridSpan w:val="3"/>
            <w:tcBorders>
              <w:left w:val="single" w:sz="4" w:space="0" w:color="000000"/>
              <w:bottom w:val="single" w:sz="4" w:space="0" w:color="000000"/>
              <w:right w:val="single" w:sz="4" w:space="0" w:color="000000"/>
            </w:tcBorders>
            <w:vAlign w:val="center"/>
          </w:tcPr>
          <w:p>
            <w:pPr>
              <w:pStyle w:val="Normal"/>
              <w:tabs>
                <w:tab w:val="clear" w:pos="720"/>
                <w:tab w:val="left" w:pos="0" w:leader="none"/>
              </w:tabs>
              <w:ind w:firstLine="567"/>
              <w:jc w:val="both"/>
              <w:rPr>
                <w:sz w:val="24"/>
                <w:szCs w:val="24"/>
              </w:rPr>
            </w:pPr>
            <w:r>
              <w:rPr>
                <w:sz w:val="24"/>
                <w:szCs w:val="24"/>
              </w:rPr>
              <w:t>Исполнитель применяет и использует в технической документации Международную систему единиц физических величин (система СИ).</w:t>
            </w:r>
          </w:p>
          <w:p>
            <w:pPr>
              <w:pStyle w:val="Normal"/>
              <w:ind w:firstLine="567"/>
              <w:jc w:val="both"/>
              <w:rPr>
                <w:sz w:val="24"/>
                <w:szCs w:val="24"/>
              </w:rPr>
            </w:pPr>
            <w:r>
              <w:rPr>
                <w:sz w:val="24"/>
                <w:szCs w:val="24"/>
              </w:rPr>
              <w:t>Вся техническая документация, включая чертежи, схемы, а также применяемое программное обеспечение выполняется на русском языке.</w:t>
            </w:r>
          </w:p>
          <w:p>
            <w:pPr>
              <w:pStyle w:val="Normal"/>
              <w:ind w:firstLine="577"/>
              <w:jc w:val="both"/>
              <w:rPr>
                <w:sz w:val="24"/>
                <w:szCs w:val="24"/>
              </w:rPr>
            </w:pPr>
            <w:r>
              <w:rPr>
                <w:sz w:val="24"/>
                <w:szCs w:val="24"/>
              </w:rPr>
              <w:t>Исполнитель должен предоставить для каждого ПТУ полный комплект технической и эксплуатационной документации на русском языке, подготовленный в соответствии с ГОСТ 34.003-90, ГОСТ 34.201-89, ГОСТ 27300-87, в составе, необходимом для проектирования, монтажа, наладки, пуска, сдачи в эксплуатацию, обеспечения правильной и безопасной эксплуатации, технического обслуживания поставляемого оборудования, в том числе:</w:t>
            </w:r>
          </w:p>
          <w:p>
            <w:pPr>
              <w:pStyle w:val="Normal"/>
              <w:ind w:firstLine="567"/>
              <w:jc w:val="both"/>
              <w:rPr>
                <w:sz w:val="24"/>
                <w:szCs w:val="24"/>
              </w:rPr>
            </w:pPr>
            <w:r>
              <w:rPr>
                <w:sz w:val="24"/>
                <w:szCs w:val="24"/>
              </w:rPr>
              <w:t>Паспорт на каждое устройство (оригинал и 4 копии) на бумаге и 1 экземпляр в электронном виде в формате *.pdf.</w:t>
            </w:r>
          </w:p>
          <w:p>
            <w:pPr>
              <w:pStyle w:val="Normal"/>
              <w:ind w:firstLine="567"/>
              <w:jc w:val="both"/>
              <w:rPr>
                <w:sz w:val="24"/>
                <w:szCs w:val="24"/>
              </w:rPr>
            </w:pPr>
            <w:r>
              <w:rPr>
                <w:sz w:val="24"/>
                <w:szCs w:val="24"/>
              </w:rPr>
              <w:t xml:space="preserve">Исполнительные схемы и схемы вторичных соединений (откорректированные при монтаже и наладке принципиальные схемы и схемы соединений (монтажные схемы) в 5-ти экземплярах на бумаге и 2 экземпляра в электронном виде в формате графических редакторов АСМОграф (MS Visio) и </w:t>
            </w:r>
            <w:r>
              <w:rPr>
                <w:sz w:val="24"/>
                <w:szCs w:val="24"/>
                <w:lang w:val="en-US"/>
              </w:rPr>
              <w:t>NanoCad</w:t>
            </w:r>
            <w:r>
              <w:rPr>
                <w:sz w:val="24"/>
                <w:szCs w:val="24"/>
              </w:rPr>
              <w:t xml:space="preserve"> (AutoCAD).</w:t>
            </w:r>
          </w:p>
          <w:p>
            <w:pPr>
              <w:pStyle w:val="Normal"/>
              <w:ind w:firstLine="567"/>
              <w:jc w:val="both"/>
              <w:rPr>
                <w:sz w:val="24"/>
                <w:szCs w:val="24"/>
              </w:rPr>
            </w:pPr>
            <w:r>
              <w:rPr>
                <w:sz w:val="24"/>
                <w:szCs w:val="24"/>
              </w:rPr>
              <w:t>Русифицированное техническое описание и руководство по эксплуатации, методические указания по выбору параметров и проведению технического обслуживания на однотипные устройства в 5 экземплярах на бумаге и 1 экземпляре в электронном виде в формате *.pdf.</w:t>
            </w:r>
          </w:p>
          <w:p>
            <w:pPr>
              <w:pStyle w:val="Normal"/>
              <w:ind w:firstLine="567"/>
              <w:jc w:val="both"/>
              <w:rPr>
                <w:sz w:val="24"/>
                <w:szCs w:val="24"/>
              </w:rPr>
            </w:pPr>
            <w:r>
              <w:rPr>
                <w:sz w:val="24"/>
                <w:szCs w:val="24"/>
              </w:rPr>
              <w:t>Протоколы наладки устройств в 5 экземплярах на бумаге и 1 экземпляре в электронном виде (отдельно на каждое устройство) в формате *.pdf.</w:t>
            </w:r>
          </w:p>
          <w:p>
            <w:pPr>
              <w:pStyle w:val="Normal"/>
              <w:ind w:firstLine="567"/>
              <w:jc w:val="both"/>
              <w:rPr>
                <w:sz w:val="24"/>
                <w:szCs w:val="24"/>
              </w:rPr>
            </w:pPr>
            <w:r>
              <w:rPr>
                <w:sz w:val="24"/>
                <w:szCs w:val="24"/>
              </w:rPr>
              <w:t>Предоставляемая Исполнителем техническая и эксплуатационная документация должна включать:</w:t>
            </w:r>
          </w:p>
          <w:p>
            <w:pPr>
              <w:pStyle w:val="Normal"/>
              <w:ind w:firstLine="567"/>
              <w:jc w:val="both"/>
              <w:rPr>
                <w:sz w:val="24"/>
                <w:szCs w:val="24"/>
              </w:rPr>
            </w:pPr>
            <w:r>
              <w:rPr>
                <w:sz w:val="24"/>
                <w:szCs w:val="24"/>
              </w:rPr>
              <w:t>- общее описание;</w:t>
            </w:r>
          </w:p>
          <w:p>
            <w:pPr>
              <w:pStyle w:val="Normal"/>
              <w:ind w:firstLine="567"/>
              <w:jc w:val="both"/>
              <w:rPr>
                <w:sz w:val="24"/>
                <w:szCs w:val="24"/>
              </w:rPr>
            </w:pPr>
            <w:r>
              <w:rPr>
                <w:sz w:val="24"/>
                <w:szCs w:val="24"/>
              </w:rPr>
              <w:t>- ведомость технических и эксплуатационных документов.</w:t>
            </w:r>
          </w:p>
          <w:p>
            <w:pPr>
              <w:pStyle w:val="Normal"/>
              <w:ind w:firstLine="567"/>
              <w:jc w:val="both"/>
              <w:rPr>
                <w:sz w:val="24"/>
                <w:szCs w:val="24"/>
              </w:rPr>
            </w:pPr>
            <w:r>
              <w:rPr>
                <w:sz w:val="24"/>
                <w:szCs w:val="24"/>
              </w:rPr>
              <w:t>- спецификацию оборудования;</w:t>
            </w:r>
          </w:p>
          <w:p>
            <w:pPr>
              <w:pStyle w:val="Normal"/>
              <w:ind w:firstLine="567"/>
              <w:jc w:val="both"/>
              <w:rPr>
                <w:sz w:val="24"/>
                <w:szCs w:val="24"/>
              </w:rPr>
            </w:pPr>
            <w:r>
              <w:rPr>
                <w:sz w:val="24"/>
                <w:szCs w:val="24"/>
              </w:rPr>
              <w:t>- описание комплекса технических средств, в том числе техническую документацию на отдельные компоненты аппаратуры (например, контроллеры, УСО, аппаратуру передачи данных, и т.д.), содержащую правила монтажа, настройки и эксплуатации;</w:t>
            </w:r>
          </w:p>
          <w:p>
            <w:pPr>
              <w:pStyle w:val="Normal"/>
              <w:ind w:firstLine="567"/>
              <w:jc w:val="both"/>
              <w:rPr>
                <w:sz w:val="24"/>
                <w:szCs w:val="24"/>
              </w:rPr>
            </w:pPr>
            <w:r>
              <w:rPr>
                <w:sz w:val="24"/>
                <w:szCs w:val="24"/>
              </w:rPr>
              <w:t>- руководство по монтажу и наладке оборудования;</w:t>
            </w:r>
          </w:p>
          <w:p>
            <w:pPr>
              <w:pStyle w:val="Normal"/>
              <w:ind w:firstLine="567"/>
              <w:jc w:val="both"/>
              <w:rPr>
                <w:sz w:val="24"/>
                <w:szCs w:val="24"/>
              </w:rPr>
            </w:pPr>
            <w:r>
              <w:rPr>
                <w:sz w:val="24"/>
                <w:szCs w:val="24"/>
              </w:rPr>
              <w:t>- инструкции по эксплуатации.</w:t>
            </w:r>
          </w:p>
          <w:p>
            <w:pPr>
              <w:pStyle w:val="Normal"/>
              <w:ind w:firstLine="567"/>
              <w:jc w:val="both"/>
              <w:rPr>
                <w:sz w:val="24"/>
                <w:szCs w:val="24"/>
              </w:rPr>
            </w:pPr>
            <w:r>
              <w:rPr>
                <w:sz w:val="24"/>
                <w:szCs w:val="24"/>
              </w:rPr>
              <w:t>- сертификаты, лицензии, паспорта.</w:t>
            </w:r>
          </w:p>
          <w:p>
            <w:pPr>
              <w:pStyle w:val="Normal"/>
              <w:ind w:firstLine="567"/>
              <w:jc w:val="both"/>
              <w:rPr>
                <w:sz w:val="24"/>
                <w:szCs w:val="24"/>
              </w:rPr>
            </w:pPr>
            <w:r>
              <w:rPr>
                <w:sz w:val="24"/>
                <w:szCs w:val="24"/>
              </w:rPr>
              <w:t>Паспорта должны содержать сведения об изготовителе оборудования, дате выпуска, ресурсе, комплекте поставки, включая прилагаемый инструмент и ЗИП.</w:t>
            </w:r>
          </w:p>
          <w:p>
            <w:pPr>
              <w:pStyle w:val="Normal"/>
              <w:ind w:firstLine="567"/>
              <w:jc w:val="both"/>
              <w:rPr>
                <w:sz w:val="24"/>
                <w:szCs w:val="24"/>
              </w:rPr>
            </w:pPr>
            <w:r>
              <w:rPr>
                <w:sz w:val="24"/>
                <w:szCs w:val="24"/>
              </w:rPr>
              <w:t>Вся документация должна соответствовать российским стандартам. По возможности, должны быть использованы стандартизированные символы и термины, рекомендованные МСЭ и МЭК.</w:t>
            </w:r>
          </w:p>
          <w:p>
            <w:pPr>
              <w:pStyle w:val="Normal"/>
              <w:ind w:firstLine="567"/>
              <w:jc w:val="both"/>
              <w:rPr>
                <w:sz w:val="24"/>
                <w:szCs w:val="24"/>
              </w:rPr>
            </w:pPr>
            <w:r>
              <w:rPr>
                <w:sz w:val="24"/>
                <w:szCs w:val="24"/>
              </w:rPr>
              <w:t>Исполнитель должен представить Заказчику в течение 30 дней, после подписания договора, следующую документацию и исходные данные, необходимые для дальнейшего проектирования объекта:</w:t>
            </w:r>
          </w:p>
          <w:p>
            <w:pPr>
              <w:pStyle w:val="Normal"/>
              <w:ind w:firstLine="567"/>
              <w:jc w:val="both"/>
              <w:rPr>
                <w:sz w:val="24"/>
                <w:szCs w:val="24"/>
              </w:rPr>
            </w:pPr>
            <w:r>
              <w:rPr>
                <w:sz w:val="24"/>
                <w:szCs w:val="24"/>
              </w:rPr>
              <w:t>-</w:t>
              <w:tab/>
              <w:t>Техническое описание (руководство по эксплуатации и монтажу)</w:t>
            </w:r>
          </w:p>
          <w:p>
            <w:pPr>
              <w:pStyle w:val="Normal"/>
              <w:ind w:firstLine="567"/>
              <w:jc w:val="both"/>
              <w:rPr>
                <w:sz w:val="24"/>
                <w:szCs w:val="24"/>
              </w:rPr>
            </w:pPr>
            <w:r>
              <w:rPr>
                <w:sz w:val="24"/>
                <w:szCs w:val="24"/>
              </w:rPr>
              <w:t>- Чертежи главных видов (фасадов) шкафов управления, габаритно установочные чертежи поставляемого оборудования, принципиальные схемы достаточные для разработки чертежей внешних связей со станционным оборудованием, а также кабельных связей этих шкафов (клеммников) с оборудованием и интерфейса с системами дистанционного управления и контроля, поставляемых Исполнителем.</w:t>
            </w:r>
          </w:p>
          <w:p>
            <w:pPr>
              <w:pStyle w:val="Normal"/>
              <w:ind w:firstLine="567"/>
              <w:jc w:val="both"/>
              <w:rPr>
                <w:sz w:val="24"/>
                <w:szCs w:val="24"/>
              </w:rPr>
            </w:pPr>
            <w:r>
              <w:rPr>
                <w:sz w:val="24"/>
                <w:szCs w:val="24"/>
              </w:rPr>
              <w:t>- Эскиз табличек с паспортными данными.</w:t>
            </w:r>
          </w:p>
          <w:p>
            <w:pPr>
              <w:pStyle w:val="Normal"/>
              <w:ind w:firstLine="567"/>
              <w:jc w:val="both"/>
              <w:rPr>
                <w:sz w:val="24"/>
                <w:szCs w:val="24"/>
              </w:rPr>
            </w:pPr>
            <w:r>
              <w:rPr>
                <w:sz w:val="24"/>
                <w:szCs w:val="24"/>
              </w:rPr>
              <w:t>- Технические проспекты и  каталоги поставляемого оборудования.</w:t>
            </w:r>
          </w:p>
          <w:p>
            <w:pPr>
              <w:pStyle w:val="Normal"/>
              <w:ind w:firstLine="567"/>
              <w:jc w:val="both"/>
              <w:rPr>
                <w:sz w:val="24"/>
                <w:szCs w:val="24"/>
              </w:rPr>
            </w:pPr>
            <w:r>
              <w:rPr>
                <w:sz w:val="24"/>
                <w:szCs w:val="24"/>
              </w:rPr>
              <w:t>- Технические характеристики поставляемых испытательных установок.</w:t>
            </w:r>
          </w:p>
          <w:p>
            <w:pPr>
              <w:pStyle w:val="Normal"/>
              <w:ind w:firstLine="567"/>
              <w:jc w:val="both"/>
              <w:rPr>
                <w:sz w:val="24"/>
                <w:szCs w:val="24"/>
              </w:rPr>
            </w:pPr>
            <w:r>
              <w:rPr>
                <w:sz w:val="24"/>
                <w:szCs w:val="24"/>
              </w:rPr>
              <w:t>Исполнитель должен представить Заказчику за 1 месяц до начала поставки следующую документацию:</w:t>
            </w:r>
          </w:p>
          <w:p>
            <w:pPr>
              <w:pStyle w:val="Normal"/>
              <w:ind w:firstLine="567"/>
              <w:jc w:val="both"/>
              <w:rPr>
                <w:sz w:val="24"/>
                <w:szCs w:val="24"/>
              </w:rPr>
            </w:pPr>
            <w:r>
              <w:rPr>
                <w:sz w:val="24"/>
                <w:szCs w:val="24"/>
              </w:rPr>
              <w:t>- Рабочие чертежи по системе управления, согласованные с Заказчиком.</w:t>
            </w:r>
          </w:p>
          <w:p>
            <w:pPr>
              <w:pStyle w:val="Normal"/>
              <w:ind w:firstLine="567"/>
              <w:jc w:val="both"/>
              <w:rPr>
                <w:sz w:val="24"/>
                <w:szCs w:val="24"/>
              </w:rPr>
            </w:pPr>
            <w:r>
              <w:rPr>
                <w:sz w:val="24"/>
                <w:szCs w:val="24"/>
              </w:rPr>
              <w:t>- Чертежи и инструкции по упаковке, транспортировке и хранению поставляемого оборудования.</w:t>
            </w:r>
          </w:p>
          <w:p>
            <w:pPr>
              <w:pStyle w:val="Normal"/>
              <w:ind w:firstLine="567"/>
              <w:jc w:val="both"/>
              <w:rPr>
                <w:sz w:val="24"/>
                <w:szCs w:val="24"/>
              </w:rPr>
            </w:pPr>
            <w:r>
              <w:rPr>
                <w:sz w:val="24"/>
                <w:szCs w:val="24"/>
              </w:rPr>
              <w:t>- Перечень устройств, монтируемых в шкафах местного управления.</w:t>
            </w:r>
          </w:p>
          <w:p>
            <w:pPr>
              <w:pStyle w:val="Normal"/>
              <w:ind w:firstLine="567"/>
              <w:jc w:val="both"/>
              <w:rPr>
                <w:sz w:val="24"/>
                <w:szCs w:val="24"/>
              </w:rPr>
            </w:pPr>
            <w:r>
              <w:rPr>
                <w:sz w:val="24"/>
                <w:szCs w:val="24"/>
              </w:rPr>
              <w:t>- Согласованный с Заказчиком перечень и объем испытаний, проводимых на заводе.</w:t>
            </w:r>
          </w:p>
          <w:p>
            <w:pPr>
              <w:pStyle w:val="Normal"/>
              <w:ind w:firstLine="567"/>
              <w:jc w:val="both"/>
              <w:rPr>
                <w:sz w:val="24"/>
                <w:szCs w:val="24"/>
              </w:rPr>
            </w:pPr>
            <w:r>
              <w:rPr>
                <w:sz w:val="24"/>
                <w:szCs w:val="24"/>
              </w:rPr>
              <w:t>- Чертежи подсоединения кабелей (монтажные схемы) и кабельные журналы для блочных межшкафных соединений.</w:t>
            </w:r>
          </w:p>
          <w:p>
            <w:pPr>
              <w:pStyle w:val="Normal"/>
              <w:ind w:firstLine="567"/>
              <w:jc w:val="both"/>
              <w:rPr>
                <w:sz w:val="24"/>
                <w:szCs w:val="24"/>
              </w:rPr>
            </w:pPr>
            <w:r>
              <w:rPr>
                <w:sz w:val="24"/>
                <w:szCs w:val="24"/>
              </w:rPr>
              <w:t xml:space="preserve"> </w:t>
            </w:r>
            <w:r>
              <w:rPr>
                <w:sz w:val="24"/>
                <w:szCs w:val="24"/>
              </w:rPr>
              <w:t>До начала монтажных работ, одновременно с поставкой оборудования Исполнитель должен представить комплект подробных инструкций по монтажу, наладке, испытаниям и текущей эксплуатации, содержащих наряду с описанием чертежи, схемы и фотографии, иллюстрирующие все этапы установки и сборки оборудования и их специфику.</w:t>
            </w:r>
          </w:p>
          <w:p>
            <w:pPr>
              <w:pStyle w:val="Normal"/>
              <w:ind w:firstLine="567"/>
              <w:jc w:val="both"/>
              <w:rPr>
                <w:sz w:val="24"/>
                <w:szCs w:val="24"/>
              </w:rPr>
            </w:pPr>
            <w:r>
              <w:rPr>
                <w:sz w:val="24"/>
                <w:szCs w:val="24"/>
              </w:rPr>
              <w:t>Исполнитель предоставляет инструкцию по эксплуатации и инструкции производителя оборудования в редактируемом формате. В инструкциях должна содержаться информация по наладке и испытаниям оборудования на месте монтажа, а также последующей его эксплуатации с указанием периодичности и объема требуемых проверок и испытаний.</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2.1.11.</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jc w:val="center"/>
              <w:rPr>
                <w:rStyle w:val="Style5"/>
                <w:b w:val="false"/>
                <w:i w:val="false"/>
                <w:i w:val="false"/>
                <w:color w:val="000000"/>
                <w:sz w:val="24"/>
                <w:szCs w:val="24"/>
                <w:shd w:fill="auto" w:val="clear"/>
              </w:rPr>
            </w:pPr>
            <w:r>
              <w:rPr>
                <w:rStyle w:val="Style5"/>
                <w:b w:val="false"/>
                <w:i w:val="false"/>
                <w:color w:val="000000"/>
                <w:sz w:val="24"/>
                <w:szCs w:val="24"/>
                <w:shd w:fill="auto" w:val="clear"/>
              </w:rPr>
              <w:t>Требования к испытаниям</w:t>
            </w:r>
          </w:p>
        </w:tc>
        <w:tc>
          <w:tcPr>
            <w:tcW w:w="10921" w:type="dxa"/>
            <w:gridSpan w:val="3"/>
            <w:tcBorders>
              <w:left w:val="single" w:sz="4" w:space="0" w:color="000000"/>
              <w:bottom w:val="single" w:sz="4" w:space="0" w:color="000000"/>
              <w:right w:val="single" w:sz="4" w:space="0" w:color="000000"/>
            </w:tcBorders>
            <w:vAlign w:val="center"/>
          </w:tcPr>
          <w:p>
            <w:pPr>
              <w:pStyle w:val="BodyTextIndent2"/>
              <w:ind w:left="0"/>
              <w:rPr>
                <w:szCs w:val="24"/>
              </w:rPr>
            </w:pPr>
            <w:r>
              <w:rPr>
                <w:szCs w:val="24"/>
              </w:rPr>
              <w:t>Производителем (Исполнителем) оборудования будет выполняться два вида (категории) испытаний: типовые испытания, приемо-сдаточные на заводах изготовителя.</w:t>
            </w:r>
          </w:p>
          <w:p>
            <w:pPr>
              <w:pStyle w:val="BodyTextIndent2"/>
              <w:ind w:left="0"/>
              <w:rPr>
                <w:szCs w:val="24"/>
              </w:rPr>
            </w:pPr>
            <w:r>
              <w:rPr>
                <w:szCs w:val="24"/>
              </w:rPr>
              <w:t>Перечень испытаний Исполнитель приводит и согласовывает его с Заказчиком при подписании договора.</w:t>
            </w:r>
          </w:p>
          <w:p>
            <w:pPr>
              <w:pStyle w:val="BodyTextIndent2"/>
              <w:ind w:left="0"/>
              <w:rPr>
                <w:szCs w:val="24"/>
              </w:rPr>
            </w:pPr>
            <w:r>
              <w:rPr>
                <w:szCs w:val="24"/>
              </w:rPr>
              <w:t>Исполнитель представляет в необходимом объеме результаты (протоколы) проведенных ранее типовых испытаний и сертификаты, выполненные согласно требованиям МЭК (IEC) и ГОСТ. Результаты испытаний должны подтверждать, что поставляемое оборудование соответствует техническим требованиям.</w:t>
            </w:r>
          </w:p>
          <w:p>
            <w:pPr>
              <w:pStyle w:val="BodyTextIndent2"/>
              <w:ind w:left="0"/>
              <w:rPr>
                <w:szCs w:val="24"/>
              </w:rPr>
            </w:pPr>
            <w:r>
              <w:rPr>
                <w:szCs w:val="24"/>
              </w:rPr>
              <w:t>Результаты этих испытаний должны заноситься в протокол испытаний и соответствовать результатам заводских испытаний и требуемым техническим характеристикам.</w:t>
            </w:r>
          </w:p>
          <w:p>
            <w:pPr>
              <w:pStyle w:val="BodyTextIndent2"/>
              <w:ind w:left="0"/>
              <w:rPr>
                <w:szCs w:val="24"/>
              </w:rPr>
            </w:pPr>
            <w:r>
              <w:rPr>
                <w:szCs w:val="24"/>
              </w:rPr>
              <w:t>Объем высоковольтных испытаний на месте монтажа и уровень испытательных напряжений согласовывается с Заказчиком при утверждении Программы испытаний. Исполнитель должен также представить состав, основные параметры и габариты испытательного оборудования, необходимого при проведении приемо-сдаточных испытаний на месте, для подготовки необходимых площадей и организации электроснабжения.</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w:t>
            </w:r>
          </w:p>
        </w:tc>
        <w:tc>
          <w:tcPr>
            <w:tcW w:w="14064" w:type="dxa"/>
            <w:gridSpan w:val="4"/>
            <w:tcBorders>
              <w:left w:val="single" w:sz="4" w:space="0" w:color="000000"/>
              <w:bottom w:val="single" w:sz="4" w:space="0" w:color="000000"/>
              <w:right w:val="single" w:sz="4" w:space="0" w:color="000000"/>
            </w:tcBorders>
          </w:tcPr>
          <w:p>
            <w:pPr>
              <w:pStyle w:val="Normal"/>
              <w:shd w:val="clear" w:color="auto" w:fill="FFFFFF" w:themeFill="background1"/>
              <w:spacing w:before="60" w:after="0"/>
              <w:rPr/>
            </w:pPr>
            <w:r>
              <w:rPr>
                <w:rStyle w:val="Style5"/>
                <w:b w:val="false"/>
                <w:i w:val="false"/>
                <w:color w:val="000000"/>
                <w:sz w:val="24"/>
                <w:szCs w:val="24"/>
                <w:shd w:fill="auto" w:val="clear"/>
              </w:rPr>
              <w:t>Требования к доставке, маркировке, упаковке, транспортировке, перемещению, условиям хранения, приемке и испытаниям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2.2.1.</w:t>
            </w:r>
          </w:p>
        </w:tc>
        <w:tc>
          <w:tcPr>
            <w:tcW w:w="3143" w:type="dxa"/>
            <w:tcBorders>
              <w:left w:val="single" w:sz="4" w:space="0" w:color="000000"/>
              <w:bottom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маркировке и упаковке</w:t>
            </w:r>
          </w:p>
        </w:tc>
        <w:tc>
          <w:tcPr>
            <w:tcW w:w="10921" w:type="dxa"/>
            <w:gridSpan w:val="3"/>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1. Транспортная маркировка каждого грузового места должна выполняться в соответствии с требованиями ГОСТ 14192-96.</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2. Транспортная маркировка грузовых мест должна наноситься на видных местах. Маркировка наносится на одной из боковых сторон ящика или неупакованной крупной детали ЭТО, а на остальных деталях – на ярлык, надёжно прикреплённый к изделию на видном месте.</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3. Оборудование, подлежащее окраске после монтажа, должно отправляться Исполнителем на Загорскую ГАЭС-2 в загрунтованном виде.</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4. Упаковка оборудования должна соответствовать категории упаковки по ГОСТ 23170-78 «Упаковка для изделий машиностроения. Общие требования (с Изменениями № 1, 2) и производиться в соответствии с климатическими условиями места хранения и с чертежами, разработанными Изготовителем ЭТО.</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5. Перемещение оборудования внутри тары должно быть исключено.</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6. Ящики, применяемые для упаковки, должны разрабатываться и изготовляться в соответствии с требованиями ГОСТ 10198-91 «Ящики деревянные для грузов массой св. 200 до 20000 кг. Общие технические условия»</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7. Консервация оборудования должна производиться в соответствии с требованиями ГОСТ 9.014-78 и требованиями чертежей.</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8. Консервация оборудования должна обеспечивать возможность удаления при монтаже защитных покрытий механическим путём или химическим (с применением растворителей).</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9. Части, закладываемые в бетон, должны консервироваться со сторон, прилегающих к бетону покрытиями, не требующими их удаления при монтаже.</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10. Удаление на монтаже консервирующих покрытий должно производиться без применения средств, нарушающих точность сопряжения. Консервирующие покрытия для резьбы должны выбираться такими, чтобы удаление их на монтаже производилось без применения механических средств очистки.</w:t>
            </w:r>
          </w:p>
          <w:p>
            <w:pPr>
              <w:pStyle w:val="ListParagraph"/>
              <w:shd w:val="clear" w:color="auto" w:fill="FFFFFF" w:themeFill="background1"/>
              <w:tabs>
                <w:tab w:val="clear" w:pos="720"/>
                <w:tab w:val="left" w:pos="38" w:leader="none"/>
              </w:tabs>
              <w:spacing w:before="0" w:after="0"/>
              <w:ind w:left="34"/>
              <w:contextualSpacing w:val="false"/>
              <w:jc w:val="both"/>
              <w:rPr/>
            </w:pPr>
            <w:r>
              <w:rPr>
                <w:rStyle w:val="Style5"/>
                <w:b w:val="false"/>
                <w:i w:val="false"/>
                <w:color w:val="000000"/>
                <w:sz w:val="24"/>
                <w:szCs w:val="24"/>
                <w:shd w:fill="auto" w:val="clear"/>
              </w:rPr>
              <w:t>11. Каждый ящик с упакованным оборудованием должен сопровождаться упаковочным листом.</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2.2.2.</w:t>
            </w:r>
          </w:p>
        </w:tc>
        <w:tc>
          <w:tcPr>
            <w:tcW w:w="3143" w:type="dxa"/>
            <w:tcBorders>
              <w:left w:val="single" w:sz="4" w:space="0" w:color="000000"/>
              <w:bottom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транспортированию и хранению</w:t>
            </w:r>
          </w:p>
        </w:tc>
        <w:tc>
          <w:tcPr>
            <w:tcW w:w="10921" w:type="dxa"/>
            <w:gridSpan w:val="3"/>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Транспортировка оборудования должна осуществляться Исполнителем на места, указанные Заказчиком на территории Загорской ГАЭС-2 на условиях DDP (Delivered, Duty paid).</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Исполнитель обеспечивает погрузочно-разгрузочные работы в месте выполнения работ по восстановлению оборудования в заводских условиях, Заказчик обеспечивает погрузочно-разгрузочные работы на территории Загорской ГАЭС-2 и местах хранения оборудования.</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Условия транспортирования и хранения оборудования должны соответствовать условиям хранения по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 (с Изменениями № 1, 2, 3, 4, 5)»</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Оборудование доставляется автомобильным транспортом.</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Способ и условия транспортировки и хранения оборудования, и их составных частей, а также условия и срок хранения в упаковке и консервации изготовителя, должны быть указаны в документации Изготовителя (Исполнителя).</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Размеры всех деталей и сборочных единиц ЭТО с учётом упаковки должны позволять доставку их на место установки доставляемым видом транспорта в соответствии с правилами перевозок грузов, действующими на данном виде транспорта.</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Конкретные наименования и количество узлов, подлежащих транспортировке в собранном виде, оговариваются в технических условиях - приложении к договору с Исполнителем, в том числе по условиям их транспортировки.</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Срок действия консервации, способы хранения и переконсервации оборудования у Заказчика должны соответствовать требованиям инструкции Изготовителя (Исполнителя).</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Случаи повреждения антикоррозионного покрытия, окраски, консервации и упаковки оборудования в процессе погрузки, транспортирования и выгрузки должны оформляться актами. Повреждения, при необходимости, должны быть устранены Исполнителем сразу же после выгрузки оборудования на склад.</w:t>
            </w:r>
          </w:p>
          <w:p>
            <w:pPr>
              <w:pStyle w:val="ListParagraph"/>
              <w:shd w:val="clear" w:color="auto" w:fill="FFFFFF" w:themeFill="background1"/>
              <w:tabs>
                <w:tab w:val="clear" w:pos="720"/>
                <w:tab w:val="left" w:pos="38" w:leader="none"/>
              </w:tabs>
              <w:spacing w:before="0" w:after="0"/>
              <w:ind w:left="38"/>
              <w:contextualSpacing w:val="false"/>
              <w:jc w:val="both"/>
              <w:rPr/>
            </w:pPr>
            <w:r>
              <w:rPr>
                <w:rStyle w:val="Style5"/>
                <w:b w:val="false"/>
                <w:i w:val="false"/>
                <w:color w:val="000000"/>
                <w:sz w:val="24"/>
                <w:szCs w:val="24"/>
                <w:shd w:fill="auto" w:val="clear"/>
              </w:rPr>
              <w:t xml:space="preserve"> </w:t>
            </w:r>
            <w:r>
              <w:rPr>
                <w:rStyle w:val="Style5"/>
                <w:b w:val="false"/>
                <w:i w:val="false"/>
                <w:color w:val="000000"/>
                <w:sz w:val="24"/>
                <w:szCs w:val="24"/>
                <w:shd w:fill="auto" w:val="clear"/>
              </w:rPr>
              <w:t>Транспортирование и хранение оборудования должно учитывать климатические условия.</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2.2.3.</w:t>
            </w:r>
          </w:p>
        </w:tc>
        <w:tc>
          <w:tcPr>
            <w:tcW w:w="3143" w:type="dxa"/>
            <w:tcBorders>
              <w:left w:val="single" w:sz="4" w:space="0" w:color="000000"/>
              <w:bottom w:val="single" w:sz="4" w:space="0" w:color="000000"/>
            </w:tcBorders>
            <w:vAlign w:val="center"/>
          </w:tcPr>
          <w:p>
            <w:pPr>
              <w:pStyle w:val="Normal"/>
              <w:shd w:val="clear" w:color="auto" w:fill="FFFFFF" w:themeFill="background1"/>
              <w:tabs>
                <w:tab w:val="clear" w:pos="720"/>
                <w:tab w:val="left" w:pos="426" w:leader="none"/>
              </w:tabs>
              <w:spacing w:before="60" w:after="0"/>
              <w:rPr/>
            </w:pPr>
            <w:r>
              <w:rPr>
                <w:rStyle w:val="Style5"/>
                <w:b w:val="false"/>
                <w:i w:val="false"/>
                <w:color w:val="000000"/>
                <w:sz w:val="24"/>
                <w:szCs w:val="24"/>
                <w:shd w:fill="auto" w:val="clear"/>
              </w:rPr>
              <w:t>Входной и производственный контроль на заводе - изготовителе</w:t>
            </w:r>
          </w:p>
        </w:tc>
        <w:tc>
          <w:tcPr>
            <w:tcW w:w="10921" w:type="dxa"/>
            <w:gridSpan w:val="3"/>
            <w:tcBorders>
              <w:left w:val="single" w:sz="4" w:space="0" w:color="000000"/>
              <w:bottom w:val="single" w:sz="4" w:space="0" w:color="000000"/>
              <w:right w:val="single" w:sz="4" w:space="0" w:color="000000"/>
            </w:tcBorders>
            <w:vAlign w:val="center"/>
          </w:tcPr>
          <w:p>
            <w:pPr>
              <w:pStyle w:val="Normal"/>
              <w:shd w:val="clear" w:color="auto" w:fill="FFFFFF" w:themeFill="background1"/>
              <w:ind w:left="227"/>
              <w:rPr/>
            </w:pPr>
            <w:r>
              <w:rPr>
                <w:rStyle w:val="Style5"/>
                <w:b w:val="false"/>
                <w:i w:val="false"/>
                <w:color w:val="000000"/>
                <w:sz w:val="24"/>
                <w:szCs w:val="24"/>
                <w:shd w:fill="auto" w:val="clear"/>
              </w:rPr>
              <w:t>1. На предприятии – изготовителе Исполнитель осуществляет:</w:t>
            </w:r>
          </w:p>
          <w:p>
            <w:pPr>
              <w:pStyle w:val="Normal"/>
              <w:shd w:val="clear" w:color="auto" w:fill="FFFFFF" w:themeFill="background1"/>
              <w:ind w:left="227"/>
              <w:jc w:val="both"/>
              <w:rPr/>
            </w:pPr>
            <w:r>
              <w:rPr>
                <w:rStyle w:val="Style5"/>
                <w:b w:val="false"/>
                <w:i w:val="false"/>
                <w:color w:val="000000"/>
                <w:sz w:val="24"/>
                <w:szCs w:val="24"/>
                <w:shd w:fill="auto" w:val="clear"/>
              </w:rPr>
              <w:t>a) входной контроль качества материалов, заготовок и покупных комплектующих изделий, поступающих на предприятие для изготовления и комплектации оборудования ЭТО (ПТУ);</w:t>
            </w:r>
          </w:p>
          <w:p>
            <w:pPr>
              <w:pStyle w:val="Normal"/>
              <w:shd w:val="clear" w:color="auto" w:fill="FFFFFF" w:themeFill="background1"/>
              <w:ind w:left="227"/>
              <w:jc w:val="both"/>
              <w:rPr/>
            </w:pPr>
            <w:r>
              <w:rPr>
                <w:rStyle w:val="Style5"/>
                <w:b w:val="false"/>
                <w:i w:val="false"/>
                <w:color w:val="000000"/>
                <w:sz w:val="24"/>
                <w:szCs w:val="24"/>
                <w:shd w:fill="auto" w:val="clear"/>
              </w:rPr>
              <w:t>b) производственный контроль сборочных единиц и деталей ЭТО (ПТУ) для проверки соответствия качества деталей и сборочных единиц техническим требованиям, технической документации и стандартам.</w:t>
            </w:r>
          </w:p>
          <w:p>
            <w:pPr>
              <w:pStyle w:val="Normal"/>
              <w:shd w:val="clear" w:color="auto" w:fill="FFFFFF" w:themeFill="background1"/>
              <w:ind w:left="227"/>
              <w:jc w:val="both"/>
              <w:rPr/>
            </w:pPr>
            <w:r>
              <w:rPr>
                <w:rStyle w:val="Style5"/>
                <w:b w:val="false"/>
                <w:i w:val="false"/>
                <w:color w:val="000000"/>
                <w:sz w:val="24"/>
                <w:szCs w:val="24"/>
                <w:shd w:fill="auto" w:val="clear"/>
              </w:rPr>
              <w:t>2.  Исполнитель представит Программу контроля качества контрольных сборок ЭТО (ПТУ), включая</w:t>
            </w:r>
          </w:p>
          <w:p>
            <w:pPr>
              <w:pStyle w:val="Normal"/>
              <w:shd w:val="clear" w:color="auto" w:fill="FFFFFF" w:themeFill="background1"/>
              <w:ind w:left="227"/>
              <w:rPr/>
            </w:pPr>
            <w:r>
              <w:rPr>
                <w:rStyle w:val="Style5"/>
                <w:b w:val="false"/>
                <w:i w:val="false"/>
                <w:color w:val="000000"/>
                <w:sz w:val="24"/>
                <w:szCs w:val="24"/>
                <w:shd w:fill="auto" w:val="clear"/>
              </w:rPr>
              <w:t>виды контроля и испытаний.</w:t>
            </w:r>
          </w:p>
          <w:p>
            <w:pPr>
              <w:pStyle w:val="Normal"/>
              <w:shd w:val="clear" w:color="auto" w:fill="FFFFFF" w:themeFill="background1"/>
              <w:ind w:left="227"/>
              <w:rPr/>
            </w:pPr>
            <w:r>
              <w:rPr>
                <w:rStyle w:val="Style5"/>
                <w:b w:val="false"/>
                <w:i w:val="false"/>
                <w:color w:val="000000"/>
                <w:sz w:val="24"/>
                <w:szCs w:val="24"/>
                <w:shd w:fill="auto" w:val="clear"/>
              </w:rPr>
              <w:t>3. Заказчик может присутствовать при контрольных сборках отдельных узлов и имеет право ознакомиться со всеми стандартами на их изготовление.</w:t>
            </w:r>
          </w:p>
          <w:p>
            <w:pPr>
              <w:pStyle w:val="Normal"/>
              <w:shd w:val="clear" w:color="auto" w:fill="FFFFFF" w:themeFill="background1"/>
              <w:ind w:left="227"/>
              <w:rPr/>
            </w:pPr>
            <w:r>
              <w:rPr>
                <w:rStyle w:val="Style5"/>
                <w:b w:val="false"/>
                <w:i w:val="false"/>
                <w:color w:val="000000"/>
                <w:sz w:val="24"/>
                <w:szCs w:val="24"/>
                <w:shd w:fill="auto" w:val="clear"/>
              </w:rPr>
              <w:t>4. Исполнитель сообщает Заказчику за 10 (десять) дней сроки проведения контрольных сборок</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2.3.</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pPr>
            <w:r>
              <w:rPr>
                <w:rStyle w:val="Style5"/>
                <w:b w:val="false"/>
                <w:i w:val="false"/>
                <w:color w:val="000000"/>
                <w:sz w:val="24"/>
                <w:szCs w:val="24"/>
                <w:shd w:fill="auto" w:val="clear"/>
              </w:rPr>
              <w:t>Требования к гарантиям, гарантийному и послегарантийному обслуживанию</w:t>
            </w:r>
          </w:p>
        </w:tc>
      </w:tr>
      <w:tr>
        <w:trPr>
          <w:trHeight w:val="2127" w:hRule="atLeast"/>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2.3.1.</w:t>
            </w:r>
          </w:p>
        </w:tc>
        <w:tc>
          <w:tcPr>
            <w:tcW w:w="3143" w:type="dxa"/>
            <w:tcBorders>
              <w:left w:val="single" w:sz="4" w:space="0" w:color="000000"/>
              <w:bottom w:val="single" w:sz="4" w:space="0" w:color="000000"/>
            </w:tcBorders>
            <w:vAlign w:val="center"/>
          </w:tcPr>
          <w:p>
            <w:pPr>
              <w:pStyle w:val="Normal"/>
              <w:shd w:val="clear" w:color="auto" w:fill="FFFFFF" w:themeFill="background1"/>
              <w:rPr/>
            </w:pPr>
            <w:bookmarkStart w:id="58" w:name="_Toc46915394_Копия_1_Копия_1"/>
            <w:r>
              <w:rPr>
                <w:rStyle w:val="Style5"/>
                <w:b w:val="false"/>
                <w:i w:val="false"/>
                <w:color w:val="000000"/>
                <w:sz w:val="24"/>
                <w:szCs w:val="24"/>
                <w:shd w:fill="auto" w:val="clear"/>
              </w:rPr>
              <w:t>Гарантии</w:t>
            </w:r>
            <w:bookmarkEnd w:id="58"/>
          </w:p>
        </w:tc>
        <w:tc>
          <w:tcPr>
            <w:tcW w:w="10921" w:type="dxa"/>
            <w:gridSpan w:val="3"/>
            <w:tcBorders>
              <w:left w:val="single" w:sz="4" w:space="0" w:color="000000"/>
              <w:bottom w:val="single" w:sz="4" w:space="0" w:color="000000"/>
              <w:right w:val="single" w:sz="4" w:space="0" w:color="000000"/>
            </w:tcBorders>
            <w:vAlign w:val="center"/>
          </w:tcPr>
          <w:p>
            <w:pPr>
              <w:pStyle w:val="ListParagraph"/>
              <w:shd w:val="clear" w:color="auto" w:fill="FFFFFF" w:themeFill="background1"/>
              <w:tabs>
                <w:tab w:val="clear" w:pos="720"/>
                <w:tab w:val="left" w:pos="38" w:leader="none"/>
              </w:tabs>
              <w:spacing w:before="0" w:after="0"/>
              <w:ind w:left="32"/>
              <w:contextualSpacing w:val="false"/>
              <w:jc w:val="both"/>
              <w:rPr/>
            </w:pPr>
            <w:r>
              <w:rPr/>
            </w:r>
          </w:p>
          <w:p>
            <w:pPr>
              <w:pStyle w:val="ListParagraph"/>
              <w:shd w:val="clear" w:color="auto" w:fill="FFFFFF" w:themeFill="background1"/>
              <w:tabs>
                <w:tab w:val="clear" w:pos="720"/>
                <w:tab w:val="left" w:pos="38" w:leader="none"/>
              </w:tabs>
              <w:spacing w:before="0" w:after="0"/>
              <w:ind w:left="32"/>
              <w:contextualSpacing w:val="false"/>
              <w:jc w:val="both"/>
              <w:rPr/>
            </w:pPr>
            <w:r>
              <w:rPr>
                <w:rStyle w:val="Style5"/>
                <w:b w:val="false"/>
                <w:i w:val="false"/>
                <w:color w:val="000000"/>
                <w:sz w:val="24"/>
                <w:szCs w:val="24"/>
                <w:shd w:fill="auto" w:val="clear"/>
              </w:rPr>
              <w:t>1. Исполнитель обязуется производить в течение гарантийного периода эксплуатации устранение всех неисправностей, возникших из-за дефектов изготовления и конструкторских недоработок, своими силами и за свой счёт, или компенсировать затраты по выполнению таких работ при сохранении в полном объеме всех гарантийных обязательств, предусмотренных условиями соответствующего договора. Возможность устранения дефектов Заказчиком и последовательность применения различных способов устранения дефектов, указанных в настоящем пункте, должны определяться условиями соответствующего договора.</w:t>
            </w:r>
          </w:p>
          <w:p>
            <w:pPr>
              <w:pStyle w:val="ListParagraph"/>
              <w:shd w:val="clear" w:color="auto" w:fill="FFFFFF" w:themeFill="background1"/>
              <w:tabs>
                <w:tab w:val="clear" w:pos="720"/>
                <w:tab w:val="left" w:pos="38" w:leader="none"/>
              </w:tabs>
              <w:spacing w:before="0" w:after="0"/>
              <w:ind w:left="32"/>
              <w:contextualSpacing w:val="false"/>
              <w:jc w:val="both"/>
              <w:rPr/>
            </w:pPr>
            <w:r>
              <w:rPr>
                <w:rStyle w:val="Style5"/>
                <w:b w:val="false"/>
                <w:i w:val="false"/>
                <w:color w:val="000000"/>
                <w:sz w:val="24"/>
                <w:szCs w:val="24"/>
                <w:shd w:fill="auto" w:val="clear"/>
              </w:rPr>
              <w:t>2. Исполнитель гарантирует надёжную работу поставленного оборудования</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117"/>
              <w:contextualSpacing/>
              <w:jc w:val="center"/>
              <w:rPr>
                <w:rStyle w:val="Style5"/>
                <w:color w:val="000000"/>
                <w:sz w:val="24"/>
                <w:szCs w:val="24"/>
                <w:shd w:fill="auto" w:val="clear"/>
              </w:rPr>
            </w:pPr>
            <w:r>
              <w:rPr>
                <w:rStyle w:val="Style5"/>
                <w:b w:val="false"/>
                <w:i w:val="false"/>
                <w:color w:val="000000"/>
                <w:sz w:val="24"/>
                <w:szCs w:val="24"/>
                <w:shd w:fill="auto" w:val="clear"/>
              </w:rPr>
              <w:t>3.</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результатам выполнения договора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pPr>
            <w:r>
              <w:rPr>
                <w:rStyle w:val="Style5"/>
                <w:b w:val="false"/>
                <w:i w:val="false"/>
                <w:color w:val="000000"/>
                <w:sz w:val="24"/>
                <w:szCs w:val="24"/>
                <w:shd w:fill="auto" w:val="clear"/>
              </w:rPr>
              <w:t>3.1.</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spacing w:before="60" w:after="0"/>
              <w:rPr/>
            </w:pPr>
            <w:r>
              <w:rPr>
                <w:rStyle w:val="Style5"/>
                <w:b w:val="false"/>
                <w:i w:val="false"/>
                <w:color w:val="000000"/>
                <w:sz w:val="24"/>
                <w:szCs w:val="24"/>
                <w:shd w:fill="auto" w:val="clear"/>
              </w:rPr>
              <w:t>Общие требования к результатам выполнения договора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3.1.1.</w:t>
            </w:r>
          </w:p>
        </w:tc>
        <w:tc>
          <w:tcPr>
            <w:tcW w:w="3143" w:type="dxa"/>
            <w:tcBorders>
              <w:left w:val="single" w:sz="4" w:space="0" w:color="000000"/>
              <w:bottom w:val="single" w:sz="4" w:space="0" w:color="000000"/>
            </w:tcBorders>
          </w:tcPr>
          <w:p>
            <w:pPr>
              <w:pStyle w:val="Normal"/>
              <w:shd w:val="clear" w:color="auto" w:fill="FFFFFF" w:themeFill="background1"/>
              <w:tabs>
                <w:tab w:val="clear" w:pos="720"/>
                <w:tab w:val="left" w:pos="426" w:leader="none"/>
              </w:tabs>
              <w:rPr/>
            </w:pPr>
            <w:r>
              <w:rPr>
                <w:rStyle w:val="Style5"/>
                <w:b w:val="false"/>
                <w:i w:val="false"/>
                <w:color w:val="000000"/>
                <w:sz w:val="24"/>
                <w:szCs w:val="24"/>
                <w:shd w:fill="auto" w:val="clear"/>
              </w:rPr>
              <w:t>Результат выполнения договора</w:t>
            </w:r>
          </w:p>
        </w:tc>
        <w:tc>
          <w:tcPr>
            <w:tcW w:w="10921" w:type="dxa"/>
            <w:gridSpan w:val="3"/>
            <w:tcBorders>
              <w:left w:val="single" w:sz="4" w:space="0" w:color="000000"/>
              <w:bottom w:val="single" w:sz="4" w:space="0" w:color="000000"/>
              <w:right w:val="single" w:sz="4" w:space="0" w:color="000000"/>
            </w:tcBorders>
          </w:tcPr>
          <w:p>
            <w:pPr>
              <w:pStyle w:val="Normal"/>
              <w:shd w:val="clear" w:color="auto" w:fill="FFFFFF" w:themeFill="background1"/>
              <w:rPr/>
            </w:pPr>
            <w:r>
              <w:rPr>
                <w:rStyle w:val="Style5"/>
                <w:b w:val="false"/>
                <w:i w:val="false"/>
                <w:color w:val="000000"/>
                <w:sz w:val="24"/>
                <w:szCs w:val="24"/>
                <w:shd w:fill="auto" w:val="clear"/>
              </w:rPr>
              <w:t>Восстановление и поставка оборудования ЭТО в соответствии с разработанной Исполнителем заводской конструкторской документацией и настоящими ТТ.</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3.2.</w:t>
            </w:r>
          </w:p>
        </w:tc>
        <w:tc>
          <w:tcPr>
            <w:tcW w:w="14064" w:type="dxa"/>
            <w:gridSpan w:val="4"/>
            <w:tcBorders>
              <w:left w:val="single" w:sz="4" w:space="0" w:color="000000"/>
              <w:bottom w:val="single" w:sz="4" w:space="0" w:color="000000"/>
              <w:right w:val="single" w:sz="4" w:space="0" w:color="000000"/>
            </w:tcBorders>
            <w:vAlign w:val="center"/>
          </w:tcPr>
          <w:p>
            <w:pPr>
              <w:pStyle w:val="Normal"/>
              <w:shd w:val="clear" w:color="auto" w:fill="FFFFFF" w:themeFill="background1"/>
              <w:rPr/>
            </w:pPr>
            <w:r>
              <w:rPr>
                <w:rStyle w:val="Style5"/>
                <w:b w:val="false"/>
                <w:i w:val="false"/>
                <w:color w:val="000000"/>
                <w:sz w:val="24"/>
                <w:szCs w:val="24"/>
                <w:shd w:fill="auto" w:val="clear"/>
              </w:rPr>
              <w:t>Требования к порядку приемки результатов выполнения договора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3.2.1.</w:t>
            </w:r>
          </w:p>
        </w:tc>
        <w:tc>
          <w:tcPr>
            <w:tcW w:w="3143" w:type="dxa"/>
            <w:tcBorders>
              <w:left w:val="single" w:sz="4" w:space="0" w:color="000000"/>
              <w:bottom w:val="single" w:sz="4" w:space="0" w:color="000000"/>
            </w:tcBorders>
          </w:tcPr>
          <w:p>
            <w:pPr>
              <w:pStyle w:val="Normal"/>
              <w:shd w:val="clear" w:color="auto" w:fill="FFFFFF" w:themeFill="background1"/>
              <w:rPr/>
            </w:pPr>
            <w:r>
              <w:rPr>
                <w:rStyle w:val="Style5"/>
                <w:b w:val="false"/>
                <w:i w:val="false"/>
                <w:color w:val="000000"/>
                <w:sz w:val="24"/>
                <w:szCs w:val="24"/>
                <w:shd w:fill="auto" w:val="clear"/>
              </w:rPr>
              <w:t>Документы, передаваемые Заказчику для оформления приемки</w:t>
            </w:r>
          </w:p>
        </w:tc>
        <w:tc>
          <w:tcPr>
            <w:tcW w:w="10921" w:type="dxa"/>
            <w:gridSpan w:val="3"/>
            <w:tcBorders>
              <w:left w:val="single" w:sz="4" w:space="0" w:color="000000"/>
              <w:bottom w:val="single" w:sz="4" w:space="0" w:color="000000"/>
              <w:right w:val="single" w:sz="4" w:space="0" w:color="000000"/>
            </w:tcBorders>
          </w:tcPr>
          <w:p>
            <w:pPr>
              <w:pStyle w:val="Normal"/>
              <w:shd w:val="clear" w:color="auto" w:fill="FFFFFF" w:themeFill="background1"/>
              <w:jc w:val="both"/>
              <w:rPr/>
            </w:pPr>
            <w:r>
              <w:rPr>
                <w:rStyle w:val="Style5"/>
                <w:b w:val="false"/>
                <w:i w:val="false"/>
                <w:color w:val="000000"/>
                <w:sz w:val="24"/>
                <w:szCs w:val="24"/>
                <w:shd w:fill="auto" w:val="clear"/>
              </w:rPr>
              <w:t>- Акт сдачи-приемки оказанных Услуг на бумажном носителе в 2-х экземплярах (для шеф-монтажа и для шеф-наладки);</w:t>
            </w:r>
          </w:p>
          <w:p>
            <w:pPr>
              <w:pStyle w:val="Normal"/>
              <w:shd w:val="clear" w:color="auto" w:fill="FFFFFF" w:themeFill="background1"/>
              <w:jc w:val="both"/>
              <w:rPr/>
            </w:pPr>
            <w:r>
              <w:rPr>
                <w:rStyle w:val="Style5"/>
                <w:b w:val="false"/>
                <w:i w:val="false"/>
                <w:color w:val="000000"/>
                <w:sz w:val="24"/>
                <w:szCs w:val="24"/>
                <w:shd w:fill="auto" w:val="clear"/>
              </w:rPr>
              <w:t>- Акт сдачи-приемки выполненных Работ на бумажном носителе в 2-х экземплярах (для работ);</w:t>
            </w:r>
          </w:p>
          <w:p>
            <w:pPr>
              <w:pStyle w:val="Normal"/>
              <w:shd w:val="clear" w:color="auto" w:fill="FFFFFF" w:themeFill="background1"/>
              <w:jc w:val="both"/>
              <w:rPr>
                <w:bCs/>
                <w:iCs/>
                <w:color w:val="000000"/>
                <w:sz w:val="24"/>
                <w:szCs w:val="24"/>
              </w:rPr>
            </w:pPr>
            <w:r>
              <w:rPr>
                <w:rStyle w:val="Style5"/>
                <w:b w:val="false"/>
                <w:i w:val="false"/>
                <w:color w:val="000000"/>
                <w:sz w:val="24"/>
                <w:szCs w:val="24"/>
                <w:shd w:fill="auto" w:val="clear"/>
              </w:rPr>
              <w:t>- Передаточный документ (ТОРГ-12/УПД) (для поставки)</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rStyle w:val="Style5"/>
                <w:color w:val="000000"/>
                <w:sz w:val="24"/>
                <w:szCs w:val="24"/>
                <w:shd w:fill="auto" w:val="clear"/>
              </w:rPr>
            </w:pPr>
            <w:r>
              <w:rPr>
                <w:rStyle w:val="Style5"/>
                <w:b w:val="false"/>
                <w:i w:val="false"/>
                <w:color w:val="000000"/>
                <w:sz w:val="24"/>
                <w:szCs w:val="24"/>
                <w:shd w:fill="auto" w:val="clear"/>
              </w:rPr>
              <w:t>4.</w:t>
            </w:r>
          </w:p>
        </w:tc>
        <w:tc>
          <w:tcPr>
            <w:tcW w:w="14064" w:type="dxa"/>
            <w:gridSpan w:val="4"/>
            <w:tcBorders>
              <w:left w:val="single" w:sz="4" w:space="0" w:color="000000"/>
              <w:bottom w:val="single" w:sz="4" w:space="0" w:color="000000"/>
              <w:right w:val="single" w:sz="4" w:space="0" w:color="000000"/>
            </w:tcBorders>
            <w:vAlign w:val="center"/>
          </w:tcPr>
          <w:p>
            <w:pPr>
              <w:pStyle w:val="Normal"/>
              <w:keepNext w:val="true"/>
              <w:shd w:val="clear" w:color="auto" w:fill="FFFFFF" w:themeFill="background1"/>
              <w:spacing w:before="60" w:after="60"/>
              <w:rPr/>
            </w:pPr>
            <w:r>
              <w:rPr>
                <w:rStyle w:val="Style5"/>
                <w:b w:val="false"/>
                <w:i w:val="false"/>
                <w:color w:val="000000"/>
                <w:sz w:val="24"/>
                <w:szCs w:val="24"/>
                <w:shd w:fill="auto" w:val="clear"/>
              </w:rPr>
              <w:t>Требования к обязательствам контрагента, влияющим на исполнение договора</w:t>
            </w:r>
          </w:p>
        </w:tc>
      </w:tr>
      <w:tr>
        <w:trPr/>
        <w:tc>
          <w:tcPr>
            <w:tcW w:w="958" w:type="dxa"/>
            <w:tcBorders>
              <w:left w:val="single" w:sz="4" w:space="0" w:color="000000"/>
              <w:bottom w:val="single" w:sz="4" w:space="0" w:color="000000"/>
            </w:tcBorders>
            <w:vAlign w:val="center"/>
          </w:tcPr>
          <w:p>
            <w:pPr>
              <w:pStyle w:val="ListParagraph"/>
              <w:shd w:val="clear" w:color="auto" w:fill="FFFFFF" w:themeFill="background1"/>
              <w:spacing w:before="60" w:after="60"/>
              <w:ind w:left="0"/>
              <w:contextualSpacing/>
              <w:jc w:val="center"/>
              <w:rPr/>
            </w:pPr>
            <w:r>
              <w:rPr>
                <w:rStyle w:val="Style5"/>
                <w:b w:val="false"/>
                <w:i w:val="false"/>
                <w:color w:val="000000"/>
                <w:sz w:val="24"/>
                <w:szCs w:val="24"/>
                <w:shd w:fill="auto" w:val="clear"/>
              </w:rPr>
              <w:t>4.1.</w:t>
            </w:r>
          </w:p>
        </w:tc>
        <w:tc>
          <w:tcPr>
            <w:tcW w:w="3143" w:type="dxa"/>
            <w:tcBorders>
              <w:left w:val="single" w:sz="4" w:space="0" w:color="000000"/>
              <w:bottom w:val="single" w:sz="4" w:space="0" w:color="000000"/>
            </w:tcBorders>
          </w:tcPr>
          <w:p>
            <w:pPr>
              <w:pStyle w:val="Normal"/>
              <w:shd w:val="clear" w:color="auto" w:fill="FFFFFF" w:themeFill="background1"/>
              <w:rPr/>
            </w:pPr>
            <w:r>
              <w:rPr>
                <w:rStyle w:val="Style5"/>
                <w:b w:val="false"/>
                <w:i w:val="false"/>
                <w:color w:val="000000"/>
                <w:sz w:val="24"/>
                <w:szCs w:val="24"/>
                <w:shd w:fill="auto" w:val="clear"/>
              </w:rPr>
              <w:t>Требования к соисполнителям, привлекаемым к оказанию Услуг</w:t>
            </w:r>
          </w:p>
        </w:tc>
        <w:tc>
          <w:tcPr>
            <w:tcW w:w="10921" w:type="dxa"/>
            <w:gridSpan w:val="3"/>
            <w:tcBorders>
              <w:left w:val="single" w:sz="4" w:space="0" w:color="000000"/>
              <w:bottom w:val="single" w:sz="4" w:space="0" w:color="000000"/>
              <w:right w:val="single" w:sz="4" w:space="0" w:color="000000"/>
            </w:tcBorders>
          </w:tcPr>
          <w:p>
            <w:pPr>
              <w:pStyle w:val="Normal"/>
              <w:shd w:val="clear" w:color="auto" w:fill="FFFFFF" w:themeFill="background1"/>
              <w:rPr/>
            </w:pPr>
            <w:r>
              <w:rPr>
                <w:rStyle w:val="Style5"/>
                <w:b w:val="false"/>
                <w:i w:val="false"/>
                <w:color w:val="000000"/>
                <w:sz w:val="24"/>
                <w:szCs w:val="24"/>
                <w:shd w:fill="auto" w:val="clear"/>
              </w:rPr>
              <w:t>В случае привлечения к оказанию Услуг соисполнителей, Исполнитель обязан представить Заказчику на момент согласования Договора документы, подтверждающие соответствие их квалификационного уровня, а также готовность и возможность оказания ими Услуг.</w:t>
            </w:r>
          </w:p>
        </w:tc>
      </w:tr>
    </w:tbl>
    <w:p>
      <w:pPr>
        <w:pStyle w:val="314"/>
        <w:numPr>
          <w:ilvl w:val="0"/>
          <w:numId w:val="0"/>
        </w:numPr>
        <w:shd w:val="clear" w:color="auto" w:fill="FFFFFF" w:themeFill="background1"/>
        <w:spacing w:before="120" w:after="60"/>
        <w:ind w:hanging="0" w:left="0"/>
        <w:contextualSpacing/>
        <w:jc w:val="both"/>
        <w:rPr/>
      </w:pPr>
      <w:r>
        <w:rPr/>
      </w:r>
    </w:p>
    <w:p>
      <w:pPr>
        <w:sectPr>
          <w:headerReference w:type="default" r:id="rId14"/>
          <w:headerReference w:type="first" r:id="rId15"/>
          <w:footerReference w:type="default" r:id="rId16"/>
          <w:footerReference w:type="first" r:id="rId17"/>
          <w:type w:val="nextPage"/>
          <w:pgSz w:orient="landscape" w:w="16838" w:h="11906"/>
          <w:pgMar w:left="1134" w:right="1134" w:gutter="0" w:header="1134" w:top="1191" w:footer="1134" w:bottom="1417"/>
          <w:pgNumType w:fmt="decimal"/>
          <w:formProt w:val="false"/>
          <w:textDirection w:val="lrTb"/>
          <w:docGrid w:type="default" w:linePitch="100" w:charSpace="90112"/>
        </w:sectPr>
        <w:pStyle w:val="Normal"/>
        <w:rPr/>
      </w:pPr>
      <w:r>
        <w:rPr/>
      </w:r>
    </w:p>
    <w:p>
      <w:pPr>
        <w:pStyle w:val="Normal"/>
        <w:keepNext w:val="true"/>
        <w:numPr>
          <w:ilvl w:val="0"/>
          <w:numId w:val="0"/>
        </w:numPr>
        <w:suppressAutoHyphens w:val="false"/>
        <w:spacing w:before="360" w:after="120"/>
        <w:ind w:hanging="0" w:left="358"/>
        <w:outlineLvl w:val="0"/>
        <w:rPr>
          <w:b/>
          <w:sz w:val="24"/>
          <w:szCs w:val="24"/>
        </w:rPr>
      </w:pPr>
      <w:bookmarkStart w:id="59" w:name="_Toc161068856"/>
      <w:bookmarkStart w:id="60" w:name="_Toc162275085"/>
      <w:r>
        <w:rPr>
          <w:b/>
          <w:sz w:val="24"/>
          <w:szCs w:val="24"/>
        </w:rPr>
        <w:t>3. Требования к документации по ценообразованию</w:t>
      </w:r>
      <w:bookmarkEnd w:id="59"/>
      <w:bookmarkEnd w:id="60"/>
      <w:r>
        <w:rPr>
          <w:b/>
          <w:sz w:val="24"/>
          <w:szCs w:val="24"/>
        </w:rPr>
        <w:t xml:space="preserve"> на этапе закупки</w:t>
      </w:r>
    </w:p>
    <w:p>
      <w:pPr>
        <w:pStyle w:val="Normal"/>
        <w:widowControl/>
        <w:numPr>
          <w:ilvl w:val="1"/>
          <w:numId w:val="12"/>
        </w:numPr>
        <w:suppressAutoHyphens w:val="false"/>
        <w:spacing w:before="40" w:after="40"/>
        <w:ind w:firstLine="277" w:left="0"/>
        <w:rPr>
          <w:rFonts w:eastAsia="Calibri"/>
          <w:sz w:val="24"/>
          <w:szCs w:val="24"/>
        </w:rPr>
      </w:pPr>
      <w:r>
        <w:rPr>
          <w:rFonts w:eastAsia="Calibri"/>
          <w:sz w:val="24"/>
          <w:szCs w:val="24"/>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pPr>
        <w:pStyle w:val="Normal"/>
        <w:widowControl/>
        <w:numPr>
          <w:ilvl w:val="1"/>
          <w:numId w:val="12"/>
        </w:numPr>
        <w:suppressAutoHyphens w:val="false"/>
        <w:spacing w:before="40" w:after="40"/>
        <w:ind w:firstLine="277" w:left="0"/>
        <w:rPr>
          <w:rFonts w:eastAsia="Calibri"/>
          <w:sz w:val="24"/>
          <w:szCs w:val="24"/>
        </w:rPr>
      </w:pPr>
      <w:r>
        <w:rPr>
          <w:rFonts w:eastAsia="Calibri"/>
          <w:sz w:val="24"/>
          <w:szCs w:val="24"/>
        </w:rPr>
        <w:t>Дополнительные документы по ценообразованию (сметная документация) в состав заявки Участника не включаются.</w:t>
      </w:r>
    </w:p>
    <w:p>
      <w:pPr>
        <w:pStyle w:val="Normal"/>
        <w:widowControl/>
        <w:numPr>
          <w:ilvl w:val="1"/>
          <w:numId w:val="12"/>
        </w:numPr>
        <w:suppressAutoHyphens w:val="false"/>
        <w:spacing w:before="40" w:after="40"/>
        <w:ind w:firstLine="277" w:left="0"/>
        <w:rPr>
          <w:rFonts w:eastAsia="Calibri"/>
          <w:sz w:val="24"/>
          <w:szCs w:val="24"/>
        </w:rPr>
      </w:pPr>
      <w:r>
        <w:rPr>
          <w:rFonts w:eastAsia="Calibri"/>
          <w:sz w:val="24"/>
          <w:szCs w:val="24"/>
        </w:rPr>
        <w:t>Вместе с Коммерческим предложением Участник должен предоставить в составе заявки спецификацию поставляемого оборудования по форме, приведенной в Приложении № 7 к настоящим Техническим требованиям (в случае закупки оборудования (МТР) комплектом в спецификации необходимо разбить его на позиции с указанием полного наименования (тип, марка, артикул) каждой составляющей и стоимости за единицу).</w:t>
      </w:r>
    </w:p>
    <w:p>
      <w:pPr>
        <w:pStyle w:val="Normal"/>
        <w:keepNext w:val="true"/>
        <w:numPr>
          <w:ilvl w:val="0"/>
          <w:numId w:val="0"/>
        </w:numPr>
        <w:suppressAutoHyphens w:val="false"/>
        <w:spacing w:before="360" w:after="120"/>
        <w:ind w:hanging="0" w:left="358"/>
        <w:outlineLvl w:val="0"/>
        <w:rPr>
          <w:b/>
          <w:sz w:val="24"/>
          <w:szCs w:val="24"/>
        </w:rPr>
      </w:pPr>
      <w:r>
        <w:rPr>
          <w:b/>
          <w:sz w:val="24"/>
          <w:szCs w:val="24"/>
        </w:rPr>
        <w:t>4.Требования к документации по ценообразованию на этапе заключения (исполнения) договора</w:t>
      </w:r>
    </w:p>
    <w:p>
      <w:pPr>
        <w:pStyle w:val="Normal"/>
        <w:keepNext w:val="true"/>
        <w:numPr>
          <w:ilvl w:val="0"/>
          <w:numId w:val="0"/>
        </w:numPr>
        <w:suppressAutoHyphens w:val="false"/>
        <w:spacing w:before="360" w:after="120"/>
        <w:ind w:hanging="0" w:left="358"/>
        <w:outlineLvl w:val="0"/>
        <w:rPr>
          <w:b/>
          <w:sz w:val="24"/>
          <w:szCs w:val="24"/>
        </w:rPr>
      </w:pPr>
      <w:r>
        <w:rPr>
          <w:sz w:val="24"/>
          <w:szCs w:val="24"/>
        </w:rPr>
        <w:t>4.1.</w:t>
        <w:tab/>
        <w:t>Требования к документации к ценообразованию на этапе заключения (исполнения) договора Приложении №1 Требования к оформлению и составлению сметной документации.</w:t>
      </w:r>
    </w:p>
    <w:p>
      <w:pPr>
        <w:pStyle w:val="Normal"/>
        <w:rPr/>
      </w:pPr>
      <w:r>
        <w:rPr/>
      </w:r>
    </w:p>
    <w:p>
      <w:pPr>
        <w:pStyle w:val="Normal"/>
        <w:rPr/>
      </w:pPr>
      <w:r>
        <w:rPr/>
      </w:r>
    </w:p>
    <w:p>
      <w:pPr>
        <w:pStyle w:val="Normal"/>
        <w:rPr/>
      </w:pPr>
      <w:r>
        <w:rPr/>
      </w:r>
    </w:p>
    <w:p>
      <w:pPr>
        <w:pStyle w:val="Normal"/>
        <w:rPr/>
      </w:pPr>
      <w:r>
        <w:rPr/>
      </w:r>
    </w:p>
    <w:p>
      <w:pPr>
        <w:pStyle w:val="Normal"/>
        <w:keepNext w:val="true"/>
        <w:numPr>
          <w:ilvl w:val="0"/>
          <w:numId w:val="0"/>
        </w:numPr>
        <w:suppressAutoHyphens w:val="false"/>
        <w:spacing w:before="360" w:after="120"/>
        <w:ind w:hanging="0" w:left="358"/>
        <w:outlineLvl w:val="0"/>
        <w:rPr>
          <w:b/>
          <w:sz w:val="24"/>
          <w:szCs w:val="24"/>
        </w:rPr>
      </w:pPr>
      <w:bookmarkStart w:id="61" w:name="_Toc166835307"/>
      <w:r>
        <w:rPr>
          <w:b/>
          <w:sz w:val="24"/>
          <w:szCs w:val="24"/>
        </w:rPr>
        <w:t>5. Перечень приложений</w:t>
      </w:r>
      <w:bookmarkEnd w:id="61"/>
    </w:p>
    <w:p>
      <w:pPr>
        <w:pStyle w:val="Normal"/>
        <w:rPr>
          <w:sz w:val="24"/>
          <w:szCs w:val="24"/>
        </w:rPr>
      </w:pPr>
      <w:r>
        <w:rPr>
          <w:sz w:val="24"/>
          <w:szCs w:val="24"/>
        </w:rPr>
        <w:t>Приложение №1. Требования к оформлению и составлению сметной документации.</w:t>
      </w:r>
    </w:p>
    <w:p>
      <w:pPr>
        <w:pStyle w:val="Normal"/>
        <w:rPr>
          <w:sz w:val="24"/>
          <w:szCs w:val="24"/>
        </w:rPr>
      </w:pPr>
      <w:r>
        <w:rPr>
          <w:sz w:val="24"/>
          <w:szCs w:val="24"/>
        </w:rPr>
        <w:t>Приложение №2. Графическая часть в составе:</w:t>
      </w:r>
    </w:p>
    <w:p>
      <w:pPr>
        <w:pStyle w:val="Normal"/>
        <w:ind w:firstLine="720"/>
        <w:rPr>
          <w:sz w:val="24"/>
          <w:szCs w:val="24"/>
        </w:rPr>
      </w:pPr>
      <w:r>
        <w:rPr>
          <w:sz w:val="24"/>
          <w:szCs w:val="24"/>
        </w:rPr>
        <w:t xml:space="preserve">Приложение А. Главная схема электрических соединений на напряжения 500кВ и 15,75кВ </w:t>
      </w:r>
    </w:p>
    <w:p>
      <w:pPr>
        <w:pStyle w:val="Normal"/>
        <w:ind w:firstLine="720"/>
        <w:rPr>
          <w:sz w:val="24"/>
          <w:szCs w:val="24"/>
        </w:rPr>
      </w:pPr>
      <w:r>
        <w:rPr>
          <w:sz w:val="24"/>
          <w:szCs w:val="24"/>
        </w:rPr>
        <w:t>Приложение Б. План компоновки ПТУ-3, ПТУ-4, на отм.142,7.</w:t>
      </w:r>
    </w:p>
    <w:p>
      <w:pPr>
        <w:pStyle w:val="Normal"/>
        <w:ind w:firstLine="720"/>
        <w:rPr>
          <w:sz w:val="24"/>
          <w:szCs w:val="24"/>
        </w:rPr>
      </w:pPr>
      <w:r>
        <w:rPr>
          <w:sz w:val="24"/>
          <w:szCs w:val="24"/>
        </w:rPr>
        <w:t>Приложение В. План расположения согласующих трансформаторов</w:t>
      </w:r>
    </w:p>
    <w:p>
      <w:pPr>
        <w:pStyle w:val="Normal"/>
        <w:ind w:firstLine="720"/>
        <w:rPr>
          <w:sz w:val="24"/>
          <w:szCs w:val="24"/>
        </w:rPr>
      </w:pPr>
      <w:r>
        <w:rPr>
          <w:sz w:val="24"/>
          <w:szCs w:val="24"/>
        </w:rPr>
        <w:t>Приложение Г. Габаритные размеры высоковольтного преобразователя частоты ПТУ 15,75 кВ</w:t>
      </w:r>
    </w:p>
    <w:p>
      <w:pPr>
        <w:pStyle w:val="Normal"/>
        <w:ind w:firstLine="720"/>
        <w:rPr>
          <w:sz w:val="24"/>
          <w:szCs w:val="24"/>
        </w:rPr>
      </w:pPr>
      <w:r>
        <w:rPr>
          <w:sz w:val="24"/>
          <w:szCs w:val="24"/>
        </w:rPr>
        <w:t>Приложение Д. Структурная схема ПТУ</w:t>
      </w:r>
    </w:p>
    <w:p>
      <w:pPr>
        <w:pStyle w:val="Normal"/>
        <w:jc w:val="center"/>
        <w:rPr>
          <w:b/>
          <w:sz w:val="24"/>
          <w:szCs w:val="24"/>
        </w:rPr>
      </w:pPr>
      <w:r>
        <w:rPr>
          <w:b/>
          <w:sz w:val="24"/>
          <w:szCs w:val="24"/>
        </w:rPr>
      </w:r>
    </w:p>
    <w:p>
      <w:pPr>
        <w:pStyle w:val="Normal"/>
        <w:widowControl w:val="false"/>
        <w:suppressAutoHyphens w:val="true"/>
        <w:bidi w:val="0"/>
        <w:spacing w:before="120" w:after="60"/>
        <w:contextualSpacing/>
        <w:jc w:val="right"/>
        <w:rPr>
          <w:color w:val="000000"/>
          <w:sz w:val="24"/>
          <w:szCs w:val="24"/>
        </w:rPr>
      </w:pPr>
      <w:r>
        <w:rPr>
          <w:color w:val="000000"/>
          <w:sz w:val="24"/>
          <w:szCs w:val="24"/>
        </w:rPr>
      </w:r>
    </w:p>
    <w:p>
      <w:pPr>
        <w:pStyle w:val="Normal"/>
        <w:shd w:val="clear" w:color="auto" w:fill="FFFFFF" w:themeFill="background1"/>
        <w:spacing w:before="120" w:after="60"/>
        <w:contextualSpacing/>
        <w:jc w:val="right"/>
        <w:rPr>
          <w:color w:val="000000"/>
          <w:sz w:val="24"/>
          <w:szCs w:val="24"/>
        </w:rPr>
      </w:pPr>
      <w:r>
        <w:rPr>
          <w:color w:val="000000"/>
          <w:sz w:val="24"/>
          <w:szCs w:val="24"/>
        </w:rPr>
      </w:r>
    </w:p>
    <w:p>
      <w:pPr>
        <w:pStyle w:val="Normal"/>
        <w:shd w:val="clear" w:color="auto" w:fill="FFFFFF" w:themeFill="background1"/>
        <w:spacing w:before="120" w:after="60"/>
        <w:contextualSpacing/>
        <w:jc w:val="right"/>
        <w:rPr>
          <w:color w:val="000000"/>
          <w:sz w:val="24"/>
          <w:szCs w:val="24"/>
        </w:rPr>
      </w:pPr>
      <w:r>
        <w:rPr>
          <w:color w:val="000000"/>
          <w:sz w:val="24"/>
          <w:szCs w:val="24"/>
        </w:rPr>
      </w:r>
    </w:p>
    <w:p>
      <w:pPr>
        <w:sectPr>
          <w:headerReference w:type="default" r:id="rId18"/>
          <w:headerReference w:type="first" r:id="rId19"/>
          <w:footerReference w:type="default" r:id="rId20"/>
          <w:footerReference w:type="first" r:id="rId21"/>
          <w:type w:val="nextPage"/>
          <w:pgSz w:w="11906" w:h="16838"/>
          <w:pgMar w:left="1418" w:right="851" w:gutter="0" w:header="709" w:top="1134" w:footer="709" w:bottom="940"/>
          <w:pgNumType w:fmt="decimal"/>
          <w:formProt w:val="false"/>
          <w:textDirection w:val="lrTb"/>
          <w:docGrid w:type="default" w:linePitch="299" w:charSpace="114688"/>
        </w:sectPr>
        <w:pStyle w:val="Normal"/>
        <w:shd w:val="clear" w:color="auto" w:fill="FFFFFF" w:themeFill="background1"/>
        <w:spacing w:before="120" w:after="60"/>
        <w:contextualSpacing/>
        <w:jc w:val="right"/>
        <w:rPr>
          <w:color w:val="000000"/>
          <w:sz w:val="24"/>
          <w:szCs w:val="24"/>
        </w:rPr>
      </w:pPr>
      <w:r>
        <w:rPr>
          <w:color w:val="000000"/>
          <w:sz w:val="24"/>
          <w:szCs w:val="24"/>
        </w:rPr>
      </w:r>
    </w:p>
    <w:p>
      <w:pPr>
        <w:pStyle w:val="Normal"/>
        <w:ind w:firstLine="720"/>
        <w:jc w:val="right"/>
        <w:rPr>
          <w:sz w:val="24"/>
          <w:szCs w:val="24"/>
        </w:rPr>
      </w:pPr>
      <w:r>
        <w:rPr>
          <w:sz w:val="24"/>
          <w:szCs w:val="24"/>
        </w:rPr>
        <w:t>Приложение Г. Габаритные размеры высоковольтного преобразователя частоты ПТУ 15,75 кВ</w:t>
      </w:r>
    </w:p>
    <w:p>
      <w:pPr>
        <w:pStyle w:val="Normal"/>
        <w:ind w:firstLine="720"/>
        <w:jc w:val="right"/>
        <w:rPr>
          <w:sz w:val="24"/>
          <w:szCs w:val="24"/>
        </w:rPr>
      </w:pPr>
      <w:r>
        <w:rPr>
          <w:sz w:val="24"/>
          <w:szCs w:val="24"/>
        </w:rPr>
      </w:r>
    </w:p>
    <w:p>
      <w:pPr>
        <w:pStyle w:val="Normal"/>
        <w:jc w:val="center"/>
        <w:rPr>
          <w:rFonts w:eastAsia="Calibri" w:cs="" w:cstheme="minorBidi" w:eastAsiaTheme="minorHAnsi"/>
          <w:sz w:val="22"/>
          <w:szCs w:val="22"/>
          <w:lang w:eastAsia="en-US"/>
        </w:rPr>
      </w:pPr>
      <w:r>
        <w:rPr>
          <w:rFonts w:eastAsia="Calibri"/>
          <w:sz w:val="22"/>
          <w:szCs w:val="22"/>
          <w:lang w:eastAsia="en-US"/>
        </w:rPr>
        <w:t>Рис. Прил.Г.1. Габаритные размеры шкафов высоковольтного преобразователя частоты ПТУ 15,75кВ</w:t>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rPr>
          <w:color w:val="000000"/>
          <w:sz w:val="24"/>
          <w:szCs w:val="24"/>
        </w:rPr>
        <w:drawing>
          <wp:anchor behindDoc="0" distT="0" distB="0" distL="114300" distR="114300" simplePos="0" locked="0" layoutInCell="0" allowOverlap="1" relativeHeight="2">
            <wp:simplePos x="0" y="0"/>
            <wp:positionH relativeFrom="column">
              <wp:posOffset>356235</wp:posOffset>
            </wp:positionH>
            <wp:positionV relativeFrom="paragraph">
              <wp:posOffset>160655</wp:posOffset>
            </wp:positionV>
            <wp:extent cx="9342120" cy="4072890"/>
            <wp:effectExtent l="0" t="0" r="0" b="0"/>
            <wp:wrapSquare wrapText="bothSides"/>
            <wp:docPr id="1"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 descr=""/>
                    <pic:cNvPicPr>
                      <a:picLocks noChangeAspect="1" noChangeArrowheads="1"/>
                    </pic:cNvPicPr>
                  </pic:nvPicPr>
                  <pic:blipFill>
                    <a:blip r:embed="rId22"/>
                    <a:srcRect l="0" t="5191" r="0" b="0"/>
                    <a:stretch>
                      <a:fillRect/>
                    </a:stretch>
                  </pic:blipFill>
                  <pic:spPr bwMode="auto">
                    <a:xfrm>
                      <a:off x="0" y="0"/>
                      <a:ext cx="9342120" cy="4072890"/>
                    </a:xfrm>
                    <a:prstGeom prst="rect">
                      <a:avLst/>
                    </a:prstGeom>
                  </pic:spPr>
                </pic:pic>
              </a:graphicData>
            </a:graphic>
          </wp:anchor>
        </w:drawing>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rPr>
          <w:color w:val="000000"/>
          <w:sz w:val="24"/>
          <w:szCs w:val="24"/>
        </w:rPr>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ab/>
        <w:t>Рис Прил. Г.2. Габаритные размеры шкафов высоковольтного преобразователя частоты ПТУ 15,75кВ</w:t>
      </w:r>
    </w:p>
    <w:p>
      <w:pPr>
        <w:pStyle w:val="Normal"/>
        <w:shd w:val="clear" w:color="auto" w:fill="FFFFFF" w:themeFill="background1"/>
        <w:spacing w:before="120" w:after="60"/>
        <w:contextualSpacing/>
        <w:rPr>
          <w:color w:val="000000"/>
          <w:sz w:val="24"/>
          <w:szCs w:val="24"/>
        </w:rPr>
      </w:pPr>
      <w:r>
        <w:rPr>
          <w:color w:val="000000"/>
          <w:sz w:val="24"/>
          <w:szCs w:val="24"/>
        </w:rPr>
        <w:drawing>
          <wp:anchor behindDoc="0" distT="0" distB="0" distL="114300" distR="114300" simplePos="0" locked="0" layoutInCell="0" allowOverlap="1" relativeHeight="3">
            <wp:simplePos x="0" y="0"/>
            <wp:positionH relativeFrom="column">
              <wp:posOffset>459105</wp:posOffset>
            </wp:positionH>
            <wp:positionV relativeFrom="paragraph">
              <wp:posOffset>200660</wp:posOffset>
            </wp:positionV>
            <wp:extent cx="9023985" cy="2286000"/>
            <wp:effectExtent l="0" t="0" r="0" b="0"/>
            <wp:wrapSquare wrapText="bothSides"/>
            <wp:docPr id="2" name="Рисунок 6" descr="E:\ТКП\13707-2026 (13.01.26алмазов16.01.26)\02.09.26\РЗА АСУ\ПТУ3-компановка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 descr="E:\ТКП\13707-2026 (13.01.26алмазов16.01.26)\02.09.26\РЗА АСУ\ПТУ3-компановка2.bmp"/>
                    <pic:cNvPicPr>
                      <a:picLocks noChangeAspect="1" noChangeArrowheads="1"/>
                    </pic:cNvPicPr>
                  </pic:nvPicPr>
                  <pic:blipFill>
                    <a:blip r:embed="rId23"/>
                    <a:stretch>
                      <a:fillRect/>
                    </a:stretch>
                  </pic:blipFill>
                  <pic:spPr bwMode="auto">
                    <a:xfrm>
                      <a:off x="0" y="0"/>
                      <a:ext cx="9023985" cy="2286000"/>
                    </a:xfrm>
                    <a:prstGeom prst="rect">
                      <a:avLst/>
                    </a:prstGeom>
                  </pic:spPr>
                </pic:pic>
              </a:graphicData>
            </a:graphic>
          </wp:anchor>
        </w:drawing>
      </w:r>
    </w:p>
    <w:p>
      <w:pPr>
        <w:pStyle w:val="Normal"/>
        <w:shd w:val="clear" w:color="auto" w:fill="FFFFFF" w:themeFill="background1"/>
        <w:spacing w:before="120" w:after="60"/>
        <w:contextualSpacing/>
        <w:rPr>
          <w:color w:val="000000"/>
          <w:sz w:val="24"/>
          <w:szCs w:val="24"/>
        </w:rPr>
      </w:pPr>
      <w:r>
        <w:rPr>
          <w:color w:val="000000"/>
          <w:sz w:val="24"/>
          <w:szCs w:val="24"/>
        </w:rPr>
        <w:tab/>
        <w:tab/>
        <w:tab/>
        <w:tab/>
        <w:tab/>
        <w:tab/>
        <w:tab/>
        <w:tab/>
        <w:tab/>
        <w:tab/>
        <w:tab/>
        <w:tab/>
        <w:tab/>
        <w:tab/>
        <w:tab/>
        <w:tab/>
        <w:tab/>
        <w:tab/>
        <w:tab/>
        <w:tab/>
        <w:tab/>
        <w:tab/>
        <w:tab/>
        <w:tab/>
        <w:tab/>
        <w:tab/>
        <w:tab/>
        <w:tab/>
        <w:tab/>
        <w:tab/>
      </w:r>
    </w:p>
    <w:p>
      <w:pPr>
        <w:pStyle w:val="Normal"/>
        <w:widowControl/>
        <w:rPr>
          <w:color w:val="000000"/>
          <w:sz w:val="24"/>
          <w:szCs w:val="24"/>
        </w:rPr>
      </w:pPr>
      <w:r>
        <w:rPr>
          <w:color w:val="000000"/>
          <w:sz w:val="24"/>
          <w:szCs w:val="24"/>
        </w:rPr>
      </w:r>
      <w:r>
        <w:br w:type="page"/>
      </w:r>
    </w:p>
    <w:p>
      <w:pPr>
        <w:pStyle w:val="Normal"/>
        <w:shd w:val="clear" w:color="auto" w:fill="FFFFFF" w:themeFill="background1"/>
        <w:spacing w:before="120" w:after="60"/>
        <w:contextualSpacing/>
        <w:rPr>
          <w:color w:val="000000"/>
          <w:sz w:val="24"/>
          <w:szCs w:val="24"/>
        </w:rPr>
      </w:pPr>
      <w:r>
        <w:rPr>
          <w:b/>
          <w:color w:val="000000"/>
          <w:sz w:val="24"/>
          <w:szCs w:val="24"/>
        </w:rPr>
        <w:t>Приложение Д</w:t>
      </w:r>
      <w:r>
        <w:rPr>
          <w:color w:val="000000"/>
          <w:sz w:val="24"/>
          <w:szCs w:val="24"/>
        </w:rPr>
        <w:t xml:space="preserve"> Структурная схема ПТУ</w:t>
      </w:r>
    </w:p>
    <w:p>
      <w:pPr>
        <w:pStyle w:val="Normal"/>
        <w:shd w:val="clear" w:color="auto" w:fill="FFFFFF" w:themeFill="background1"/>
        <w:spacing w:before="120" w:after="60"/>
        <w:contextualSpacing/>
        <w:rPr>
          <w:color w:val="000000"/>
          <w:sz w:val="24"/>
          <w:szCs w:val="24"/>
        </w:rPr>
      </w:pPr>
      <w:r>
        <w:rPr>
          <w:color w:val="000000"/>
          <w:sz w:val="24"/>
          <w:szCs w:val="24"/>
        </w:rPr>
      </w:r>
    </w:p>
    <w:p>
      <w:pPr>
        <w:pStyle w:val="Normal"/>
        <w:shd w:val="clear" w:color="auto" w:fill="FFFFFF" w:themeFill="background1"/>
        <w:spacing w:before="120" w:after="60"/>
        <w:contextualSpacing/>
        <w:rPr>
          <w:color w:val="000000"/>
          <w:sz w:val="24"/>
          <w:szCs w:val="24"/>
        </w:rPr>
      </w:pPr>
      <w:r>
        <w:drawing>
          <wp:anchor behindDoc="0" distT="0" distB="0" distL="114300" distR="114300" simplePos="0" locked="0" layoutInCell="0" allowOverlap="1" relativeHeight="4">
            <wp:simplePos x="0" y="0"/>
            <wp:positionH relativeFrom="column">
              <wp:posOffset>3175</wp:posOffset>
            </wp:positionH>
            <wp:positionV relativeFrom="paragraph">
              <wp:posOffset>101600</wp:posOffset>
            </wp:positionV>
            <wp:extent cx="8079740" cy="5226050"/>
            <wp:effectExtent l="0" t="0" r="0" b="0"/>
            <wp:wrapTopAndBottom/>
            <wp:docPr id="3"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
                    <pic:cNvPicPr>
                      <a:picLocks noChangeAspect="1" noChangeArrowheads="1"/>
                    </pic:cNvPicPr>
                  </pic:nvPicPr>
                  <pic:blipFill>
                    <a:blip r:embed="rId24"/>
                    <a:stretch>
                      <a:fillRect/>
                    </a:stretch>
                  </pic:blipFill>
                  <pic:spPr bwMode="auto">
                    <a:xfrm>
                      <a:off x="0" y="0"/>
                      <a:ext cx="8079740" cy="5226050"/>
                    </a:xfrm>
                    <a:prstGeom prst="rect">
                      <a:avLst/>
                    </a:prstGeom>
                  </pic:spPr>
                </pic:pic>
              </a:graphicData>
            </a:graphic>
          </wp:anchor>
        </w:drawing>
      </w:r>
      <w:r>
        <w:rPr>
          <w:color w:val="000000"/>
          <w:sz w:val="24"/>
          <w:szCs w:val="24"/>
        </w:rPr>
        <w:tab/>
        <w:tab/>
      </w:r>
    </w:p>
    <w:sectPr>
      <w:headerReference w:type="default" r:id="rId25"/>
      <w:headerReference w:type="first" r:id="rId26"/>
      <w:footerReference w:type="default" r:id="rId27"/>
      <w:footerReference w:type="first" r:id="rId28"/>
      <w:type w:val="nextPage"/>
      <w:pgSz w:orient="landscape" w:w="16838" w:h="11906"/>
      <w:pgMar w:left="940" w:right="1134" w:gutter="0" w:header="709" w:top="1418" w:footer="709" w:bottom="851"/>
      <w:pgNumType w:fmt="decimal"/>
      <w:formProt w:val="false"/>
      <w:textDirection w:val="lrTb"/>
      <w:docGrid w:type="default" w:linePitch="299" w:charSpace="11468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OpenSymbol">
    <w:altName w:val="Arial Unicode MS"/>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Tahoma">
    <w:charset w:val="01"/>
    <w:family w:val="roman"/>
    <w:pitch w:val="variable"/>
  </w:font>
  <w:font w:name="Calibri">
    <w:charset w:val="01"/>
    <w:family w:val="roman"/>
    <w:pitch w:val="variable"/>
  </w:font>
  <w:font w:name="Verdana">
    <w:charset w:val="01"/>
    <w:family w:val="roman"/>
    <w:pitch w:val="variable"/>
  </w:font>
  <w:font w:name="Garamond">
    <w:charset w:val="01"/>
    <w:family w:val="roman"/>
    <w:pitch w:val="variable"/>
  </w:font>
  <w:font w:name="Arial Unicode MS">
    <w:charset w:val="01"/>
    <w:family w:val="roman"/>
    <w:pitch w:val="variable"/>
  </w:font>
  <w:font w:name="ISOCPEUR">
    <w:charset w:val="01"/>
    <w:family w:val="roman"/>
    <w:pitch w:val="variable"/>
  </w:font>
  <w:font w:name="Pragmatica">
    <w:charset w:val="01"/>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11</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p>
    <w:pPr>
      <w:pStyle w:val="Normal"/>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875" w:leader="none"/>
        <w:tab w:val="center" w:pos="4153" w:leader="none"/>
        <w:tab w:val="right" w:pos="8306" w:leader="none"/>
      </w:tabs>
      <w:jc w:val="right"/>
      <w:rPr/>
    </w:pPr>
    <w:r>
      <w:rPr/>
      <w:t xml:space="preserve">                                                                                                                                                   </w:t>
    </w:r>
    <w:r>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2"/>
      <w:numFmt w:val="decimal"/>
      <w:lvlText w:val="%1."/>
      <w:lvlJc w:val="left"/>
      <w:pPr>
        <w:tabs>
          <w:tab w:val="num" w:pos="1353"/>
        </w:tabs>
        <w:ind w:left="1353" w:hanging="360"/>
      </w:pPr>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decimal"/>
      <w:lvlText w:val="%1."/>
      <w:lvlJc w:val="left"/>
      <w:pPr>
        <w:tabs>
          <w:tab w:val="num" w:pos="720"/>
        </w:tabs>
        <w:ind w:left="720" w:hanging="360"/>
      </w:pPr>
      <w:rPr/>
    </w:lvl>
    <w:lvl w:ilvl="1">
      <w:start w:val="0"/>
      <w:numFmt w:val="none"/>
      <w:suff w:val="nothing"/>
      <w:lvlText w:val=""/>
      <w:lvlJc w:val="left"/>
      <w:pPr>
        <w:tabs>
          <w:tab w:val="num" w:pos="0"/>
        </w:tabs>
        <w:ind w:left="0" w:hanging="0"/>
      </w:pPr>
      <w:rPr/>
    </w:lvl>
    <w:lvl w:ilvl="2">
      <w:start w:val="0"/>
      <w:numFmt w:val="none"/>
      <w:suff w:val="nothing"/>
      <w:lvlText w:val=""/>
      <w:lvlJc w:val="left"/>
      <w:pPr>
        <w:tabs>
          <w:tab w:val="num" w:pos="0"/>
        </w:tabs>
        <w:ind w:left="0" w:hanging="0"/>
      </w:pPr>
      <w:rPr/>
    </w:lvl>
    <w:lvl w:ilvl="3">
      <w:start w:val="0"/>
      <w:numFmt w:val="none"/>
      <w:suff w:val="nothing"/>
      <w:lvlText w:val=""/>
      <w:lvlJc w:val="left"/>
      <w:pPr>
        <w:tabs>
          <w:tab w:val="num" w:pos="0"/>
        </w:tabs>
        <w:ind w:left="0" w:hanging="0"/>
      </w:pPr>
      <w:rPr/>
    </w:lvl>
    <w:lvl w:ilvl="4">
      <w:start w:val="0"/>
      <w:numFmt w:val="none"/>
      <w:suff w:val="nothing"/>
      <w:lvlText w:val=""/>
      <w:lvlJc w:val="left"/>
      <w:pPr>
        <w:tabs>
          <w:tab w:val="num" w:pos="0"/>
        </w:tabs>
        <w:ind w:left="0" w:hanging="0"/>
      </w:pPr>
      <w:rPr/>
    </w:lvl>
    <w:lvl w:ilvl="5">
      <w:start w:val="0"/>
      <w:numFmt w:val="none"/>
      <w:suff w:val="nothing"/>
      <w:lvlText w:val=""/>
      <w:lvlJc w:val="left"/>
      <w:pPr>
        <w:tabs>
          <w:tab w:val="num" w:pos="0"/>
        </w:tabs>
        <w:ind w:left="0" w:hanging="0"/>
      </w:pPr>
      <w:rPr/>
    </w:lvl>
    <w:lvl w:ilvl="6">
      <w:start w:val="0"/>
      <w:numFmt w:val="none"/>
      <w:suff w:val="nothing"/>
      <w:lvlText w:val=""/>
      <w:lvlJc w:val="left"/>
      <w:pPr>
        <w:tabs>
          <w:tab w:val="num" w:pos="0"/>
        </w:tabs>
        <w:ind w:left="0" w:hanging="0"/>
      </w:pPr>
      <w:rPr/>
    </w:lvl>
    <w:lvl w:ilvl="7">
      <w:start w:val="0"/>
      <w:numFmt w:val="none"/>
      <w:suff w:val="nothing"/>
      <w:lvlText w:val=""/>
      <w:lvlJc w:val="left"/>
      <w:pPr>
        <w:tabs>
          <w:tab w:val="num" w:pos="0"/>
        </w:tabs>
        <w:ind w:left="0" w:hanging="0"/>
      </w:pPr>
      <w:rPr/>
    </w:lvl>
    <w:lvl w:ilvl="8">
      <w:start w:val="0"/>
      <w:numFmt w:val="none"/>
      <w:suff w:val="nothing"/>
      <w:lvlText w:val=""/>
      <w:lvlJc w:val="left"/>
      <w:pPr>
        <w:tabs>
          <w:tab w:val="num" w:pos="0"/>
        </w:tabs>
        <w:ind w:left="0" w:hanging="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decimal"/>
      <w:lvlText w:val="%1."/>
      <w:lvlJc w:val="left"/>
      <w:pPr>
        <w:tabs>
          <w:tab w:val="num" w:pos="0"/>
        </w:tabs>
        <w:ind w:left="5038" w:hanging="360"/>
      </w:pPr>
      <w:rPr>
        <w:smallCaps w:val="false"/>
        <w:caps w:val="false"/>
        <w:dstrike w:val="false"/>
        <w:strike w:val="false"/>
        <w:vertAlign w:val="baseline"/>
        <w:position w:val="0"/>
        <w:sz w:val="28"/>
        <w:sz w:val="28"/>
        <w:spacing w:val="0"/>
        <w:i w:val="false"/>
        <w:u w:val="none"/>
        <w:b/>
        <w:effect w:val="none"/>
        <w:szCs w:val="28"/>
        <w:iCs w:val="false"/>
        <w:bCs w:val="false"/>
        <w:em w:val="none"/>
        <w:vanish w:val="false"/>
        <w:rFonts w:cs="Times New Roman"/>
        <w:color w:val="000000"/>
      </w:rPr>
    </w:lvl>
    <w:lvl w:ilvl="1">
      <w:start w:val="1"/>
      <w:numFmt w:val="decimal"/>
      <w:lvlText w:val="%1.%2."/>
      <w:lvlJc w:val="left"/>
      <w:pPr>
        <w:tabs>
          <w:tab w:val="num" w:pos="0"/>
        </w:tabs>
        <w:ind w:left="792" w:hanging="432"/>
      </w:pPr>
      <w:rPr>
        <w:sz w:val="24"/>
        <w:i w:val="false"/>
        <w:b/>
        <w:szCs w:val="24"/>
        <w:iCs/>
        <w:bCs/>
      </w:rPr>
    </w:lvl>
    <w:lvl w:ilvl="2">
      <w:start w:val="1"/>
      <w:numFmt w:val="decimal"/>
      <w:lvlText w:val="%1.%2.%3."/>
      <w:lvlJc w:val="left"/>
      <w:pPr>
        <w:tabs>
          <w:tab w:val="num" w:pos="0"/>
        </w:tabs>
        <w:ind w:left="1224" w:hanging="504"/>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9">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574" w:hanging="432"/>
      </w:pPr>
      <w:rPr>
        <w:sz w:val="24"/>
        <w:b w:val="false"/>
        <w:szCs w:val="24"/>
        <w:bCs/>
      </w:rPr>
    </w:lvl>
    <w:lvl w:ilvl="2">
      <w:start w:val="1"/>
      <w:numFmt w:val="decimal"/>
      <w:lvlText w:val="%1.%2.%3."/>
      <w:lvlJc w:val="left"/>
      <w:pPr>
        <w:tabs>
          <w:tab w:val="num" w:pos="0"/>
        </w:tabs>
        <w:ind w:left="754"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855" w:hanging="360"/>
      </w:pPr>
      <w:rPr>
        <w:rFonts w:ascii="Times New Roman" w:hAnsi="Times New Roman" w:cs="Times New Roman" w:hint="default"/>
      </w:rPr>
    </w:lvl>
    <w:lvl w:ilvl="1">
      <w:start w:val="1"/>
      <w:numFmt w:val="bullet"/>
      <w:lvlText w:val="o"/>
      <w:lvlJc w:val="left"/>
      <w:pPr>
        <w:tabs>
          <w:tab w:val="num" w:pos="0"/>
        </w:tabs>
        <w:ind w:left="2575" w:hanging="360"/>
      </w:pPr>
      <w:rPr>
        <w:rFonts w:ascii="Courier New" w:hAnsi="Courier New" w:cs="Courier New" w:hint="default"/>
      </w:rPr>
    </w:lvl>
    <w:lvl w:ilvl="2">
      <w:start w:val="1"/>
      <w:numFmt w:val="bullet"/>
      <w:lvlText w:val=""/>
      <w:lvlJc w:val="left"/>
      <w:pPr>
        <w:tabs>
          <w:tab w:val="num" w:pos="0"/>
        </w:tabs>
        <w:ind w:left="3295" w:hanging="360"/>
      </w:pPr>
      <w:rPr>
        <w:rFonts w:ascii="Wingdings" w:hAnsi="Wingdings" w:cs="Wingdings" w:hint="default"/>
      </w:rPr>
    </w:lvl>
    <w:lvl w:ilvl="3">
      <w:start w:val="1"/>
      <w:numFmt w:val="bullet"/>
      <w:lvlText w:val=""/>
      <w:lvlJc w:val="left"/>
      <w:pPr>
        <w:tabs>
          <w:tab w:val="num" w:pos="0"/>
        </w:tabs>
        <w:ind w:left="4015" w:hanging="360"/>
      </w:pPr>
      <w:rPr>
        <w:rFonts w:ascii="Symbol" w:hAnsi="Symbol" w:cs="Symbol" w:hint="default"/>
      </w:rPr>
    </w:lvl>
    <w:lvl w:ilvl="4">
      <w:start w:val="1"/>
      <w:numFmt w:val="bullet"/>
      <w:lvlText w:val="o"/>
      <w:lvlJc w:val="left"/>
      <w:pPr>
        <w:tabs>
          <w:tab w:val="num" w:pos="0"/>
        </w:tabs>
        <w:ind w:left="4735" w:hanging="360"/>
      </w:pPr>
      <w:rPr>
        <w:rFonts w:ascii="Courier New" w:hAnsi="Courier New" w:cs="Courier New" w:hint="default"/>
      </w:rPr>
    </w:lvl>
    <w:lvl w:ilvl="5">
      <w:start w:val="1"/>
      <w:numFmt w:val="bullet"/>
      <w:lvlText w:val=""/>
      <w:lvlJc w:val="left"/>
      <w:pPr>
        <w:tabs>
          <w:tab w:val="num" w:pos="0"/>
        </w:tabs>
        <w:ind w:left="5455" w:hanging="360"/>
      </w:pPr>
      <w:rPr>
        <w:rFonts w:ascii="Wingdings" w:hAnsi="Wingdings" w:cs="Wingdings" w:hint="default"/>
      </w:rPr>
    </w:lvl>
    <w:lvl w:ilvl="6">
      <w:start w:val="1"/>
      <w:numFmt w:val="bullet"/>
      <w:lvlText w:val=""/>
      <w:lvlJc w:val="left"/>
      <w:pPr>
        <w:tabs>
          <w:tab w:val="num" w:pos="0"/>
        </w:tabs>
        <w:ind w:left="6175" w:hanging="360"/>
      </w:pPr>
      <w:rPr>
        <w:rFonts w:ascii="Symbol" w:hAnsi="Symbol" w:cs="Symbol" w:hint="default"/>
      </w:rPr>
    </w:lvl>
    <w:lvl w:ilvl="7">
      <w:start w:val="1"/>
      <w:numFmt w:val="bullet"/>
      <w:lvlText w:val="o"/>
      <w:lvlJc w:val="left"/>
      <w:pPr>
        <w:tabs>
          <w:tab w:val="num" w:pos="0"/>
        </w:tabs>
        <w:ind w:left="6895" w:hanging="360"/>
      </w:pPr>
      <w:rPr>
        <w:rFonts w:ascii="Courier New" w:hAnsi="Courier New" w:cs="Courier New" w:hint="default"/>
      </w:rPr>
    </w:lvl>
    <w:lvl w:ilvl="8">
      <w:start w:val="1"/>
      <w:numFmt w:val="bullet"/>
      <w:lvlText w:val=""/>
      <w:lvlJc w:val="left"/>
      <w:pPr>
        <w:tabs>
          <w:tab w:val="num" w:pos="0"/>
        </w:tabs>
        <w:ind w:left="7615" w:hanging="360"/>
      </w:pPr>
      <w:rPr>
        <w:rFonts w:ascii="Wingdings" w:hAnsi="Wingdings" w:cs="Wingdings" w:hint="default"/>
      </w:rPr>
    </w:lvl>
  </w:abstractNum>
  <w:abstractNum w:abstractNumId="11">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lvl w:ilvl="0">
      <w:start w:val="3"/>
      <w:numFmt w:val="decimal"/>
      <w:lvlText w:val="%1."/>
      <w:lvlJc w:val="left"/>
      <w:pPr>
        <w:tabs>
          <w:tab w:val="num" w:pos="0"/>
        </w:tabs>
        <w:ind w:left="360" w:hanging="360"/>
      </w:pPr>
      <w:rPr>
        <w:i w:val="false"/>
        <w:rFonts w:eastAsia="Calibri"/>
      </w:rPr>
    </w:lvl>
    <w:lvl w:ilvl="1">
      <w:start w:val="1"/>
      <w:numFmt w:val="decimal"/>
      <w:lvlText w:val="%1.%2."/>
      <w:lvlJc w:val="left"/>
      <w:pPr>
        <w:tabs>
          <w:tab w:val="num" w:pos="0"/>
        </w:tabs>
        <w:ind w:left="720" w:hanging="360"/>
      </w:pPr>
      <w:rPr>
        <w:i w:val="false"/>
        <w:rFonts w:eastAsia="Calibri"/>
      </w:rPr>
    </w:lvl>
    <w:lvl w:ilvl="2">
      <w:start w:val="1"/>
      <w:numFmt w:val="decimal"/>
      <w:lvlText w:val="%1.%2.%3."/>
      <w:lvlJc w:val="left"/>
      <w:pPr>
        <w:tabs>
          <w:tab w:val="num" w:pos="0"/>
        </w:tabs>
        <w:ind w:left="1440" w:hanging="720"/>
      </w:pPr>
      <w:rPr>
        <w:i w:val="false"/>
        <w:rFonts w:eastAsia="Calibri"/>
      </w:rPr>
    </w:lvl>
    <w:lvl w:ilvl="3">
      <w:start w:val="1"/>
      <w:numFmt w:val="decimal"/>
      <w:lvlText w:val="%1.%2.%3.%4."/>
      <w:lvlJc w:val="left"/>
      <w:pPr>
        <w:tabs>
          <w:tab w:val="num" w:pos="0"/>
        </w:tabs>
        <w:ind w:left="1800" w:hanging="720"/>
      </w:pPr>
      <w:rPr>
        <w:i w:val="false"/>
        <w:rFonts w:eastAsia="Calibri"/>
      </w:rPr>
    </w:lvl>
    <w:lvl w:ilvl="4">
      <w:start w:val="1"/>
      <w:numFmt w:val="decimal"/>
      <w:lvlText w:val="%1.%2.%3.%4.%5."/>
      <w:lvlJc w:val="left"/>
      <w:pPr>
        <w:tabs>
          <w:tab w:val="num" w:pos="0"/>
        </w:tabs>
        <w:ind w:left="2520" w:hanging="1080"/>
      </w:pPr>
      <w:rPr>
        <w:i w:val="false"/>
        <w:rFonts w:eastAsia="Calibri"/>
      </w:rPr>
    </w:lvl>
    <w:lvl w:ilvl="5">
      <w:start w:val="1"/>
      <w:numFmt w:val="decimal"/>
      <w:lvlText w:val="%1.%2.%3.%4.%5.%6."/>
      <w:lvlJc w:val="left"/>
      <w:pPr>
        <w:tabs>
          <w:tab w:val="num" w:pos="0"/>
        </w:tabs>
        <w:ind w:left="2880" w:hanging="1080"/>
      </w:pPr>
      <w:rPr>
        <w:i w:val="false"/>
        <w:rFonts w:eastAsia="Calibri"/>
      </w:rPr>
    </w:lvl>
    <w:lvl w:ilvl="6">
      <w:start w:val="1"/>
      <w:numFmt w:val="decimal"/>
      <w:lvlText w:val="%1.%2.%3.%4.%5.%6.%7."/>
      <w:lvlJc w:val="left"/>
      <w:pPr>
        <w:tabs>
          <w:tab w:val="num" w:pos="0"/>
        </w:tabs>
        <w:ind w:left="3600" w:hanging="1440"/>
      </w:pPr>
      <w:rPr>
        <w:i w:val="false"/>
        <w:rFonts w:eastAsia="Calibri"/>
      </w:rPr>
    </w:lvl>
    <w:lvl w:ilvl="7">
      <w:start w:val="1"/>
      <w:numFmt w:val="decimal"/>
      <w:lvlText w:val="%1.%2.%3.%4.%5.%6.%7.%8."/>
      <w:lvlJc w:val="left"/>
      <w:pPr>
        <w:tabs>
          <w:tab w:val="num" w:pos="0"/>
        </w:tabs>
        <w:ind w:left="3960" w:hanging="1440"/>
      </w:pPr>
      <w:rPr>
        <w:i w:val="false"/>
        <w:rFonts w:eastAsia="Calibri"/>
      </w:rPr>
    </w:lvl>
    <w:lvl w:ilvl="8">
      <w:start w:val="1"/>
      <w:numFmt w:val="decimal"/>
      <w:lvlText w:val="%1.%2.%3.%4.%5.%6.%7.%8.%9."/>
      <w:lvlJc w:val="left"/>
      <w:pPr>
        <w:tabs>
          <w:tab w:val="num" w:pos="0"/>
        </w:tabs>
        <w:ind w:left="4680" w:hanging="1800"/>
      </w:pPr>
      <w:rPr>
        <w:i w:val="false"/>
        <w:rFonts w:eastAsia="Calibri"/>
      </w:rPr>
    </w:lvl>
  </w:abstractNum>
  <w:abstractNum w:abstractNumId="1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86"/>
        </w:tabs>
        <w:ind w:left="786" w:hanging="360"/>
      </w:pPr>
      <w:rPr>
        <w:rFonts w:ascii="Symbol" w:hAnsi="Symbol" w:cs="Symbol" w:hint="default"/>
      </w:rPr>
    </w:lvl>
    <w:lvl w:ilvl="1">
      <w:start w:val="1"/>
      <w:numFmt w:val="bullet"/>
      <w:lvlText w:val="o"/>
      <w:lvlJc w:val="left"/>
      <w:pPr>
        <w:tabs>
          <w:tab w:val="num" w:pos="1582"/>
        </w:tabs>
        <w:ind w:left="1582" w:hanging="360"/>
      </w:pPr>
      <w:rPr>
        <w:rFonts w:ascii="Courier New" w:hAnsi="Courier New" w:cs="Courier New" w:hint="default"/>
      </w:rPr>
    </w:lvl>
    <w:lvl w:ilvl="2">
      <w:start w:val="1"/>
      <w:numFmt w:val="bullet"/>
      <w:lvlText w:val=""/>
      <w:lvlJc w:val="left"/>
      <w:pPr>
        <w:tabs>
          <w:tab w:val="num" w:pos="2302"/>
        </w:tabs>
        <w:ind w:left="2302" w:hanging="360"/>
      </w:pPr>
      <w:rPr>
        <w:rFonts w:ascii="Wingdings" w:hAnsi="Wingdings" w:cs="Wingdings" w:hint="default"/>
      </w:rPr>
    </w:lvl>
    <w:lvl w:ilvl="3">
      <w:start w:val="1"/>
      <w:numFmt w:val="bullet"/>
      <w:lvlText w:val=""/>
      <w:lvlJc w:val="left"/>
      <w:pPr>
        <w:tabs>
          <w:tab w:val="num" w:pos="3022"/>
        </w:tabs>
        <w:ind w:left="3022" w:hanging="360"/>
      </w:pPr>
      <w:rPr>
        <w:rFonts w:ascii="Symbol" w:hAnsi="Symbol" w:cs="Symbol" w:hint="default"/>
      </w:rPr>
    </w:lvl>
    <w:lvl w:ilvl="4">
      <w:start w:val="1"/>
      <w:numFmt w:val="bullet"/>
      <w:lvlText w:val="o"/>
      <w:lvlJc w:val="left"/>
      <w:pPr>
        <w:tabs>
          <w:tab w:val="num" w:pos="3742"/>
        </w:tabs>
        <w:ind w:left="3742" w:hanging="360"/>
      </w:pPr>
      <w:rPr>
        <w:rFonts w:ascii="Courier New" w:hAnsi="Courier New" w:cs="Courier New" w:hint="default"/>
      </w:rPr>
    </w:lvl>
    <w:lvl w:ilvl="5">
      <w:start w:val="1"/>
      <w:numFmt w:val="bullet"/>
      <w:lvlText w:val=""/>
      <w:lvlJc w:val="left"/>
      <w:pPr>
        <w:tabs>
          <w:tab w:val="num" w:pos="4462"/>
        </w:tabs>
        <w:ind w:left="4462" w:hanging="360"/>
      </w:pPr>
      <w:rPr>
        <w:rFonts w:ascii="Wingdings" w:hAnsi="Wingdings" w:cs="Wingdings" w:hint="default"/>
      </w:rPr>
    </w:lvl>
    <w:lvl w:ilvl="6">
      <w:start w:val="1"/>
      <w:numFmt w:val="bullet"/>
      <w:lvlText w:val=""/>
      <w:lvlJc w:val="left"/>
      <w:pPr>
        <w:tabs>
          <w:tab w:val="num" w:pos="5182"/>
        </w:tabs>
        <w:ind w:left="5182" w:hanging="360"/>
      </w:pPr>
      <w:rPr>
        <w:rFonts w:ascii="Symbol" w:hAnsi="Symbol" w:cs="Symbol" w:hint="default"/>
      </w:rPr>
    </w:lvl>
    <w:lvl w:ilvl="7">
      <w:start w:val="1"/>
      <w:numFmt w:val="bullet"/>
      <w:lvlText w:val="o"/>
      <w:lvlJc w:val="left"/>
      <w:pPr>
        <w:tabs>
          <w:tab w:val="num" w:pos="5902"/>
        </w:tabs>
        <w:ind w:left="5902" w:hanging="360"/>
      </w:pPr>
      <w:rPr>
        <w:rFonts w:ascii="Courier New" w:hAnsi="Courier New" w:cs="Courier New" w:hint="default"/>
      </w:rPr>
    </w:lvl>
    <w:lvl w:ilvl="8">
      <w:start w:val="1"/>
      <w:numFmt w:val="bullet"/>
      <w:lvlText w:val=""/>
      <w:lvlJc w:val="left"/>
      <w:pPr>
        <w:tabs>
          <w:tab w:val="num" w:pos="6622"/>
        </w:tabs>
        <w:ind w:left="6622" w:hanging="360"/>
      </w:pPr>
      <w:rPr>
        <w:rFonts w:ascii="Wingdings" w:hAnsi="Wingdings" w:cs="Wingdings" w:hint="default"/>
      </w:rPr>
    </w:lvl>
  </w:abstractNum>
  <w:abstractNum w:abstractNumId="16">
    <w:lvl w:ilvl="0">
      <w:start w:val="1"/>
      <w:numFmt w:val="bullet"/>
      <w:lvlText w:val=""/>
      <w:lvlJc w:val="left"/>
      <w:pPr>
        <w:tabs>
          <w:tab w:val="num" w:pos="1068"/>
        </w:tabs>
        <w:ind w:left="1068" w:hanging="360"/>
      </w:pPr>
      <w:rPr>
        <w:rFonts w:ascii="Symbol" w:hAnsi="Symbol" w:cs="Symbol" w:hint="default"/>
      </w:rPr>
    </w:lvl>
    <w:lvl w:ilvl="1">
      <w:start w:val="1"/>
      <w:numFmt w:val="decimal"/>
      <w:lvlText w:val="%1.%2."/>
      <w:lvlJc w:val="left"/>
      <w:pPr>
        <w:tabs>
          <w:tab w:val="num" w:pos="365"/>
        </w:tabs>
        <w:ind w:left="365" w:hanging="432"/>
      </w:pPr>
      <w:rPr/>
    </w:lvl>
    <w:lvl w:ilvl="2">
      <w:start w:val="1"/>
      <w:numFmt w:val="decimal"/>
      <w:lvlText w:val="%1.%2.%3."/>
      <w:lvlJc w:val="left"/>
      <w:pPr>
        <w:tabs>
          <w:tab w:val="num" w:pos="797"/>
        </w:tabs>
        <w:ind w:left="797" w:hanging="504"/>
      </w:pPr>
      <w:rPr/>
    </w:lvl>
    <w:lvl w:ilvl="3">
      <w:start w:val="1"/>
      <w:numFmt w:val="decimal"/>
      <w:lvlText w:val="%1.%2.%3.%4."/>
      <w:lvlJc w:val="left"/>
      <w:pPr>
        <w:tabs>
          <w:tab w:val="num" w:pos="1373"/>
        </w:tabs>
        <w:ind w:left="1301" w:hanging="648"/>
      </w:pPr>
      <w:rPr/>
    </w:lvl>
    <w:lvl w:ilvl="4">
      <w:start w:val="1"/>
      <w:numFmt w:val="decimal"/>
      <w:lvlText w:val="%1.%2.%3.%4.%5."/>
      <w:lvlJc w:val="left"/>
      <w:pPr>
        <w:tabs>
          <w:tab w:val="num" w:pos="2093"/>
        </w:tabs>
        <w:ind w:left="1805" w:hanging="792"/>
      </w:pPr>
      <w:rPr/>
    </w:lvl>
    <w:lvl w:ilvl="5">
      <w:start w:val="1"/>
      <w:numFmt w:val="decimal"/>
      <w:lvlText w:val="%1.%2.%3.%4.%5.%6."/>
      <w:lvlJc w:val="left"/>
      <w:pPr>
        <w:tabs>
          <w:tab w:val="num" w:pos="2453"/>
        </w:tabs>
        <w:ind w:left="2309" w:hanging="936"/>
      </w:pPr>
      <w:rPr/>
    </w:lvl>
    <w:lvl w:ilvl="6">
      <w:start w:val="1"/>
      <w:numFmt w:val="decimal"/>
      <w:lvlText w:val="%1.%2.%3.%4.%5.%6.%7."/>
      <w:lvlJc w:val="left"/>
      <w:pPr>
        <w:tabs>
          <w:tab w:val="num" w:pos="3173"/>
        </w:tabs>
        <w:ind w:left="2813" w:hanging="1080"/>
      </w:pPr>
      <w:rPr/>
    </w:lvl>
    <w:lvl w:ilvl="7">
      <w:start w:val="1"/>
      <w:numFmt w:val="decimal"/>
      <w:lvlText w:val="%1.%2.%3.%4.%5.%6.%7.%8."/>
      <w:lvlJc w:val="left"/>
      <w:pPr>
        <w:tabs>
          <w:tab w:val="num" w:pos="3533"/>
        </w:tabs>
        <w:ind w:left="3317" w:hanging="1224"/>
      </w:pPr>
      <w:rPr/>
    </w:lvl>
    <w:lvl w:ilvl="8">
      <w:start w:val="1"/>
      <w:numFmt w:val="decimal"/>
      <w:lvlText w:val="%1.%2.%3.%4.%5.%6.%7.%8.%9."/>
      <w:lvlJc w:val="left"/>
      <w:pPr>
        <w:tabs>
          <w:tab w:val="num" w:pos="4253"/>
        </w:tabs>
        <w:ind w:left="3893" w:hanging="1440"/>
      </w:pPr>
      <w:rPr/>
    </w:lvl>
  </w:abstractNum>
  <w:abstractNum w:abstractNumId="17">
    <w:lvl w:ilvl="0">
      <w:start w:val="1"/>
      <w:numFmt w:val="bullet"/>
      <w:lvlText w:val="-"/>
      <w:lvlJc w:val="left"/>
      <w:pPr>
        <w:tabs>
          <w:tab w:val="num" w:pos="643"/>
        </w:tabs>
        <w:ind w:left="643" w:hanging="283"/>
      </w:pPr>
      <w:rPr>
        <w:rFonts w:ascii="Times New Roman" w:hAnsi="Times New Roman" w:cs="Times New Roman" w:hint="default"/>
      </w:rPr>
    </w:lvl>
    <w:lvl w:ilvl="1">
      <w:start w:val="1"/>
      <w:numFmt w:val="lowerLetter"/>
      <w:lvlText w:val="%2)"/>
      <w:lvlJc w:val="left"/>
      <w:pPr>
        <w:tabs>
          <w:tab w:val="num" w:pos="2490"/>
        </w:tabs>
        <w:ind w:left="2490" w:hanging="141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semiHidden="1" w:unhideWhenUsed="1" w:qFormat="1"/>
    <w:lsdException w:name="index 1" w:uiPriority="99"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qFormat="1"/>
    <w:lsdException w:name="annotation text" w:uiPriority="99" w:semiHidden="1" w:unhideWhenUsed="1" w:qFormat="1"/>
    <w:lsdException w:name="header" w:semiHidden="1" w:unhideWhenUsed="1"/>
    <w:lsdException w:name="footer" w:semiHidden="1" w:unhideWhenUsed="1"/>
    <w:lsdException w:name="index heading" w:semiHidden="1" w:unhideWhenUsed="1" w:qFormat="1"/>
    <w:lsdException w:name="caption" w:uiPriority="35" w:semiHidden="1" w:unhideWhenUsed="1" w:qFormat="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99"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qFormat="1"/>
    <w:lsdException w:name="HTML Top of Form" w:semiHidden="1" w:unhideWhenUsed="1"/>
    <w:lsdException w:name="HTML Bottom of Form"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link w:val="111"/>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link w:val="211"/>
    <w:qFormat/>
    <w:rsid w:val="00fe4469"/>
    <w:pPr>
      <w:keepLines w:val="false"/>
      <w:widowControl/>
      <w:numPr>
        <w:ilvl w:val="1"/>
        <w:numId w:val="8"/>
      </w:numPr>
      <w:suppressAutoHyphens w:val="false"/>
      <w:spacing w:before="120" w:after="60"/>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unhideWhenUsed/>
    <w:qFormat/>
    <w:rsid w:val="004b006b"/>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paragraph" w:styleId="Heading5">
    <w:name w:val="Heading 5"/>
    <w:basedOn w:val="Normal"/>
    <w:link w:val="5"/>
    <w:uiPriority w:val="9"/>
    <w:qFormat/>
    <w:rsid w:val="00fe4469"/>
    <w:pPr>
      <w:widowControl/>
      <w:suppressAutoHyphens w:val="false"/>
      <w:spacing w:before="240" w:after="60"/>
      <w:outlineLvl w:val="4"/>
    </w:pPr>
    <w:rPr>
      <w:b/>
      <w:bCs/>
      <w:i/>
      <w:iCs/>
      <w:sz w:val="26"/>
      <w:szCs w:val="26"/>
      <w:lang w:val="x-none" w:eastAsia="x-none"/>
    </w:rPr>
  </w:style>
  <w:style w:type="paragraph" w:styleId="Heading6">
    <w:name w:val="Heading 6"/>
    <w:basedOn w:val="Normal"/>
    <w:link w:val="6"/>
    <w:uiPriority w:val="9"/>
    <w:qFormat/>
    <w:rsid w:val="00fe4469"/>
    <w:pPr>
      <w:keepNext w:val="true"/>
      <w:keepLines/>
      <w:widowControl/>
      <w:suppressAutoHyphens w:val="false"/>
      <w:spacing w:before="200" w:after="0"/>
      <w:outlineLvl w:val="5"/>
    </w:pPr>
    <w:rPr>
      <w:rFonts w:ascii="Cambria" w:hAnsi="Cambria"/>
      <w:i/>
      <w:iCs/>
      <w:color w:val="243F60"/>
      <w:lang w:val="x-none" w:eastAsia="x-none"/>
    </w:rPr>
  </w:style>
  <w:style w:type="paragraph" w:styleId="Heading7">
    <w:name w:val="Heading 7"/>
    <w:basedOn w:val="Normal"/>
    <w:link w:val="7"/>
    <w:uiPriority w:val="9"/>
    <w:qFormat/>
    <w:rsid w:val="00fe4469"/>
    <w:pPr>
      <w:keepNext w:val="true"/>
      <w:keepLines/>
      <w:widowControl/>
      <w:suppressAutoHyphens w:val="false"/>
      <w:spacing w:before="200" w:after="0"/>
      <w:outlineLvl w:val="6"/>
    </w:pPr>
    <w:rPr>
      <w:rFonts w:ascii="Cambria" w:hAnsi="Cambria"/>
      <w:i/>
      <w:iCs/>
      <w:color w:val="404040"/>
      <w:lang w:val="x-none" w:eastAsia="x-none"/>
    </w:rPr>
  </w:style>
  <w:style w:type="paragraph" w:styleId="Heading8">
    <w:name w:val="Heading 8"/>
    <w:basedOn w:val="Normal"/>
    <w:link w:val="8"/>
    <w:uiPriority w:val="9"/>
    <w:qFormat/>
    <w:rsid w:val="00fe4469"/>
    <w:pPr>
      <w:keepNext w:val="true"/>
      <w:keepLines/>
      <w:widowControl/>
      <w:suppressAutoHyphens w:val="false"/>
      <w:spacing w:before="200" w:after="0"/>
      <w:outlineLvl w:val="7"/>
    </w:pPr>
    <w:rPr>
      <w:rFonts w:ascii="Cambria" w:hAnsi="Cambria"/>
      <w:color w:val="4F81BD"/>
      <w:lang w:val="x-none" w:eastAsia="x-none"/>
    </w:rPr>
  </w:style>
  <w:style w:type="paragraph" w:styleId="Heading9">
    <w:name w:val="Heading 9"/>
    <w:basedOn w:val="Normal"/>
    <w:link w:val="9"/>
    <w:qFormat/>
    <w:rsid w:val="00fe4469"/>
    <w:pPr>
      <w:widowControl/>
      <w:suppressAutoHyphens w:val="false"/>
      <w:spacing w:before="240" w:after="60"/>
      <w:outlineLvl w:val="8"/>
    </w:pPr>
    <w:rPr>
      <w:rFonts w:ascii="Arial" w:hAnsi="Arial"/>
      <w:sz w:val="22"/>
      <w:szCs w:val="22"/>
      <w:lang w:val="x-none" w:eastAsia="x-none"/>
    </w:rPr>
  </w:style>
  <w:style w:type="character" w:styleId="DefaultParagraphFont" w:default="1">
    <w:name w:val="Default Paragraph Font"/>
    <w:uiPriority w:val="1"/>
    <w:semiHidden/>
    <w:unhideWhenUsed/>
    <w:qFormat/>
    <w:rPr/>
  </w:style>
  <w:style w:type="character" w:styleId="Style" w:customStyle="1">
    <w:name w:val="Заголовок Знак"/>
    <w:qFormat/>
    <w:locked/>
    <w:rsid w:val="00565582"/>
    <w:rPr>
      <w:b/>
      <w:bCs/>
      <w:sz w:val="24"/>
      <w:szCs w:val="24"/>
      <w:lang w:val="ru-RU" w:eastAsia="ru-RU" w:bidi="ar-SA"/>
    </w:rPr>
  </w:style>
  <w:style w:type="character" w:styleId="Style1"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uiPriority w:val="99"/>
    <w:qFormat/>
    <w:rsid w:val="00d36934"/>
    <w:rPr>
      <w:sz w:val="16"/>
      <w:szCs w:val="16"/>
    </w:rPr>
  </w:style>
  <w:style w:type="character" w:styleId="Style2" w:customStyle="1">
    <w:name w:val="Текст примечания Знак"/>
    <w:basedOn w:val="DefaultParagraphFont"/>
    <w:link w:val="Annotationtext"/>
    <w:uiPriority w:val="99"/>
    <w:qFormat/>
    <w:rsid w:val="00d36934"/>
    <w:rPr/>
  </w:style>
  <w:style w:type="character" w:styleId="Style3" w:customStyle="1">
    <w:name w:val="Тема примечания Знак"/>
    <w:link w:val="Annotationsubject"/>
    <w:qFormat/>
    <w:rsid w:val="00d36934"/>
    <w:rPr>
      <w:b/>
      <w:bCs/>
    </w:rPr>
  </w:style>
  <w:style w:type="character" w:styleId="31" w:customStyle="1">
    <w:name w:val="Заголовок 3 Знак"/>
    <w:qFormat/>
    <w:rsid w:val="001b1bd9"/>
    <w:rPr>
      <w:rFonts w:ascii="Cambria" w:hAnsi="Cambria" w:eastAsia="Times New Roman" w:cs="Times New Roman"/>
      <w:b/>
      <w:bCs/>
      <w:color w:val="4F81BD"/>
    </w:rPr>
  </w:style>
  <w:style w:type="character" w:styleId="Style4" w:customStyle="1">
    <w:name w:val="Основной текст с отступом Знак"/>
    <w:basedOn w:val="DefaultParagraphFont"/>
    <w:qFormat/>
    <w:rsid w:val="00e00bca"/>
    <w:rPr/>
  </w:style>
  <w:style w:type="character" w:styleId="Style5" w:customStyle="1">
    <w:name w:val="комментарий"/>
    <w:qFormat/>
    <w:rsid w:val="00d562c0"/>
    <w:rPr>
      <w:rFonts w:cs="Times New Roman"/>
      <w:b/>
      <w:bCs/>
      <w:i/>
      <w:iCs/>
      <w:shd w:fill="FFFF99" w:val="clear"/>
    </w:rPr>
  </w:style>
  <w:style w:type="character" w:styleId="Style6" w:customStyle="1">
    <w:name w:val="Текст сноски Знак"/>
    <w:basedOn w:val="DefaultParagraphFont"/>
    <w:uiPriority w:val="99"/>
    <w:qFormat/>
    <w:rsid w:val="00f47c6a"/>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Style8" w:customStyle="1">
    <w:name w:val="Верхний колонтитул Знак"/>
    <w:basedOn w:val="DefaultParagraphFont"/>
    <w:qFormat/>
    <w:rsid w:val="000449a5"/>
    <w:rPr/>
  </w:style>
  <w:style w:type="character" w:styleId="1" w:customStyle="1">
    <w:name w:val="Гиперссылка1"/>
    <w:uiPriority w:val="99"/>
    <w:qFormat/>
    <w:rsid w:val="00fe4469"/>
    <w:rPr>
      <w:color w:val="0000FF"/>
      <w:u w:val="single"/>
    </w:rPr>
  </w:style>
  <w:style w:type="character" w:styleId="Style9" w:customStyle="1">
    <w:name w:val="Нижний колонтитул Знак"/>
    <w:qFormat/>
    <w:rsid w:val="00d925fb"/>
    <w:rPr/>
  </w:style>
  <w:style w:type="character" w:styleId="Style10" w:customStyle="1">
    <w:name w:val="Абзац списка Знак"/>
    <w:link w:val="ListParagraph"/>
    <w:qFormat/>
    <w:locked/>
    <w:rsid w:val="008e57e0"/>
    <w:rPr/>
  </w:style>
  <w:style w:type="character" w:styleId="Style11"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1" w:customStyle="1">
    <w:name w:val="line number1"/>
    <w:qFormat/>
    <w:rPr/>
  </w:style>
  <w:style w:type="character" w:styleId="Linenumber2" w:customStyle="1">
    <w:name w:val="line number2"/>
    <w:qFormat/>
    <w:rPr/>
  </w:style>
  <w:style w:type="character" w:styleId="Style12" w:customStyle="1">
    <w:name w:val="Маркеры"/>
    <w:qFormat/>
    <w:rPr>
      <w:rFonts w:ascii="OpenSymbol" w:hAnsi="OpenSymbol" w:eastAsia="OpenSymbol" w:cs="OpenSymbol"/>
    </w:rPr>
  </w:style>
  <w:style w:type="character" w:styleId="FollowedHyperlink">
    <w:name w:val="FollowedHyperlink"/>
    <w:rPr>
      <w:color w:val="800000"/>
      <w:u w:val="single"/>
    </w:rPr>
  </w:style>
  <w:style w:type="character" w:styleId="Style13" w:customStyle="1">
    <w:name w:val="Ссылка указателя"/>
    <w:qFormat/>
    <w:rPr/>
  </w:style>
  <w:style w:type="character" w:styleId="Style14" w:customStyle="1">
    <w:name w:val="Символ нумерации"/>
    <w:qFormat/>
    <w:rPr/>
  </w:style>
  <w:style w:type="character" w:styleId="WW8Num7z0" w:customStyle="1">
    <w:name w:val="WW8Num7z0"/>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Strong">
    <w:name w:val="Strong"/>
    <w:uiPriority w:val="22"/>
    <w:qFormat/>
    <w:rPr>
      <w:b/>
      <w:bCs/>
    </w:rPr>
  </w:style>
  <w:style w:type="character" w:styleId="Linenumber3" w:customStyle="1">
    <w:name w:val="line number3"/>
    <w:qFormat/>
    <w:rPr/>
  </w:style>
  <w:style w:type="character" w:styleId="Linenumber4" w:customStyle="1">
    <w:name w:val="line number4"/>
    <w:qFormat/>
    <w:rPr/>
  </w:style>
  <w:style w:type="character" w:styleId="Linenumber5" w:customStyle="1">
    <w:name w:val="line number5"/>
    <w:qFormat/>
    <w:rPr/>
  </w:style>
  <w:style w:type="character" w:styleId="Linenumber6" w:customStyle="1">
    <w:name w:val="line number6"/>
    <w:qFormat/>
    <w:rPr/>
  </w:style>
  <w:style w:type="character" w:styleId="Linenumber7" w:customStyle="1">
    <w:name w:val="line number7"/>
    <w:qFormat/>
    <w:rPr/>
  </w:style>
  <w:style w:type="character" w:styleId="Linenumber8" w:customStyle="1">
    <w:name w:val="line number8"/>
    <w:qFormat/>
    <w:rPr/>
  </w:style>
  <w:style w:type="character" w:styleId="Linenumber9" w:customStyle="1">
    <w:name w:val="line number9"/>
    <w:qFormat/>
    <w:rPr/>
  </w:style>
  <w:style w:type="character" w:styleId="4" w:customStyle="1">
    <w:name w:val="Заголовок 4 Знак"/>
    <w:basedOn w:val="DefaultParagraphFont"/>
    <w:qFormat/>
    <w:rsid w:val="004b006b"/>
    <w:rPr>
      <w:rFonts w:ascii="Calibri Light" w:hAnsi="Calibri Light" w:eastAsia="" w:cs="" w:asciiTheme="majorHAnsi" w:cstheme="majorBidi" w:eastAsiaTheme="majorEastAsia" w:hAnsiTheme="majorHAnsi"/>
      <w:i/>
      <w:iCs/>
      <w:color w:val="2E74B5" w:themeColor="accent1" w:themeShade="bf"/>
    </w:rPr>
  </w:style>
  <w:style w:type="character" w:styleId="Style15" w:customStyle="1">
    <w:name w:val="Таблицы Знак"/>
    <w:basedOn w:val="DefaultParagraphFont"/>
    <w:link w:val="Style37"/>
    <w:qFormat/>
    <w:rsid w:val="003e7a8d"/>
    <w:rPr>
      <w:rFonts w:eastAsia="Calibri" w:cs="" w:cstheme="minorBidi" w:eastAsiaTheme="minorHAnsi"/>
      <w:sz w:val="24"/>
      <w:szCs w:val="22"/>
      <w:lang w:eastAsia="en-US"/>
    </w:rPr>
  </w:style>
  <w:style w:type="character" w:styleId="2" w:customStyle="1">
    <w:name w:val="Заголовок 2 Знак"/>
    <w:basedOn w:val="DefaultParagraphFont"/>
    <w:qFormat/>
    <w:rsid w:val="00fe4469"/>
    <w:rPr>
      <w:rFonts w:ascii="Calibri Light" w:hAnsi="Calibri Light" w:eastAsia="" w:cs="" w:asciiTheme="majorHAnsi" w:cstheme="majorBidi" w:eastAsiaTheme="majorEastAsia" w:hAnsiTheme="majorHAnsi"/>
      <w:color w:val="2E74B5" w:themeColor="accent1" w:themeShade="bf"/>
      <w:sz w:val="26"/>
      <w:szCs w:val="26"/>
    </w:rPr>
  </w:style>
  <w:style w:type="character" w:styleId="5" w:customStyle="1">
    <w:name w:val="Заголовок 5 Знак"/>
    <w:basedOn w:val="DefaultParagraphFont"/>
    <w:uiPriority w:val="9"/>
    <w:qFormat/>
    <w:rsid w:val="00fe4469"/>
    <w:rPr>
      <w:b/>
      <w:bCs/>
      <w:i/>
      <w:iCs/>
      <w:sz w:val="26"/>
      <w:szCs w:val="26"/>
      <w:lang w:val="x-none" w:eastAsia="x-none"/>
    </w:rPr>
  </w:style>
  <w:style w:type="character" w:styleId="6" w:customStyle="1">
    <w:name w:val="Заголовок 6 Знак"/>
    <w:basedOn w:val="DefaultParagraphFont"/>
    <w:uiPriority w:val="9"/>
    <w:qFormat/>
    <w:rsid w:val="00fe4469"/>
    <w:rPr>
      <w:rFonts w:ascii="Cambria" w:hAnsi="Cambria"/>
      <w:i/>
      <w:iCs/>
      <w:color w:val="243F60"/>
      <w:lang w:val="x-none" w:eastAsia="x-none"/>
    </w:rPr>
  </w:style>
  <w:style w:type="character" w:styleId="7" w:customStyle="1">
    <w:name w:val="Заголовок 7 Знак"/>
    <w:basedOn w:val="DefaultParagraphFont"/>
    <w:uiPriority w:val="9"/>
    <w:qFormat/>
    <w:rsid w:val="00fe4469"/>
    <w:rPr>
      <w:rFonts w:ascii="Cambria" w:hAnsi="Cambria"/>
      <w:i/>
      <w:iCs/>
      <w:color w:val="404040"/>
      <w:lang w:val="x-none" w:eastAsia="x-none"/>
    </w:rPr>
  </w:style>
  <w:style w:type="character" w:styleId="8" w:customStyle="1">
    <w:name w:val="Заголовок 8 Знак"/>
    <w:basedOn w:val="DefaultParagraphFont"/>
    <w:uiPriority w:val="9"/>
    <w:qFormat/>
    <w:rsid w:val="00fe4469"/>
    <w:rPr>
      <w:rFonts w:ascii="Cambria" w:hAnsi="Cambria"/>
      <w:color w:val="4F81BD"/>
      <w:lang w:val="x-none" w:eastAsia="x-none"/>
    </w:rPr>
  </w:style>
  <w:style w:type="character" w:styleId="9" w:customStyle="1">
    <w:name w:val="Заголовок 9 Знак"/>
    <w:basedOn w:val="DefaultParagraphFont"/>
    <w:qFormat/>
    <w:rsid w:val="00fe4469"/>
    <w:rPr>
      <w:rFonts w:ascii="Arial" w:hAnsi="Arial"/>
      <w:sz w:val="22"/>
      <w:szCs w:val="22"/>
      <w:lang w:val="x-none" w:eastAsia="x-none"/>
    </w:rPr>
  </w:style>
  <w:style w:type="character" w:styleId="11" w:customStyle="1">
    <w:name w:val="Заголовок 1 Знак"/>
    <w:basedOn w:val="DefaultParagraphFont"/>
    <w:qFormat/>
    <w:rsid w:val="00fe4469"/>
    <w:rPr>
      <w:rFonts w:ascii="Times New Roman" w:hAnsi="Times New Roman" w:eastAsia="Calibri" w:cs="Times New Roman"/>
      <w:b/>
      <w:sz w:val="28"/>
      <w:szCs w:val="28"/>
      <w:lang w:val="x-none" w:eastAsia="x-none"/>
    </w:rPr>
  </w:style>
  <w:style w:type="character" w:styleId="21" w:customStyle="1">
    <w:name w:val="Основной текст с отступом 2 Знак"/>
    <w:basedOn w:val="DefaultParagraphFont"/>
    <w:link w:val="25"/>
    <w:qFormat/>
    <w:rsid w:val="00fe4469"/>
    <w:rPr>
      <w:sz w:val="28"/>
      <w:szCs w:val="28"/>
    </w:rPr>
  </w:style>
  <w:style w:type="character" w:styleId="32" w:customStyle="1">
    <w:name w:val="Оглавление 3 Знак"/>
    <w:basedOn w:val="DefaultParagraphFont"/>
    <w:qFormat/>
    <w:rsid w:val="00fe4469"/>
    <w:rPr>
      <w:sz w:val="16"/>
      <w:szCs w:val="16"/>
    </w:rPr>
  </w:style>
  <w:style w:type="character" w:styleId="33" w:customStyle="1">
    <w:name w:val="Основной текст с отступом 3 Знак"/>
    <w:basedOn w:val="DefaultParagraphFont"/>
    <w:link w:val="35"/>
    <w:qFormat/>
    <w:rsid w:val="00fe4469"/>
    <w:rPr>
      <w:sz w:val="16"/>
      <w:szCs w:val="16"/>
    </w:rPr>
  </w:style>
  <w:style w:type="character" w:styleId="22" w:customStyle="1">
    <w:name w:val="Основной текст 2 Знак"/>
    <w:basedOn w:val="DefaultParagraphFont"/>
    <w:link w:val="26"/>
    <w:qFormat/>
    <w:rsid w:val="00fe4469"/>
    <w:rPr>
      <w:sz w:val="28"/>
      <w:szCs w:val="28"/>
    </w:rPr>
  </w:style>
  <w:style w:type="character" w:styleId="Style16" w:customStyle="1">
    <w:name w:val="Текст выноски Знак"/>
    <w:basedOn w:val="DefaultParagraphFont"/>
    <w:semiHidden/>
    <w:qFormat/>
    <w:rsid w:val="00fe4469"/>
    <w:rPr>
      <w:rFonts w:ascii="Tahoma" w:hAnsi="Tahoma" w:eastAsia="Times New Roman" w:cs="Tahoma"/>
      <w:sz w:val="16"/>
      <w:szCs w:val="16"/>
      <w:lang w:eastAsia="ru-RU"/>
    </w:rPr>
  </w:style>
  <w:style w:type="character" w:styleId="12" w:customStyle="1">
    <w:name w:val="Оглавление 1 Знак"/>
    <w:uiPriority w:val="10"/>
    <w:qFormat/>
    <w:rsid w:val="00fe4469"/>
    <w:rPr>
      <w:sz w:val="28"/>
      <w:lang w:val="x-none" w:eastAsia="x-none"/>
    </w:rPr>
  </w:style>
  <w:style w:type="character" w:styleId="Style17" w:customStyle="1">
    <w:name w:val="Подзаголовок Знак"/>
    <w:basedOn w:val="DefaultParagraphFont"/>
    <w:uiPriority w:val="11"/>
    <w:qFormat/>
    <w:rsid w:val="00fe4469"/>
    <w:rPr>
      <w:rFonts w:ascii="Cambria" w:hAnsi="Cambria" w:eastAsia="Times New Roman" w:cs="Times New Roman"/>
      <w:i/>
      <w:iCs/>
      <w:color w:val="4F81BD"/>
      <w:spacing w:val="15"/>
      <w:sz w:val="24"/>
      <w:szCs w:val="24"/>
      <w:lang w:val="x-none" w:eastAsia="x-none"/>
    </w:rPr>
  </w:style>
  <w:style w:type="character" w:styleId="Emphasis">
    <w:name w:val="Emphasis"/>
    <w:uiPriority w:val="20"/>
    <w:qFormat/>
    <w:rsid w:val="00fe4469"/>
    <w:rPr>
      <w:i/>
      <w:iCs/>
    </w:rPr>
  </w:style>
  <w:style w:type="character" w:styleId="211" w:customStyle="1">
    <w:name w:val="Заголовок 2 Знак1"/>
    <w:basedOn w:val="DefaultParagraphFont"/>
    <w:qFormat/>
    <w:rsid w:val="00fe4469"/>
    <w:rPr>
      <w:rFonts w:eastAsia="Calibri"/>
      <w:b/>
      <w:bCs/>
      <w:sz w:val="24"/>
      <w:szCs w:val="24"/>
      <w:lang w:val="x-none" w:eastAsia="x-none"/>
    </w:rPr>
  </w:style>
  <w:style w:type="character" w:styleId="Style18" w:customStyle="1">
    <w:name w:val="Выделенная цитата Знак"/>
    <w:basedOn w:val="DefaultParagraphFont"/>
    <w:uiPriority w:val="30"/>
    <w:qFormat/>
    <w:rsid w:val="00fe4469"/>
    <w:rPr>
      <w:rFonts w:ascii="Calibri" w:hAnsi="Calibri" w:eastAsia="Calibri" w:cs="Times New Roman"/>
      <w:b/>
      <w:bCs/>
      <w:i/>
      <w:iCs/>
      <w:color w:val="4F81BD"/>
      <w:sz w:val="20"/>
      <w:szCs w:val="20"/>
      <w:lang w:val="x-none" w:eastAsia="x-none"/>
    </w:rPr>
  </w:style>
  <w:style w:type="character" w:styleId="SubtleEmphasis">
    <w:name w:val="Subtle Emphasis"/>
    <w:uiPriority w:val="19"/>
    <w:qFormat/>
    <w:rsid w:val="00fe4469"/>
    <w:rPr>
      <w:i/>
      <w:iCs/>
      <w:color w:val="808080"/>
    </w:rPr>
  </w:style>
  <w:style w:type="character" w:styleId="IntenseEmphasis">
    <w:name w:val="Intense Emphasis"/>
    <w:uiPriority w:val="21"/>
    <w:qFormat/>
    <w:rsid w:val="00fe4469"/>
    <w:rPr>
      <w:b/>
      <w:bCs/>
      <w:i/>
      <w:iCs/>
      <w:color w:val="4F81BD"/>
    </w:rPr>
  </w:style>
  <w:style w:type="character" w:styleId="SubtleReference">
    <w:name w:val="Subtle Reference"/>
    <w:uiPriority w:val="31"/>
    <w:qFormat/>
    <w:rsid w:val="00fe4469"/>
    <w:rPr>
      <w:smallCaps/>
      <w:color w:val="C0504D"/>
      <w:u w:val="single"/>
    </w:rPr>
  </w:style>
  <w:style w:type="character" w:styleId="IntenseReference">
    <w:name w:val="Intense Reference"/>
    <w:uiPriority w:val="32"/>
    <w:qFormat/>
    <w:rsid w:val="00fe4469"/>
    <w:rPr>
      <w:b/>
      <w:bCs/>
      <w:smallCaps/>
      <w:color w:val="C0504D"/>
      <w:spacing w:val="5"/>
      <w:u w:val="single"/>
    </w:rPr>
  </w:style>
  <w:style w:type="character" w:styleId="BookTitle">
    <w:name w:val="Book Title"/>
    <w:uiPriority w:val="33"/>
    <w:qFormat/>
    <w:rsid w:val="00fe4469"/>
    <w:rPr>
      <w:b/>
      <w:bCs/>
      <w:smallCaps/>
      <w:spacing w:val="5"/>
    </w:rPr>
  </w:style>
  <w:style w:type="character" w:styleId="Style19" w:customStyle="1">
    <w:name w:val="Электронная подпись Знак"/>
    <w:basedOn w:val="DefaultParagraphFont"/>
    <w:uiPriority w:val="99"/>
    <w:qFormat/>
    <w:rsid w:val="00fe4469"/>
    <w:rPr>
      <w:rFonts w:ascii="Times New Roman" w:hAnsi="Times New Roman" w:eastAsia="Calibri" w:cs="Times New Roman"/>
      <w:sz w:val="24"/>
      <w:szCs w:val="24"/>
      <w:lang w:val="x-none" w:eastAsia="x-none"/>
    </w:rPr>
  </w:style>
  <w:style w:type="character" w:styleId="111" w:customStyle="1">
    <w:name w:val="Заголовок 1 Знак1"/>
    <w:qFormat/>
    <w:locked/>
    <w:rsid w:val="00fe4469"/>
    <w:rPr>
      <w:rFonts w:ascii="Arial" w:hAnsi="Arial" w:cs="Arial"/>
      <w:b/>
      <w:bCs/>
      <w:kern w:val="2"/>
      <w:sz w:val="32"/>
      <w:szCs w:val="32"/>
    </w:rPr>
  </w:style>
  <w:style w:type="character" w:styleId="Blk" w:customStyle="1">
    <w:name w:val="blk"/>
    <w:qFormat/>
    <w:rsid w:val="00fe4469"/>
    <w:rPr/>
  </w:style>
  <w:style w:type="character" w:styleId="Style20" w:customStyle="1">
    <w:name w:val="Подподпункт Знак"/>
    <w:qFormat/>
    <w:locked/>
    <w:rsid w:val="00fe4469"/>
    <w:rPr>
      <w:rFonts w:ascii="Times New Roman" w:hAnsi="Times New Roman" w:eastAsia="Times New Roman" w:cs="Times New Roman"/>
      <w:sz w:val="26"/>
      <w:szCs w:val="26"/>
      <w:lang w:eastAsia="ru-RU"/>
    </w:rPr>
  </w:style>
  <w:style w:type="character" w:styleId="34" w:customStyle="1">
    <w:name w:val="УРОВЕНЬ_Абзац_тип3 Знак"/>
    <w:qFormat/>
    <w:rsid w:val="00fe4469"/>
    <w:rPr>
      <w:rFonts w:ascii="Times New Roman" w:hAnsi="Times New Roman" w:eastAsia="Calibri" w:cs="Times New Roman"/>
      <w:sz w:val="26"/>
      <w:szCs w:val="28"/>
    </w:rPr>
  </w:style>
  <w:style w:type="character" w:styleId="Style21" w:customStyle="1">
    <w:name w:val="Текст концевой сноски Знак"/>
    <w:basedOn w:val="DefaultParagraphFont"/>
    <w:qFormat/>
    <w:rsid w:val="00fe4469"/>
    <w:rPr>
      <w:rFonts w:ascii="Times New Roman" w:hAnsi="Times New Roman" w:eastAsia="Times New Roman" w:cs="Times New Roman"/>
      <w:sz w:val="20"/>
      <w:szCs w:val="20"/>
      <w:lang w:eastAsia="ru-RU"/>
    </w:rPr>
  </w:style>
  <w:style w:type="character" w:styleId="23" w:customStyle="1">
    <w:name w:val="Пункт2 Знак"/>
    <w:qFormat/>
    <w:rsid w:val="00fe4469"/>
    <w:rPr>
      <w:rFonts w:ascii="Times New Roman" w:hAnsi="Times New Roman" w:eastAsia="Times New Roman" w:cs="Times New Roman"/>
      <w:b/>
      <w:sz w:val="28"/>
      <w:szCs w:val="20"/>
      <w:lang w:eastAsia="ru-RU"/>
    </w:rPr>
  </w:style>
  <w:style w:type="character" w:styleId="13" w:customStyle="1">
    <w:name w:val="УРОВЕНЬ_1. Знак"/>
    <w:qFormat/>
    <w:rsid w:val="00fe4469"/>
    <w:rPr>
      <w:rFonts w:ascii="Times New Roman" w:hAnsi="Times New Roman" w:eastAsia="Calibri" w:cs="Times New Roman"/>
      <w:caps/>
      <w:sz w:val="28"/>
      <w:szCs w:val="28"/>
    </w:rPr>
  </w:style>
  <w:style w:type="character" w:styleId="14" w:customStyle="1">
    <w:name w:val="Неразрешенное упоминание1"/>
    <w:basedOn w:val="DefaultParagraphFont"/>
    <w:uiPriority w:val="99"/>
    <w:semiHidden/>
    <w:unhideWhenUsed/>
    <w:qFormat/>
    <w:rsid w:val="00fe4469"/>
    <w:rPr>
      <w:color w:val="605E5C"/>
      <w:shd w:fill="E1DFDD" w:val="clear"/>
    </w:rPr>
  </w:style>
  <w:style w:type="character" w:styleId="311" w:customStyle="1">
    <w:name w:val="Основной текст с отступом 3 Знак1"/>
    <w:basedOn w:val="DefaultParagraphFont"/>
    <w:link w:val="BodyTextIndent3"/>
    <w:qFormat/>
    <w:rsid w:val="00fe4469"/>
    <w:rPr>
      <w:sz w:val="16"/>
      <w:szCs w:val="16"/>
    </w:rPr>
  </w:style>
  <w:style w:type="character" w:styleId="15" w:customStyle="1">
    <w:name w:val="Подзаголовок Знак1"/>
    <w:basedOn w:val="DefaultParagraphFont"/>
    <w:uiPriority w:val="11"/>
    <w:qFormat/>
    <w:rsid w:val="00fe4469"/>
    <w:rPr>
      <w:rFonts w:ascii="Cambria" w:hAnsi="Cambria"/>
      <w:i/>
      <w:iCs/>
      <w:color w:val="4F81BD"/>
      <w:spacing w:val="15"/>
      <w:sz w:val="24"/>
      <w:szCs w:val="24"/>
      <w:lang w:val="x-none" w:eastAsia="x-none"/>
    </w:rPr>
  </w:style>
  <w:style w:type="character" w:styleId="24" w:customStyle="1">
    <w:name w:val="Цитата 2 Знак"/>
    <w:basedOn w:val="DefaultParagraphFont"/>
    <w:link w:val="Quote"/>
    <w:uiPriority w:val="29"/>
    <w:qFormat/>
    <w:rsid w:val="00fe4469"/>
    <w:rPr>
      <w:rFonts w:ascii="Calibri" w:hAnsi="Calibri" w:eastAsia="Calibri"/>
      <w:i/>
      <w:iCs/>
      <w:color w:val="000000"/>
      <w:lang w:val="x-none" w:eastAsia="x-none"/>
    </w:rPr>
  </w:style>
  <w:style w:type="character" w:styleId="16" w:customStyle="1">
    <w:name w:val="Выделенная цитата Знак1"/>
    <w:basedOn w:val="DefaultParagraphFont"/>
    <w:link w:val="IntenseQuote"/>
    <w:uiPriority w:val="30"/>
    <w:qFormat/>
    <w:rsid w:val="00fe4469"/>
    <w:rPr>
      <w:rFonts w:ascii="Calibri" w:hAnsi="Calibri" w:eastAsia="Calibri"/>
      <w:b/>
      <w:bCs/>
      <w:i/>
      <w:iCs/>
      <w:color w:val="4F81BD"/>
      <w:lang w:val="x-none" w:eastAsia="x-none"/>
    </w:rPr>
  </w:style>
  <w:style w:type="character" w:styleId="17" w:customStyle="1">
    <w:name w:val="Электронная подпись Знак1"/>
    <w:basedOn w:val="DefaultParagraphFont"/>
    <w:link w:val="E-mailSignature"/>
    <w:uiPriority w:val="99"/>
    <w:qFormat/>
    <w:rsid w:val="00fe4469"/>
    <w:rPr>
      <w:rFonts w:eastAsia="Calibri"/>
      <w:sz w:val="24"/>
      <w:szCs w:val="24"/>
      <w:lang w:val="x-none" w:eastAsia="x-none"/>
    </w:rPr>
  </w:style>
  <w:style w:type="character" w:styleId="18" w:customStyle="1">
    <w:name w:val="Текст концевой сноски Знак1"/>
    <w:basedOn w:val="DefaultParagraphFont"/>
    <w:qFormat/>
    <w:rsid w:val="00fe4469"/>
    <w:rPr/>
  </w:style>
  <w:style w:type="character" w:styleId="19" w:customStyle="1">
    <w:name w:val="Основной текст Знак1"/>
    <w:basedOn w:val="DefaultParagraphFont"/>
    <w:qFormat/>
    <w:rsid w:val="00fe4469"/>
    <w:rPr>
      <w:rFonts w:ascii="Times New Roman" w:hAnsi="Times New Roman" w:eastAsia="Times New Roman" w:cs="Times New Roman"/>
      <w:sz w:val="28"/>
      <w:szCs w:val="28"/>
      <w:lang w:eastAsia="ru-RU"/>
    </w:rPr>
  </w:style>
  <w:style w:type="character" w:styleId="110" w:customStyle="1">
    <w:name w:val="Верхний колонтитул Знак1"/>
    <w:basedOn w:val="DefaultParagraphFont"/>
    <w:qFormat/>
    <w:rsid w:val="00fe4469"/>
    <w:rPr>
      <w:rFonts w:ascii="Times New Roman" w:hAnsi="Times New Roman" w:eastAsia="Times New Roman" w:cs="Times New Roman"/>
      <w:sz w:val="24"/>
      <w:szCs w:val="24"/>
      <w:lang w:eastAsia="ru-RU"/>
    </w:rPr>
  </w:style>
  <w:style w:type="character" w:styleId="112" w:customStyle="1">
    <w:name w:val="Нижний колонтитул Знак1"/>
    <w:basedOn w:val="DefaultParagraphFont"/>
    <w:qFormat/>
    <w:rsid w:val="00fe4469"/>
    <w:rPr>
      <w:rFonts w:ascii="Times New Roman" w:hAnsi="Times New Roman" w:eastAsia="Times New Roman" w:cs="Times New Roman"/>
      <w:sz w:val="28"/>
      <w:szCs w:val="28"/>
      <w:lang w:eastAsia="ru-RU"/>
    </w:rPr>
  </w:style>
  <w:style w:type="character" w:styleId="113" w:customStyle="1">
    <w:name w:val="Текст сноски Знак1"/>
    <w:basedOn w:val="DefaultParagraphFont"/>
    <w:uiPriority w:val="99"/>
    <w:qFormat/>
    <w:rsid w:val="00fe4469"/>
    <w:rPr>
      <w:rFonts w:ascii="Times New Roman" w:hAnsi="Times New Roman" w:eastAsia="Times New Roman" w:cs="Times New Roman"/>
      <w:szCs w:val="20"/>
      <w:lang w:eastAsia="ru-RU"/>
    </w:rPr>
  </w:style>
  <w:style w:type="character" w:styleId="114" w:customStyle="1">
    <w:name w:val="Основной текст с отступом Знак1"/>
    <w:basedOn w:val="DefaultParagraphFont"/>
    <w:qFormat/>
    <w:rsid w:val="00fe4469"/>
    <w:rPr>
      <w:rFonts w:ascii="Times New Roman" w:hAnsi="Times New Roman" w:eastAsia="Times New Roman" w:cs="Times New Roman"/>
      <w:sz w:val="24"/>
      <w:szCs w:val="24"/>
      <w:lang w:eastAsia="ru-RU"/>
    </w:rPr>
  </w:style>
  <w:style w:type="character" w:styleId="221" w:customStyle="1">
    <w:name w:val="Основной текст с отступом 2 Знак2"/>
    <w:basedOn w:val="DefaultParagraphFont"/>
    <w:uiPriority w:val="99"/>
    <w:semiHidden/>
    <w:qFormat/>
    <w:rsid w:val="00fe4469"/>
    <w:rPr>
      <w:rFonts w:ascii="Times New Roman" w:hAnsi="Times New Roman" w:eastAsia="Times New Roman" w:cs="Times New Roman"/>
      <w:sz w:val="28"/>
      <w:szCs w:val="28"/>
      <w:lang w:eastAsia="ru-RU"/>
    </w:rPr>
  </w:style>
  <w:style w:type="character" w:styleId="312" w:customStyle="1">
    <w:name w:val="Основной текст 3 Знак1"/>
    <w:basedOn w:val="DefaultParagraphFont"/>
    <w:qFormat/>
    <w:rsid w:val="00fe4469"/>
    <w:rPr>
      <w:rFonts w:ascii="Times New Roman" w:hAnsi="Times New Roman" w:eastAsia="Times New Roman" w:cs="Times New Roman"/>
      <w:sz w:val="16"/>
      <w:szCs w:val="16"/>
      <w:lang w:eastAsia="ru-RU"/>
    </w:rPr>
  </w:style>
  <w:style w:type="character" w:styleId="115" w:customStyle="1">
    <w:name w:val="Текст выноски Знак1"/>
    <w:basedOn w:val="DefaultParagraphFont"/>
    <w:link w:val="BalloonText"/>
    <w:semiHidden/>
    <w:qFormat/>
    <w:rsid w:val="00fe4469"/>
    <w:rPr>
      <w:rFonts w:ascii="Tahoma" w:hAnsi="Tahoma" w:cs="Tahoma"/>
      <w:sz w:val="16"/>
      <w:szCs w:val="16"/>
    </w:rPr>
  </w:style>
  <w:style w:type="character" w:styleId="116" w:customStyle="1">
    <w:name w:val="Текст примечания Знак1"/>
    <w:basedOn w:val="DefaultParagraphFont"/>
    <w:semiHidden/>
    <w:qFormat/>
    <w:rsid w:val="00fe4469"/>
    <w:rPr>
      <w:rFonts w:ascii="Times New Roman" w:hAnsi="Times New Roman" w:eastAsia="Times New Roman" w:cs="Times New Roman"/>
      <w:szCs w:val="20"/>
      <w:lang w:eastAsia="ru-RU"/>
    </w:rPr>
  </w:style>
  <w:style w:type="character" w:styleId="117" w:customStyle="1">
    <w:name w:val="Тема примечания Знак1"/>
    <w:basedOn w:val="116"/>
    <w:semiHidden/>
    <w:qFormat/>
    <w:rsid w:val="00fe4469"/>
    <w:rPr>
      <w:rFonts w:ascii="Times New Roman" w:hAnsi="Times New Roman" w:eastAsia="Times New Roman" w:cs="Times New Roman"/>
      <w:b/>
      <w:bCs/>
      <w:szCs w:val="20"/>
      <w:lang w:eastAsia="ru-RU"/>
    </w:rPr>
  </w:style>
  <w:style w:type="character" w:styleId="Style41" w:customStyle="1">
    <w:name w:val="style41"/>
    <w:basedOn w:val="DefaultParagraphFont"/>
    <w:qFormat/>
    <w:rsid w:val="00fe4469"/>
    <w:rPr/>
  </w:style>
  <w:style w:type="character" w:styleId="151" w:customStyle="1">
    <w:name w:val="Знак15"/>
    <w:qFormat/>
    <w:rsid w:val="000d76f9"/>
    <w:rPr>
      <w:rFonts w:ascii="Cambria" w:hAnsi="Cambria" w:eastAsia="Times New Roman" w:cs="Times New Roman"/>
      <w:b/>
      <w:bCs/>
      <w:color w:val="365F91"/>
      <w:sz w:val="28"/>
      <w:szCs w:val="28"/>
    </w:rPr>
  </w:style>
  <w:style w:type="character" w:styleId="Linenumber10">
    <w:name w:val="line number10"/>
    <w:qFormat/>
    <w:rPr/>
  </w:style>
  <w:style w:type="character" w:styleId="Hyperlink">
    <w:name w:val="Hyperlink"/>
    <w:uiPriority w:val="99"/>
    <w:rsid w:val="00215941"/>
    <w:rPr>
      <w:color w:val="0000FF"/>
      <w:u w:val="single"/>
    </w:rPr>
  </w:style>
  <w:style w:type="character" w:styleId="LineNumber">
    <w:name w:val="Line Number"/>
    <w:rPr/>
  </w:style>
  <w:style w:type="paragraph" w:styleId="Style22">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1"/>
    <w:qFormat/>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3">
    <w:name w:val="Указатель"/>
    <w:basedOn w:val="Normal"/>
    <w:qFormat/>
    <w:pPr>
      <w:suppressLineNumbers/>
    </w:pPr>
    <w:rPr>
      <w:rFonts w:cs="Arial Unicode MS"/>
    </w:rPr>
  </w:style>
  <w:style w:type="paragraph" w:styleId="Title">
    <w:name w:val="Title"/>
    <w:basedOn w:val="Normal"/>
    <w:next w:val="BodyText"/>
    <w:link w:val="Style"/>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1">
    <w:name w:val="index heading1"/>
    <w:basedOn w:val="Title"/>
    <w:qFormat/>
    <w:pPr/>
    <w:rPr/>
  </w:style>
  <w:style w:type="paragraph" w:styleId="Caption11" w:customStyle="1">
    <w:name w:val="caption11"/>
    <w:basedOn w:val="Normal"/>
    <w:uiPriority w:val="35"/>
    <w:qFormat/>
    <w:pPr>
      <w:suppressLineNumbers/>
      <w:spacing w:before="120" w:after="120"/>
    </w:pPr>
    <w:rPr>
      <w:i/>
      <w:iCs/>
      <w:sz w:val="24"/>
      <w:szCs w:val="24"/>
    </w:rPr>
  </w:style>
  <w:style w:type="paragraph" w:styleId="Indexheading11" w:customStyle="1">
    <w:name w:val="index heading11"/>
    <w:basedOn w:val="Normal"/>
    <w:qFormat/>
    <w:pPr>
      <w:suppressLineNumbers/>
    </w:pPr>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Caption111111" w:customStyle="1">
    <w:name w:val="caption111111"/>
    <w:basedOn w:val="Normal"/>
    <w:qFormat/>
    <w:pPr>
      <w:suppressLineNumbers/>
      <w:spacing w:before="120" w:after="120"/>
    </w:pPr>
    <w:rPr>
      <w:i/>
      <w:iCs/>
      <w:sz w:val="24"/>
      <w:szCs w:val="24"/>
    </w:rPr>
  </w:style>
  <w:style w:type="paragraph" w:styleId="Caption1111111" w:customStyle="1">
    <w:name w:val="caption1111111"/>
    <w:basedOn w:val="Normal"/>
    <w:qFormat/>
    <w:pPr>
      <w:suppressLineNumbers/>
      <w:spacing w:before="120" w:after="120"/>
    </w:pPr>
    <w:rPr>
      <w:i/>
      <w:iCs/>
      <w:sz w:val="24"/>
      <w:szCs w:val="24"/>
    </w:rPr>
  </w:style>
  <w:style w:type="paragraph" w:styleId="Caption11111111" w:customStyle="1">
    <w:name w:val="caption11111111"/>
    <w:basedOn w:val="Normal"/>
    <w:qFormat/>
    <w:pPr>
      <w:suppressLineNumbers/>
      <w:spacing w:before="120" w:after="120"/>
    </w:pPr>
    <w:rPr>
      <w:i/>
      <w:iCs/>
      <w:sz w:val="24"/>
      <w:szCs w:val="24"/>
    </w:rPr>
  </w:style>
  <w:style w:type="paragraph" w:styleId="Caption111111111" w:customStyle="1">
    <w:name w:val="caption111111111"/>
    <w:basedOn w:val="Normal"/>
    <w:qFormat/>
    <w:pPr>
      <w:suppressLineNumbers/>
      <w:spacing w:before="120" w:after="120"/>
    </w:pPr>
    <w:rPr>
      <w:i/>
      <w:iCs/>
      <w:sz w:val="24"/>
      <w:szCs w:val="24"/>
    </w:rPr>
  </w:style>
  <w:style w:type="paragraph" w:styleId="Caption1111111111" w:customStyle="1">
    <w:name w:val="caption1111111111"/>
    <w:basedOn w:val="Normal"/>
    <w:qFormat/>
    <w:pPr>
      <w:suppressLineNumbers/>
      <w:spacing w:before="120" w:after="120"/>
    </w:pPr>
    <w:rPr>
      <w:i/>
      <w:iCs/>
      <w:sz w:val="24"/>
      <w:szCs w:val="24"/>
    </w:rPr>
  </w:style>
  <w:style w:type="paragraph" w:styleId="Caption11111111111" w:customStyle="1">
    <w:name w:val="caption11111111111"/>
    <w:basedOn w:val="Normal"/>
    <w:qFormat/>
    <w:pPr>
      <w:suppressLineNumbers/>
      <w:spacing w:before="120" w:after="120"/>
    </w:pPr>
    <w:rPr>
      <w:i/>
      <w:iCs/>
      <w:sz w:val="24"/>
      <w:szCs w:val="24"/>
    </w:rPr>
  </w:style>
  <w:style w:type="paragraph" w:styleId="Caption111111111111" w:customStyle="1">
    <w:name w:val="caption111111111111"/>
    <w:basedOn w:val="Normal"/>
    <w:qFormat/>
    <w:pPr>
      <w:suppressLineNumbers/>
      <w:spacing w:before="120" w:after="120"/>
    </w:pPr>
    <w:rPr>
      <w:i/>
      <w:iCs/>
      <w:sz w:val="24"/>
      <w:szCs w:val="24"/>
    </w:rPr>
  </w:style>
  <w:style w:type="paragraph" w:styleId="Caption1111111111111" w:customStyle="1">
    <w:name w:val="caption1111111111111"/>
    <w:basedOn w:val="Normal"/>
    <w:qFormat/>
    <w:pPr>
      <w:suppressLineNumbers/>
      <w:spacing w:before="120" w:after="120"/>
    </w:pPr>
    <w:rPr>
      <w:i/>
      <w:iCs/>
      <w:sz w:val="24"/>
      <w:szCs w:val="24"/>
    </w:rPr>
  </w:style>
  <w:style w:type="paragraph" w:styleId="Style24"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link w:val="115"/>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5" w:customStyle="1">
    <w:name w:val="Колонтитул"/>
    <w:basedOn w:val="Normal"/>
    <w:qFormat/>
    <w:pPr/>
    <w:rPr/>
  </w:style>
  <w:style w:type="paragraph" w:styleId="Footer">
    <w:name w:val="Footer"/>
    <w:basedOn w:val="Normal"/>
    <w:link w:val="Style9"/>
    <w:rsid w:val="008b02a1"/>
    <w:pPr>
      <w:tabs>
        <w:tab w:val="clear" w:pos="720"/>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2"/>
    <w:uiPriority w:val="99"/>
    <w:qFormat/>
    <w:rsid w:val="00d36934"/>
    <w:pPr/>
    <w:rPr/>
  </w:style>
  <w:style w:type="paragraph" w:styleId="Annotationsubject">
    <w:name w:val="annotation subject"/>
    <w:basedOn w:val="Annotationtext"/>
    <w:next w:val="Annotationtext"/>
    <w:link w:val="Style3"/>
    <w:qFormat/>
    <w:rsid w:val="00d36934"/>
    <w:pPr/>
    <w:rPr>
      <w:b/>
      <w:bCs/>
      <w:lang w:val="x-none" w:eastAsia="x-none"/>
    </w:rPr>
  </w:style>
  <w:style w:type="paragraph" w:styleId="ListParagraph">
    <w:name w:val="List Paragraph"/>
    <w:basedOn w:val="Normal"/>
    <w:link w:val="Style10"/>
    <w:qFormat/>
    <w:rsid w:val="00ec6e7d"/>
    <w:pPr>
      <w:spacing w:before="0" w:after="0"/>
      <w:ind w:left="720"/>
      <w:contextualSpacing/>
    </w:pPr>
    <w:rPr/>
  </w:style>
  <w:style w:type="paragraph" w:styleId="Style26" w:customStyle="1">
    <w:name w:val="Знак Знак Знак Знак Знак Знак Знак Знак Знак"/>
    <w:basedOn w:val="Normal"/>
    <w:qFormat/>
    <w:rsid w:val="00d31bfd"/>
    <w:pPr>
      <w:widowControl/>
      <w:spacing w:lineRule="exact" w:line="240" w:before="0" w:after="160"/>
      <w:jc w:val="both"/>
    </w:pPr>
    <w:rPr>
      <w:rFonts w:ascii="Verdana" w:hAnsi="Verdana"/>
      <w:sz w:val="22"/>
      <w:lang w:val="en-US" w:eastAsia="en-US"/>
    </w:rPr>
  </w:style>
  <w:style w:type="paragraph" w:styleId="Style27" w:customStyle="1">
    <w:name w:val="Подпункт договора"/>
    <w:basedOn w:val="Normal"/>
    <w:qFormat/>
    <w:rsid w:val="00d31bfd"/>
    <w:pPr>
      <w:widowControl/>
      <w:tabs>
        <w:tab w:val="clear" w:pos="720"/>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4"/>
    <w:rsid w:val="00e00bca"/>
    <w:pPr>
      <w:spacing w:before="0" w:after="120"/>
      <w:ind w:left="283"/>
    </w:pPr>
    <w:rPr/>
  </w:style>
  <w:style w:type="paragraph" w:styleId="Style28"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6"/>
    <w:uiPriority w:val="99"/>
    <w:qFormat/>
    <w:rsid w:val="00f47c6a"/>
    <w:pPr/>
    <w:rPr/>
  </w:style>
  <w:style w:type="paragraph" w:styleId="ListBullet3">
    <w:name w:val="List Bullet 3"/>
    <w:basedOn w:val="Normal"/>
    <w:uiPriority w:val="99"/>
    <w:unhideWhenUsed/>
    <w:qFormat/>
    <w:rsid w:val="00fa3bf9"/>
    <w:pPr>
      <w:widowControl/>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8"/>
    <w:rsid w:val="000449a5"/>
    <w:pPr>
      <w:tabs>
        <w:tab w:val="clear" w:pos="720"/>
        <w:tab w:val="center" w:pos="4677" w:leader="none"/>
        <w:tab w:val="right" w:pos="9355" w:leader="none"/>
      </w:tabs>
    </w:pPr>
    <w:rPr/>
  </w:style>
  <w:style w:type="paragraph" w:styleId="Style29" w:customStyle="1">
    <w:name w:val="Пункт договора"/>
    <w:basedOn w:val="Normal"/>
    <w:qFormat/>
    <w:rsid w:val="00e65842"/>
    <w:pPr>
      <w:jc w:val="both"/>
    </w:pPr>
    <w:rPr>
      <w:rFonts w:ascii="Arial" w:hAnsi="Arial"/>
    </w:rPr>
  </w:style>
  <w:style w:type="paragraph" w:styleId="118"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9"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1110" w:customStyle="1">
    <w:name w:val="Оглавление 11"/>
    <w:basedOn w:val="Normal"/>
    <w:next w:val="Normal"/>
    <w:qFormat/>
    <w:pPr>
      <w:spacing w:before="120" w:after="0"/>
    </w:pPr>
    <w:rPr>
      <w:rFonts w:cs="Calibri Light (Заголовки)"/>
      <w:b/>
      <w:bCs/>
      <w:sz w:val="24"/>
      <w:szCs w:val="24"/>
    </w:rPr>
  </w:style>
  <w:style w:type="paragraph" w:styleId="41" w:customStyle="1">
    <w:name w:val="Оглавление 41"/>
    <w:basedOn w:val="Normal"/>
    <w:next w:val="Normal"/>
    <w:qFormat/>
    <w:pPr>
      <w:ind w:left="560"/>
    </w:pPr>
    <w:rPr>
      <w:rFonts w:cs="Calibri" w:cstheme="minorHAnsi"/>
    </w:rPr>
  </w:style>
  <w:style w:type="paragraph" w:styleId="313" w:customStyle="1">
    <w:name w:val="Оглавление 31"/>
    <w:basedOn w:val="Normal"/>
    <w:next w:val="Normal"/>
    <w:qFormat/>
    <w:pPr>
      <w:ind w:left="280"/>
    </w:pPr>
    <w:rPr>
      <w:rFonts w:cs="Calibri" w:cstheme="minorHAnsi"/>
    </w:rPr>
  </w:style>
  <w:style w:type="paragraph" w:styleId="314" w:customStyle="1">
    <w:name w:val="Заголовок 31"/>
    <w:basedOn w:val="Normal"/>
    <w:next w:val="Normal"/>
    <w:qFormat/>
    <w:pPr>
      <w:keepNext w:val="true"/>
      <w:numPr>
        <w:ilvl w:val="2"/>
        <w:numId w:val="2"/>
      </w:numPr>
      <w:spacing w:before="120" w:after="60"/>
      <w:outlineLvl w:val="2"/>
    </w:pPr>
    <w:rPr>
      <w:rFonts w:eastAsia="Calibri"/>
      <w:b/>
      <w:sz w:val="24"/>
      <w:szCs w:val="24"/>
    </w:rPr>
  </w:style>
  <w:style w:type="paragraph" w:styleId="411" w:customStyle="1">
    <w:name w:val="Заголовок 41"/>
    <w:basedOn w:val="314"/>
    <w:next w:val="Normal"/>
    <w:qFormat/>
    <w:pPr>
      <w:numPr>
        <w:ilvl w:val="0"/>
        <w:numId w:val="0"/>
      </w:numPr>
      <w:tabs>
        <w:tab w:val="clear" w:pos="720"/>
        <w:tab w:val="left" w:pos="0" w:leader="none"/>
      </w:tabs>
      <w:ind w:hanging="432" w:left="432"/>
      <w:outlineLvl w:val="3"/>
    </w:pPr>
    <w:rPr>
      <w:bCs/>
    </w:rPr>
  </w:style>
  <w:style w:type="paragraph" w:styleId="212" w:customStyle="1">
    <w:name w:val="Заголовок 21"/>
    <w:basedOn w:val="411"/>
    <w:next w:val="Normal"/>
    <w:qFormat/>
    <w:pPr>
      <w:outlineLvl w:val="1"/>
    </w:pPr>
    <w:rPr/>
  </w:style>
  <w:style w:type="paragraph" w:styleId="1111" w:customStyle="1">
    <w:name w:val="Заголовок 11"/>
    <w:basedOn w:val="314"/>
    <w:next w:val="Normal"/>
    <w:qFormat/>
    <w:pPr>
      <w:numPr>
        <w:ilvl w:val="0"/>
      </w:numPr>
      <w:outlineLvl w:val="0"/>
    </w:pPr>
    <w:rPr>
      <w:sz w:val="28"/>
      <w:szCs w:val="28"/>
    </w:rPr>
  </w:style>
  <w:style w:type="paragraph" w:styleId="-4" w:customStyle="1">
    <w:name w:val="Пункт-4"/>
    <w:basedOn w:val="Normal"/>
    <w:qFormat/>
    <w:pPr>
      <w:tabs>
        <w:tab w:val="clear" w:pos="720"/>
        <w:tab w:val="left" w:pos="1418" w:leader="none"/>
        <w:tab w:val="right" w:pos="9354" w:leader="dot"/>
      </w:tabs>
      <w:suppressAutoHyphens w:val="false"/>
      <w:ind w:hanging="1418" w:left="1418"/>
      <w:jc w:val="both"/>
      <w:textAlignment w:val="baseline"/>
    </w:pPr>
    <w:rPr/>
  </w:style>
  <w:style w:type="paragraph" w:styleId="-6" w:customStyle="1">
    <w:name w:val="Пункт-6"/>
    <w:basedOn w:val="Normal"/>
    <w:qFormat/>
    <w:pPr>
      <w:tabs>
        <w:tab w:val="clear" w:pos="720"/>
        <w:tab w:val="left" w:pos="1985" w:leader="none"/>
        <w:tab w:val="right" w:pos="9354" w:leader="dot"/>
      </w:tabs>
      <w:suppressAutoHyphens w:val="false"/>
      <w:ind w:hanging="567" w:left="1985"/>
      <w:jc w:val="both"/>
    </w:pPr>
    <w:rPr/>
  </w:style>
  <w:style w:type="paragraph" w:styleId="-7" w:customStyle="1">
    <w:name w:val="Пункт-7"/>
    <w:basedOn w:val="Normal"/>
    <w:qFormat/>
    <w:pPr>
      <w:tabs>
        <w:tab w:val="clear" w:pos="720"/>
        <w:tab w:val="left" w:pos="2552" w:leader="none"/>
        <w:tab w:val="right" w:pos="9354" w:leader="dot"/>
      </w:tabs>
      <w:suppressAutoHyphens w:val="false"/>
      <w:ind w:hanging="567" w:left="2552"/>
      <w:jc w:val="both"/>
    </w:pPr>
    <w:rPr/>
  </w:style>
  <w:style w:type="paragraph" w:styleId="Caption11111111111111" w:customStyle="1">
    <w:name w:val="caption11111111111111"/>
    <w:basedOn w:val="Normal"/>
    <w:qFormat/>
    <w:pPr>
      <w:suppressLineNumbers/>
      <w:spacing w:before="120" w:after="120"/>
    </w:pPr>
    <w:rPr>
      <w:i/>
      <w:iCs/>
      <w:sz w:val="24"/>
      <w:szCs w:val="24"/>
    </w:rPr>
  </w:style>
  <w:style w:type="paragraph" w:styleId="Style30" w:customStyle="1">
    <w:name w:val="Таблица шапка"/>
    <w:basedOn w:val="Normal"/>
    <w:qFormat/>
    <w:pPr>
      <w:keepNext w:val="true"/>
      <w:spacing w:before="40" w:after="40"/>
      <w:ind w:left="57" w:right="57"/>
    </w:pPr>
    <w:rPr>
      <w:sz w:val="22"/>
      <w:szCs w:val="26"/>
    </w:rPr>
  </w:style>
  <w:style w:type="paragraph" w:styleId="Style31" w:customStyle="1">
    <w:name w:val="Таблица текст"/>
    <w:basedOn w:val="Normal"/>
    <w:qFormat/>
    <w:pPr>
      <w:spacing w:before="40" w:after="40"/>
      <w:ind w:left="57" w:right="57"/>
    </w:pPr>
    <w:rPr>
      <w:sz w:val="24"/>
      <w:szCs w:val="26"/>
    </w:rPr>
  </w:style>
  <w:style w:type="paragraph" w:styleId="Default" w:customStyle="1">
    <w:name w:val="Default"/>
    <w:qFormat/>
    <w:pPr>
      <w:widowControl/>
      <w:suppressAutoHyphens w:val="fals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5" w:customStyle="1">
    <w:name w:val="Пункт-5"/>
    <w:basedOn w:val="Normal"/>
    <w:qFormat/>
    <w:pPr>
      <w:tabs>
        <w:tab w:val="clear" w:pos="720"/>
        <w:tab w:val="left" w:pos="1418" w:leader="none"/>
      </w:tabs>
      <w:suppressAutoHyphens w:val="false"/>
      <w:ind w:hanging="1418" w:left="1418"/>
      <w:jc w:val="both"/>
    </w:pPr>
    <w:rPr/>
  </w:style>
  <w:style w:type="paragraph" w:styleId="-3" w:customStyle="1">
    <w:name w:val="Пункт-3"/>
    <w:basedOn w:val="Normal"/>
    <w:qFormat/>
    <w:pPr>
      <w:tabs>
        <w:tab w:val="clear" w:pos="720"/>
        <w:tab w:val="left" w:pos="2411" w:leader="none"/>
        <w:tab w:val="right" w:pos="9354" w:leader="dot"/>
      </w:tabs>
      <w:suppressAutoHyphens w:val="false"/>
      <w:ind w:hanging="1418" w:left="2411"/>
      <w:jc w:val="both"/>
      <w:textAlignment w:val="baseline"/>
    </w:pPr>
    <w:rPr/>
  </w:style>
  <w:style w:type="paragraph" w:styleId="-31" w:customStyle="1">
    <w:name w:val="Пункт-3 подзаголовок"/>
    <w:basedOn w:val="-3"/>
    <w:qFormat/>
    <w:pPr>
      <w:keepNext w:val="true"/>
      <w:numPr>
        <w:ilvl w:val="2"/>
        <w:numId w:val="1"/>
      </w:numPr>
      <w:suppressAutoHyphens w:val="true"/>
      <w:spacing w:before="240" w:after="120"/>
      <w:jc w:val="left"/>
      <w:outlineLvl w:val="2"/>
    </w:pPr>
    <w:rPr>
      <w:b/>
    </w:rPr>
  </w:style>
  <w:style w:type="paragraph" w:styleId="Style32" w:customStyle="1">
    <w:name w:val="Основной"/>
    <w:basedOn w:val="Normal"/>
    <w:qFormat/>
    <w:pPr>
      <w:suppressAutoHyphens w:val="false"/>
      <w:ind w:firstLine="709"/>
      <w:jc w:val="both"/>
      <w:textAlignment w:val="baseline"/>
    </w:pPr>
    <w:rPr>
      <w:sz w:val="24"/>
    </w:rPr>
  </w:style>
  <w:style w:type="paragraph" w:styleId="Style33" w:customStyle="1">
    <w:name w:val="Содержимое таблицы"/>
    <w:basedOn w:val="Normal"/>
    <w:qFormat/>
    <w:pPr>
      <w:suppressLineNumbers/>
    </w:pPr>
    <w:rPr/>
  </w:style>
  <w:style w:type="paragraph" w:styleId="Style34" w:customStyle="1">
    <w:name w:val="Таблица"/>
    <w:basedOn w:val="Normal"/>
    <w:qFormat/>
    <w:pPr>
      <w:keepNext w:val="true"/>
      <w:spacing w:before="60" w:after="60"/>
      <w:jc w:val="center"/>
    </w:pPr>
    <w:rPr>
      <w:rFonts w:eastAsia="Calibri"/>
      <w:b/>
      <w:sz w:val="24"/>
      <w:szCs w:val="24"/>
    </w:rPr>
  </w:style>
  <w:style w:type="paragraph" w:styleId="120" w:customStyle="1">
    <w:name w:val="Текст сноски1"/>
    <w:basedOn w:val="Normal"/>
    <w:qFormat/>
    <w:pPr/>
    <w:rPr/>
  </w:style>
  <w:style w:type="paragraph" w:styleId="315" w:customStyle="1">
    <w:name w:val="Основной текст с отступом 31"/>
    <w:basedOn w:val="Normal"/>
    <w:qFormat/>
    <w:pPr>
      <w:spacing w:before="0" w:after="120"/>
      <w:ind w:left="283"/>
    </w:pPr>
    <w:rPr>
      <w:sz w:val="16"/>
      <w:szCs w:val="16"/>
    </w:rPr>
  </w:style>
  <w:style w:type="paragraph" w:styleId="Caption111111111111111" w:customStyle="1">
    <w:name w:val="caption111111111111111"/>
    <w:basedOn w:val="Normal"/>
    <w:qFormat/>
    <w:pPr>
      <w:suppressLineNumbers/>
      <w:spacing w:before="120" w:after="120"/>
    </w:pPr>
    <w:rPr>
      <w:i/>
      <w:iCs/>
      <w:sz w:val="24"/>
      <w:szCs w:val="24"/>
    </w:rPr>
  </w:style>
  <w:style w:type="paragraph" w:styleId="Style35" w:customStyle="1">
    <w:name w:val="Заголовок таблицы"/>
    <w:basedOn w:val="Style33"/>
    <w:qFormat/>
    <w:pPr>
      <w:jc w:val="center"/>
    </w:pPr>
    <w:rPr>
      <w:b/>
      <w:bCs/>
    </w:rPr>
  </w:style>
  <w:style w:type="paragraph" w:styleId="Style36" w:customStyle="1">
    <w:name w:val="Содержимое врезки"/>
    <w:basedOn w:val="Normal"/>
    <w:qFormat/>
    <w:pPr/>
    <w:rPr/>
  </w:style>
  <w:style w:type="paragraph" w:styleId="NormalWeb">
    <w:name w:val="Normal (Web)"/>
    <w:basedOn w:val="Normal"/>
    <w:uiPriority w:val="99"/>
    <w:unhideWhenUsed/>
    <w:qFormat/>
    <w:rsid w:val="003e7a8d"/>
    <w:pPr>
      <w:widowControl/>
      <w:suppressAutoHyphens w:val="false"/>
      <w:spacing w:beforeAutospacing="1" w:afterAutospacing="1"/>
    </w:pPr>
    <w:rPr>
      <w:sz w:val="24"/>
      <w:szCs w:val="24"/>
    </w:rPr>
  </w:style>
  <w:style w:type="paragraph" w:styleId="Style37" w:customStyle="1">
    <w:name w:val="Таблицы"/>
    <w:basedOn w:val="Normal"/>
    <w:next w:val="Normal"/>
    <w:link w:val="Style15"/>
    <w:qFormat/>
    <w:rsid w:val="003e7a8d"/>
    <w:pPr>
      <w:widowControl/>
      <w:suppressAutoHyphens w:val="false"/>
      <w:spacing w:lineRule="auto" w:line="360"/>
      <w:ind w:left="851"/>
      <w:jc w:val="both"/>
    </w:pPr>
    <w:rPr>
      <w:rFonts w:eastAsia="Calibri" w:cs="" w:cstheme="minorBidi" w:eastAsiaTheme="minorHAnsi"/>
      <w:sz w:val="24"/>
      <w:szCs w:val="22"/>
      <w:lang w:eastAsia="en-US"/>
    </w:rPr>
  </w:style>
  <w:style w:type="paragraph" w:styleId="TOC1">
    <w:name w:val="TOC 1"/>
    <w:basedOn w:val="Normal"/>
    <w:link w:val="12"/>
    <w:autoRedefine/>
    <w:uiPriority w:val="39"/>
    <w:rsid w:val="00fe4469"/>
    <w:pPr>
      <w:widowControl/>
      <w:suppressAutoHyphens w:val="false"/>
      <w:spacing w:before="120" w:after="0"/>
    </w:pPr>
    <w:rPr>
      <w:sz w:val="28"/>
      <w:lang w:val="x-none" w:eastAsia="x-none"/>
    </w:rPr>
  </w:style>
  <w:style w:type="paragraph" w:styleId="TOC3">
    <w:name w:val="TOC 3"/>
    <w:basedOn w:val="Normal"/>
    <w:link w:val="32"/>
    <w:autoRedefine/>
    <w:uiPriority w:val="39"/>
    <w:rsid w:val="00fe4469"/>
    <w:pPr>
      <w:widowControl/>
      <w:tabs>
        <w:tab w:val="clear" w:pos="720"/>
        <w:tab w:val="left" w:pos="1120" w:leader="none"/>
        <w:tab w:val="right" w:pos="9911" w:leader="dot"/>
      </w:tabs>
      <w:suppressAutoHyphens w:val="false"/>
      <w:ind w:left="567"/>
    </w:pPr>
    <w:rPr>
      <w:sz w:val="16"/>
      <w:szCs w:val="16"/>
    </w:rPr>
  </w:style>
  <w:style w:type="paragraph" w:styleId="TOC4">
    <w:name w:val="TOC 4"/>
    <w:basedOn w:val="Normal"/>
    <w:autoRedefine/>
    <w:uiPriority w:val="39"/>
    <w:rsid w:val="00fe4469"/>
    <w:pPr>
      <w:widowControl/>
      <w:suppressAutoHyphens w:val="false"/>
      <w:ind w:left="560"/>
    </w:pPr>
    <w:rPr>
      <w:rFonts w:cs="Calibri" w:cstheme="minorHAnsi"/>
    </w:rPr>
  </w:style>
  <w:style w:type="paragraph" w:styleId="Style38" w:customStyle="1">
    <w:name w:val="Раздел положения"/>
    <w:basedOn w:val="Normal"/>
    <w:autoRedefine/>
    <w:qFormat/>
    <w:rsid w:val="00fe4469"/>
    <w:pPr>
      <w:widowControl/>
      <w:suppressAutoHyphens w:val="false"/>
      <w:spacing w:before="80" w:after="80"/>
      <w:jc w:val="center"/>
    </w:pPr>
    <w:rPr>
      <w:b/>
      <w:sz w:val="32"/>
      <w:szCs w:val="32"/>
    </w:rPr>
  </w:style>
  <w:style w:type="paragraph" w:styleId="Style39" w:customStyle="1">
    <w:name w:val="Подраздел раздела положения"/>
    <w:basedOn w:val="Normal"/>
    <w:autoRedefine/>
    <w:qFormat/>
    <w:rsid w:val="00fe4469"/>
    <w:pPr>
      <w:widowControl/>
      <w:suppressAutoHyphens w:val="false"/>
      <w:spacing w:before="80" w:after="80"/>
      <w:jc w:val="both"/>
    </w:pPr>
    <w:rPr>
      <w:sz w:val="28"/>
      <w:szCs w:val="28"/>
    </w:rPr>
  </w:style>
  <w:style w:type="paragraph" w:styleId="316" w:customStyle="1">
    <w:name w:val="Список 31"/>
    <w:basedOn w:val="Normal"/>
    <w:qFormat/>
    <w:rsid w:val="00fe4469"/>
    <w:pPr>
      <w:widowControl/>
      <w:suppressAutoHyphens w:val="false"/>
      <w:spacing w:before="120" w:after="0"/>
      <w:jc w:val="both"/>
    </w:pPr>
    <w:rPr>
      <w:rFonts w:ascii="Garamond" w:hAnsi="Garamond"/>
      <w:sz w:val="24"/>
    </w:rPr>
  </w:style>
  <w:style w:type="paragraph" w:styleId="25" w:customStyle="1">
    <w:name w:val="Нумерованный список ур2"/>
    <w:basedOn w:val="Normal"/>
    <w:link w:val="21"/>
    <w:qFormat/>
    <w:rsid w:val="00fe4469"/>
    <w:pPr>
      <w:widowControl/>
      <w:suppressAutoHyphens w:val="false"/>
      <w:spacing w:before="120" w:after="0"/>
      <w:jc w:val="both"/>
    </w:pPr>
    <w:rPr>
      <w:sz w:val="28"/>
      <w:szCs w:val="28"/>
    </w:rPr>
  </w:style>
  <w:style w:type="paragraph" w:styleId="Style40" w:customStyle="1">
    <w:name w:val="Название раздела инструкции"/>
    <w:basedOn w:val="Normal"/>
    <w:autoRedefine/>
    <w:qFormat/>
    <w:rsid w:val="00fe4469"/>
    <w:pPr>
      <w:widowControl/>
      <w:suppressAutoHyphens w:val="false"/>
      <w:jc w:val="center"/>
    </w:pPr>
    <w:rPr>
      <w:b/>
      <w:sz w:val="28"/>
      <w:szCs w:val="28"/>
    </w:rPr>
  </w:style>
  <w:style w:type="paragraph" w:styleId="121" w:customStyle="1">
    <w:name w:val="Шапка 1"/>
    <w:basedOn w:val="Normal"/>
    <w:qFormat/>
    <w:rsid w:val="00fe4469"/>
    <w:pPr>
      <w:widowControl/>
      <w:pBdr>
        <w:bottom w:val="thickThinSmallGap" w:sz="24" w:space="1" w:color="00000A"/>
      </w:pBdr>
      <w:suppressAutoHyphens w:val="false"/>
      <w:spacing w:before="0" w:after="240"/>
      <w:jc w:val="center"/>
    </w:pPr>
    <w:rPr>
      <w:sz w:val="22"/>
      <w:szCs w:val="22"/>
    </w:rPr>
  </w:style>
  <w:style w:type="paragraph" w:styleId="213" w:customStyle="1">
    <w:name w:val="Основной текст с отступом 2 Знак1"/>
    <w:basedOn w:val="Normal"/>
    <w:qFormat/>
    <w:rsid w:val="00fe4469"/>
    <w:pPr>
      <w:widowControl/>
      <w:pBdr>
        <w:bottom w:val="thickThinSmallGap" w:sz="24" w:space="1" w:color="00000A"/>
      </w:pBdr>
      <w:suppressAutoHyphens w:val="false"/>
      <w:spacing w:before="0" w:after="120"/>
      <w:jc w:val="center"/>
    </w:pPr>
    <w:rPr>
      <w:b/>
      <w:sz w:val="22"/>
      <w:szCs w:val="22"/>
    </w:rPr>
  </w:style>
  <w:style w:type="paragraph" w:styleId="35" w:customStyle="1">
    <w:name w:val="Шапка 3"/>
    <w:basedOn w:val="Normal"/>
    <w:link w:val="33"/>
    <w:qFormat/>
    <w:rsid w:val="00fe4469"/>
    <w:pPr>
      <w:widowControl/>
      <w:pBdr>
        <w:bottom w:val="thickThinSmallGap" w:sz="24" w:space="1" w:color="00000A"/>
      </w:pBdr>
      <w:suppressAutoHyphens w:val="false"/>
      <w:spacing w:before="240" w:after="360"/>
      <w:jc w:val="center"/>
    </w:pPr>
    <w:rPr>
      <w:sz w:val="16"/>
      <w:szCs w:val="16"/>
    </w:rPr>
  </w:style>
  <w:style w:type="paragraph" w:styleId="122" w:customStyle="1">
    <w:name w:val="Название1"/>
    <w:basedOn w:val="Normal"/>
    <w:uiPriority w:val="10"/>
    <w:qFormat/>
    <w:rsid w:val="00fe4469"/>
    <w:pPr>
      <w:widowControl/>
      <w:suppressAutoHyphens w:val="false"/>
      <w:jc w:val="center"/>
    </w:pPr>
    <w:rPr>
      <w:sz w:val="28"/>
      <w:lang w:val="x-none" w:eastAsia="x-none"/>
    </w:rPr>
  </w:style>
  <w:style w:type="paragraph" w:styleId="BodyTextIndent3">
    <w:name w:val="Body Text Indent 3"/>
    <w:basedOn w:val="Normal"/>
    <w:link w:val="311"/>
    <w:qFormat/>
    <w:rsid w:val="00fe4469"/>
    <w:pPr>
      <w:widowControl/>
      <w:suppressAutoHyphens w:val="false"/>
      <w:spacing w:before="0" w:after="120"/>
      <w:ind w:left="283"/>
    </w:pPr>
    <w:rPr>
      <w:sz w:val="16"/>
      <w:szCs w:val="16"/>
    </w:rPr>
  </w:style>
  <w:style w:type="paragraph" w:styleId="BlockText">
    <w:name w:val="Block Text"/>
    <w:basedOn w:val="Normal"/>
    <w:qFormat/>
    <w:rsid w:val="00fe4469"/>
    <w:pPr>
      <w:widowControl/>
      <w:suppressAutoHyphens w:val="false"/>
      <w:ind w:left="-567" w:right="-766"/>
      <w:jc w:val="center"/>
    </w:pPr>
    <w:rPr>
      <w:b/>
      <w:bCs/>
      <w:sz w:val="24"/>
    </w:rPr>
  </w:style>
  <w:style w:type="paragraph" w:styleId="Style42" w:customStyle="1">
    <w:name w:val="Подпункт"/>
    <w:basedOn w:val="Normal"/>
    <w:qFormat/>
    <w:rsid w:val="00fe4469"/>
    <w:pPr>
      <w:widowControl/>
      <w:tabs>
        <w:tab w:val="clear" w:pos="720"/>
        <w:tab w:val="left" w:pos="1134" w:leader="none"/>
      </w:tabs>
      <w:suppressAutoHyphens w:val="false"/>
      <w:snapToGrid w:val="false"/>
      <w:spacing w:lineRule="auto" w:line="360"/>
      <w:ind w:hanging="1134" w:left="1134"/>
      <w:jc w:val="both"/>
    </w:pPr>
    <w:rPr>
      <w:sz w:val="28"/>
      <w:lang w:val="x-none" w:eastAsia="x-none"/>
    </w:rPr>
  </w:style>
  <w:style w:type="paragraph" w:styleId="26" w:customStyle="1">
    <w:name w:val="Пункт2"/>
    <w:basedOn w:val="Normal"/>
    <w:link w:val="22"/>
    <w:qFormat/>
    <w:rsid w:val="00fe4469"/>
    <w:pPr>
      <w:keepNext w:val="true"/>
      <w:widowControl/>
      <w:tabs>
        <w:tab w:val="clear" w:pos="720"/>
        <w:tab w:val="left" w:pos="1134" w:leader="none"/>
      </w:tabs>
      <w:snapToGrid w:val="false"/>
      <w:spacing w:before="240" w:after="120"/>
      <w:ind w:hanging="1134" w:left="1134"/>
      <w:outlineLvl w:val="2"/>
    </w:pPr>
    <w:rPr>
      <w:sz w:val="28"/>
      <w:szCs w:val="28"/>
    </w:rPr>
  </w:style>
  <w:style w:type="paragraph" w:styleId="Style43" w:customStyle="1">
    <w:name w:val="Раздел регламента"/>
    <w:basedOn w:val="Normal"/>
    <w:qFormat/>
    <w:rsid w:val="00fe4469"/>
    <w:pPr>
      <w:widowControl/>
      <w:suppressAutoHyphens w:val="false"/>
    </w:pPr>
    <w:rPr>
      <w:sz w:val="28"/>
      <w:szCs w:val="28"/>
    </w:rPr>
  </w:style>
  <w:style w:type="paragraph" w:styleId="Style44" w:customStyle="1">
    <w:name w:val="Приложение к регламенту"/>
    <w:basedOn w:val="Normal"/>
    <w:qFormat/>
    <w:rsid w:val="00fe4469"/>
    <w:pPr>
      <w:widowControl/>
      <w:suppressAutoHyphens w:val="false"/>
      <w:jc w:val="right"/>
    </w:pPr>
    <w:rPr>
      <w:sz w:val="28"/>
      <w:szCs w:val="28"/>
    </w:rPr>
  </w:style>
  <w:style w:type="paragraph" w:styleId="TOC2">
    <w:name w:val="TOC 2"/>
    <w:basedOn w:val="Normal"/>
    <w:autoRedefine/>
    <w:uiPriority w:val="39"/>
    <w:rsid w:val="00fe4469"/>
    <w:pPr>
      <w:widowControl/>
      <w:suppressAutoHyphens w:val="false"/>
      <w:spacing w:before="240" w:after="0"/>
    </w:pPr>
    <w:rPr>
      <w:rFonts w:cs="Calibri" w:cstheme="minorHAnsi"/>
      <w:b/>
      <w:bCs/>
    </w:rPr>
  </w:style>
  <w:style w:type="paragraph" w:styleId="123" w:customStyle="1">
    <w:name w:val="Обычный (веб)1"/>
    <w:basedOn w:val="Normal"/>
    <w:uiPriority w:val="99"/>
    <w:qFormat/>
    <w:rsid w:val="00fe4469"/>
    <w:pPr>
      <w:widowControl/>
      <w:suppressAutoHyphens w:val="false"/>
      <w:spacing w:beforeAutospacing="1" w:afterAutospacing="1"/>
    </w:pPr>
    <w:rPr>
      <w:rFonts w:ascii="Arial Unicode MS" w:hAnsi="Arial Unicode MS" w:eastAsia="Arial Unicode MS" w:cs="Arial Unicode MS"/>
      <w:sz w:val="24"/>
      <w:szCs w:val="24"/>
    </w:rPr>
  </w:style>
  <w:style w:type="paragraph" w:styleId="TOC9">
    <w:name w:val="TOC 9"/>
    <w:basedOn w:val="Normal"/>
    <w:autoRedefine/>
    <w:semiHidden/>
    <w:rsid w:val="00fe4469"/>
    <w:pPr>
      <w:widowControl/>
      <w:suppressAutoHyphens w:val="false"/>
      <w:ind w:left="1960"/>
    </w:pPr>
    <w:rPr>
      <w:rFonts w:ascii="Calibri" w:hAnsi="Calibri" w:cs="Calibri" w:asciiTheme="minorHAnsi" w:cstheme="minorHAnsi" w:hAnsiTheme="minorHAnsi"/>
    </w:rPr>
  </w:style>
  <w:style w:type="paragraph" w:styleId="TOC5">
    <w:name w:val="TOC 5"/>
    <w:basedOn w:val="Normal"/>
    <w:autoRedefine/>
    <w:semiHidden/>
    <w:rsid w:val="00fe4469"/>
    <w:pPr>
      <w:widowControl/>
      <w:suppressAutoHyphens w:val="false"/>
      <w:ind w:left="840"/>
    </w:pPr>
    <w:rPr>
      <w:rFonts w:ascii="Calibri" w:hAnsi="Calibri" w:cs="Calibri" w:asciiTheme="minorHAnsi" w:cstheme="minorHAnsi" w:hAnsiTheme="minorHAnsi"/>
    </w:rPr>
  </w:style>
  <w:style w:type="paragraph" w:styleId="27" w:customStyle="1">
    <w:name w:val="Раздел положения 2"/>
    <w:basedOn w:val="Normal"/>
    <w:qFormat/>
    <w:rsid w:val="00fe4469"/>
    <w:pPr>
      <w:pageBreakBefore/>
      <w:widowControl/>
      <w:suppressAutoHyphens w:val="false"/>
      <w:jc w:val="both"/>
      <w:outlineLvl w:val="0"/>
    </w:pPr>
    <w:rPr>
      <w:b/>
      <w:sz w:val="28"/>
      <w:szCs w:val="28"/>
    </w:rPr>
  </w:style>
  <w:style w:type="paragraph" w:styleId="NoSpacing">
    <w:name w:val="No Spacing"/>
    <w:basedOn w:val="Normal"/>
    <w:uiPriority w:val="1"/>
    <w:qFormat/>
    <w:rsid w:val="00fe4469"/>
    <w:pPr>
      <w:widowControl/>
      <w:suppressAutoHyphens w:val="false"/>
      <w:spacing w:lineRule="auto" w:line="360"/>
    </w:pPr>
    <w:rPr>
      <w:rFonts w:eastAsia="Calibri"/>
      <w:sz w:val="24"/>
      <w:szCs w:val="24"/>
    </w:rPr>
  </w:style>
  <w:style w:type="paragraph" w:styleId="Subtitle">
    <w:name w:val="Subtitle"/>
    <w:basedOn w:val="Normal"/>
    <w:link w:val="15"/>
    <w:uiPriority w:val="11"/>
    <w:qFormat/>
    <w:rsid w:val="00fe4469"/>
    <w:pPr>
      <w:widowControl/>
      <w:suppressAutoHyphens w:val="false"/>
      <w:ind w:firstLine="709" w:left="1066"/>
    </w:pPr>
    <w:rPr>
      <w:rFonts w:ascii="Cambria" w:hAnsi="Cambria"/>
      <w:i/>
      <w:iCs/>
      <w:color w:val="4F81BD"/>
      <w:spacing w:val="15"/>
      <w:sz w:val="24"/>
      <w:szCs w:val="24"/>
      <w:lang w:val="x-none" w:eastAsia="x-none"/>
    </w:rPr>
  </w:style>
  <w:style w:type="paragraph" w:styleId="Quote">
    <w:name w:val="Quote"/>
    <w:basedOn w:val="Normal"/>
    <w:link w:val="24"/>
    <w:uiPriority w:val="29"/>
    <w:qFormat/>
    <w:rsid w:val="00fe4469"/>
    <w:pPr>
      <w:widowControl/>
      <w:suppressAutoHyphens w:val="false"/>
    </w:pPr>
    <w:rPr>
      <w:rFonts w:ascii="Calibri" w:hAnsi="Calibri" w:eastAsia="Calibri"/>
      <w:i/>
      <w:iCs/>
      <w:color w:val="000000"/>
      <w:lang w:val="x-none" w:eastAsia="x-none"/>
    </w:rPr>
  </w:style>
  <w:style w:type="paragraph" w:styleId="IntenseQuote">
    <w:name w:val="Intense Quote"/>
    <w:basedOn w:val="Normal"/>
    <w:link w:val="16"/>
    <w:uiPriority w:val="30"/>
    <w:qFormat/>
    <w:rsid w:val="00fe4469"/>
    <w:pPr>
      <w:widowControl/>
      <w:pBdr>
        <w:bottom w:val="single" w:sz="4" w:space="4" w:color="4F81BD"/>
      </w:pBdr>
      <w:suppressAutoHyphens w:val="false"/>
      <w:spacing w:before="200" w:after="280"/>
      <w:ind w:left="936" w:right="936"/>
    </w:pPr>
    <w:rPr>
      <w:rFonts w:ascii="Calibri" w:hAnsi="Calibri" w:eastAsia="Calibri"/>
      <w:b/>
      <w:bCs/>
      <w:i/>
      <w:iCs/>
      <w:color w:val="4F81BD"/>
      <w:lang w:val="x-none" w:eastAsia="x-none"/>
    </w:rPr>
  </w:style>
  <w:style w:type="paragraph" w:styleId="IndexHeading">
    <w:name w:val="Index Heading"/>
    <w:basedOn w:val="Style22"/>
    <w:pPr/>
    <w:rPr/>
  </w:style>
  <w:style w:type="paragraph" w:styleId="TOCHeading">
    <w:name w:val="TOC Heading"/>
    <w:basedOn w:val="Heading1"/>
    <w:uiPriority w:val="39"/>
    <w:qFormat/>
    <w:rsid w:val="00fe4469"/>
    <w:pPr>
      <w:keepLines/>
      <w:widowControl/>
      <w:suppressAutoHyphens w:val="false"/>
      <w:spacing w:before="480" w:after="60"/>
    </w:pPr>
    <w:rPr>
      <w:rFonts w:ascii="Cambria" w:hAnsi="Cambria" w:eastAsia="Calibri" w:cs="Times New Roman"/>
      <w:color w:val="365F91"/>
      <w:kern w:val="0"/>
      <w:sz w:val="28"/>
      <w:szCs w:val="28"/>
      <w:lang w:val="x-none" w:eastAsia="x-none"/>
    </w:rPr>
  </w:style>
  <w:style w:type="paragraph" w:styleId="E-mailSignature">
    <w:name w:val="E-mail Signature"/>
    <w:basedOn w:val="Normal"/>
    <w:link w:val="17"/>
    <w:uiPriority w:val="99"/>
    <w:unhideWhenUsed/>
    <w:qFormat/>
    <w:rsid w:val="00fe4469"/>
    <w:pPr>
      <w:widowControl/>
      <w:suppressAutoHyphens w:val="false"/>
    </w:pPr>
    <w:rPr>
      <w:rFonts w:eastAsia="Calibri"/>
      <w:sz w:val="24"/>
      <w:szCs w:val="24"/>
      <w:lang w:val="x-none" w:eastAsia="x-none"/>
    </w:rPr>
  </w:style>
  <w:style w:type="paragraph" w:styleId="Style45" w:customStyle="1">
    <w:name w:val="Пункт"/>
    <w:basedOn w:val="Normal"/>
    <w:qFormat/>
    <w:rsid w:val="00fe4469"/>
    <w:pPr>
      <w:tabs>
        <w:tab w:val="clear" w:pos="720"/>
        <w:tab w:val="left" w:pos="1134" w:leader="none"/>
      </w:tabs>
      <w:suppressAutoHyphens w:val="false"/>
      <w:spacing w:lineRule="auto" w:line="360" w:before="120" w:after="0"/>
      <w:ind w:hanging="1134" w:left="1134" w:right="800"/>
      <w:jc w:val="both"/>
    </w:pPr>
    <w:rPr>
      <w:rFonts w:ascii="Arial" w:hAnsi="Arial"/>
      <w:b/>
      <w:i/>
      <w:sz w:val="28"/>
    </w:rPr>
  </w:style>
  <w:style w:type="paragraph" w:styleId="124" w:customStyle="1">
    <w:name w:val="Абзац списка1"/>
    <w:basedOn w:val="Normal"/>
    <w:qFormat/>
    <w:rsid w:val="00fe4469"/>
    <w:pPr>
      <w:widowControl/>
      <w:suppressAutoHyphens w:val="false"/>
      <w:spacing w:lineRule="auto" w:line="276" w:before="0" w:after="200"/>
      <w:ind w:left="720"/>
      <w:contextualSpacing/>
    </w:pPr>
    <w:rPr>
      <w:rFonts w:ascii="Calibri" w:hAnsi="Calibri"/>
      <w:sz w:val="22"/>
      <w:szCs w:val="22"/>
      <w:lang w:eastAsia="en-US"/>
    </w:rPr>
  </w:style>
  <w:style w:type="paragraph" w:styleId="Style46" w:customStyle="1">
    <w:name w:val="Подподпункт"/>
    <w:basedOn w:val="Style42"/>
    <w:qFormat/>
    <w:rsid w:val="00fe4469"/>
    <w:pPr>
      <w:tabs>
        <w:tab w:val="left" w:pos="1134" w:leader="none"/>
        <w:tab w:val="left" w:pos="5104" w:leader="none"/>
      </w:tabs>
      <w:snapToGrid w:val="true"/>
      <w:spacing w:lineRule="auto" w:line="240" w:before="120" w:after="0"/>
      <w:ind w:hanging="567" w:left="5104"/>
    </w:pPr>
    <w:rPr>
      <w:sz w:val="26"/>
      <w:szCs w:val="26"/>
      <w:lang w:val="ru-RU" w:eastAsia="ru-RU"/>
    </w:rPr>
  </w:style>
  <w:style w:type="paragraph" w:styleId="Style47" w:customStyle="1">
    <w:name w:val="УРОВЕНЬ_(а)"/>
    <w:basedOn w:val="ListParagraph"/>
    <w:qFormat/>
    <w:rsid w:val="00fe4469"/>
    <w:pPr>
      <w:widowControl/>
      <w:suppressAutoHyphens w:val="false"/>
      <w:spacing w:lineRule="exact" w:line="360" w:before="120" w:after="0"/>
      <w:contextualSpacing/>
      <w:jc w:val="both"/>
      <w:outlineLvl w:val="3"/>
    </w:pPr>
    <w:rPr>
      <w:rFonts w:eastAsia="Calibri"/>
      <w:sz w:val="26"/>
      <w:szCs w:val="28"/>
      <w:lang w:eastAsia="en-US"/>
    </w:rPr>
  </w:style>
  <w:style w:type="paragraph" w:styleId="-1" w:customStyle="1">
    <w:name w:val="УРОВЕНЬ_-"/>
    <w:basedOn w:val="ListParagraph"/>
    <w:qFormat/>
    <w:rsid w:val="00fe4469"/>
    <w:pPr>
      <w:widowControl/>
      <w:suppressAutoHyphens w:val="false"/>
      <w:spacing w:lineRule="exact" w:line="360" w:before="120" w:after="0"/>
      <w:contextualSpacing/>
      <w:jc w:val="both"/>
      <w:outlineLvl w:val="4"/>
    </w:pPr>
    <w:rPr>
      <w:rFonts w:eastAsia="Calibri"/>
      <w:sz w:val="26"/>
      <w:szCs w:val="28"/>
      <w:lang w:eastAsia="en-US"/>
    </w:rPr>
  </w:style>
  <w:style w:type="paragraph" w:styleId="28" w:customStyle="1">
    <w:name w:val="УРОВЕНЬ_Абзац_тип2"/>
    <w:basedOn w:val="ListParagraph"/>
    <w:qFormat/>
    <w:rsid w:val="00fe4469"/>
    <w:pPr>
      <w:widowControl/>
      <w:suppressAutoHyphens w:val="false"/>
      <w:spacing w:lineRule="exact" w:line="360" w:before="120" w:after="0"/>
      <w:contextualSpacing/>
      <w:jc w:val="both"/>
    </w:pPr>
    <w:rPr>
      <w:rFonts w:eastAsia="Calibri"/>
      <w:sz w:val="26"/>
      <w:szCs w:val="28"/>
      <w:lang w:eastAsia="en-US"/>
    </w:rPr>
  </w:style>
  <w:style w:type="paragraph" w:styleId="36" w:customStyle="1">
    <w:name w:val="УРОВЕНЬ_Абзац_тип3"/>
    <w:basedOn w:val="ListParagraph"/>
    <w:qFormat/>
    <w:rsid w:val="00fe4469"/>
    <w:pPr>
      <w:widowControl/>
      <w:suppressAutoHyphens w:val="false"/>
      <w:spacing w:lineRule="exact" w:line="360" w:before="120" w:after="0"/>
      <w:contextualSpacing/>
      <w:jc w:val="both"/>
    </w:pPr>
    <w:rPr>
      <w:rFonts w:eastAsia="Calibri"/>
      <w:sz w:val="26"/>
      <w:szCs w:val="28"/>
      <w:lang w:eastAsia="en-US"/>
    </w:rPr>
  </w:style>
  <w:style w:type="paragraph" w:styleId="Style48" w:customStyle="1">
    <w:name w:val="УРОВЕНЬ_Подпись"/>
    <w:basedOn w:val="ListParagraph"/>
    <w:qFormat/>
    <w:rsid w:val="00fe4469"/>
    <w:pPr>
      <w:keepNext w:val="true"/>
      <w:widowControl/>
      <w:suppressAutoHyphens w:val="false"/>
      <w:spacing w:lineRule="exact" w:line="360" w:before="120" w:after="120"/>
      <w:contextualSpacing/>
      <w:jc w:val="right"/>
      <w:outlineLvl w:val="3"/>
    </w:pPr>
    <w:rPr>
      <w:rFonts w:eastAsia="Calibri"/>
      <w:sz w:val="26"/>
      <w:szCs w:val="28"/>
      <w:lang w:eastAsia="en-US"/>
    </w:rPr>
  </w:style>
  <w:style w:type="paragraph" w:styleId="125" w:customStyle="1">
    <w:name w:val="Стиль Заголовок 1 + по ширине"/>
    <w:basedOn w:val="Heading1"/>
    <w:qFormat/>
    <w:rsid w:val="00fe4469"/>
    <w:pPr>
      <w:keepLines/>
      <w:widowControl/>
      <w:tabs>
        <w:tab w:val="clear" w:pos="720"/>
        <w:tab w:val="left" w:pos="567" w:leader="none"/>
      </w:tabs>
      <w:spacing w:before="480" w:after="240"/>
      <w:ind w:hanging="567" w:left="567"/>
      <w:jc w:val="both"/>
    </w:pPr>
    <w:rPr>
      <w:rFonts w:cs="Times New Roman"/>
      <w:kern w:val="0"/>
      <w:sz w:val="40"/>
      <w:szCs w:val="20"/>
    </w:rPr>
  </w:style>
  <w:style w:type="paragraph" w:styleId="EndnoteText">
    <w:name w:val="Endnote Text"/>
    <w:basedOn w:val="Normal"/>
    <w:link w:val="18"/>
    <w:qFormat/>
    <w:rsid w:val="00fe4469"/>
    <w:pPr>
      <w:widowControl/>
      <w:suppressAutoHyphens w:val="false"/>
    </w:pPr>
    <w:rPr/>
  </w:style>
  <w:style w:type="paragraph" w:styleId="29" w:customStyle="1">
    <w:name w:val="Заголовок 2 КВВ"/>
    <w:basedOn w:val="Normal"/>
    <w:qFormat/>
    <w:rsid w:val="00fe4469"/>
    <w:pPr>
      <w:keepNext w:val="true"/>
      <w:widowControl/>
      <w:spacing w:before="120" w:after="120"/>
      <w:jc w:val="both"/>
      <w:outlineLvl w:val="0"/>
    </w:pPr>
    <w:rPr>
      <w:b/>
      <w:sz w:val="24"/>
      <w:lang w:eastAsia="x-none"/>
    </w:rPr>
  </w:style>
  <w:style w:type="paragraph" w:styleId="126" w:customStyle="1">
    <w:name w:val="УРОВЕНЬ_1."/>
    <w:basedOn w:val="ListParagraph"/>
    <w:qFormat/>
    <w:rsid w:val="00fe4469"/>
    <w:pPr>
      <w:keepNext w:val="true"/>
      <w:keepLines/>
      <w:widowControl/>
      <w:suppressAutoHyphens w:val="false"/>
      <w:spacing w:lineRule="auto" w:line="276" w:before="240" w:after="120"/>
      <w:ind w:left="0"/>
      <w:contextualSpacing/>
      <w:jc w:val="both"/>
      <w:outlineLvl w:val="0"/>
    </w:pPr>
    <w:rPr>
      <w:rFonts w:eastAsia="Calibri"/>
      <w:caps/>
      <w:sz w:val="28"/>
      <w:szCs w:val="28"/>
      <w:lang w:eastAsia="en-US"/>
    </w:rPr>
  </w:style>
  <w:style w:type="paragraph" w:styleId="TOC6">
    <w:name w:val="TOC 6"/>
    <w:basedOn w:val="Normal"/>
    <w:autoRedefine/>
    <w:unhideWhenUsed/>
    <w:rsid w:val="00fe4469"/>
    <w:pPr>
      <w:widowControl/>
      <w:suppressAutoHyphens w:val="false"/>
      <w:ind w:left="1120"/>
    </w:pPr>
    <w:rPr>
      <w:rFonts w:ascii="Calibri" w:hAnsi="Calibri" w:cs="Calibri" w:asciiTheme="minorHAnsi" w:cstheme="minorHAnsi" w:hAnsiTheme="minorHAnsi"/>
    </w:rPr>
  </w:style>
  <w:style w:type="paragraph" w:styleId="TOC7">
    <w:name w:val="TOC 7"/>
    <w:basedOn w:val="Normal"/>
    <w:autoRedefine/>
    <w:unhideWhenUsed/>
    <w:rsid w:val="00fe4469"/>
    <w:pPr>
      <w:widowControl/>
      <w:suppressAutoHyphens w:val="false"/>
      <w:ind w:left="1400"/>
    </w:pPr>
    <w:rPr>
      <w:rFonts w:ascii="Calibri" w:hAnsi="Calibri" w:cs="Calibri" w:asciiTheme="minorHAnsi" w:cstheme="minorHAnsi" w:hAnsiTheme="minorHAnsi"/>
    </w:rPr>
  </w:style>
  <w:style w:type="paragraph" w:styleId="TOC8">
    <w:name w:val="TOC 8"/>
    <w:basedOn w:val="Normal"/>
    <w:autoRedefine/>
    <w:unhideWhenUsed/>
    <w:rsid w:val="00fe4469"/>
    <w:pPr>
      <w:widowControl/>
      <w:suppressAutoHyphens w:val="false"/>
      <w:ind w:left="1680"/>
    </w:pPr>
    <w:rPr>
      <w:rFonts w:ascii="Calibri" w:hAnsi="Calibri" w:cs="Calibri" w:asciiTheme="minorHAnsi" w:cstheme="minorHAnsi" w:hAnsiTheme="minorHAnsi"/>
    </w:rPr>
  </w:style>
  <w:style w:type="paragraph" w:styleId="TableParagraph" w:customStyle="1">
    <w:name w:val="Table Paragraph"/>
    <w:basedOn w:val="Normal"/>
    <w:uiPriority w:val="1"/>
    <w:qFormat/>
    <w:rsid w:val="00fe4469"/>
    <w:pPr>
      <w:suppressAutoHyphens w:val="false"/>
    </w:pPr>
    <w:rPr>
      <w:rFonts w:ascii="Calibri" w:hAnsi="Calibri" w:eastAsia="Calibri" w:cs="" w:asciiTheme="minorHAnsi" w:cstheme="minorBidi" w:eastAsiaTheme="minorHAnsi" w:hAnsiTheme="minorHAnsi"/>
      <w:sz w:val="22"/>
      <w:szCs w:val="22"/>
      <w:lang w:val="en-US" w:eastAsia="en-US"/>
    </w:rPr>
  </w:style>
  <w:style w:type="paragraph" w:styleId="Index1">
    <w:name w:val="index 1"/>
    <w:basedOn w:val="Normal"/>
    <w:next w:val="Normal"/>
    <w:autoRedefine/>
    <w:uiPriority w:val="99"/>
    <w:semiHidden/>
    <w:unhideWhenUsed/>
    <w:qFormat/>
    <w:rsid w:val="00fe4469"/>
    <w:pPr>
      <w:widowControl/>
      <w:suppressAutoHyphens w:val="false"/>
      <w:ind w:hanging="280" w:left="280"/>
    </w:pPr>
    <w:rPr>
      <w:sz w:val="28"/>
      <w:szCs w:val="28"/>
    </w:rPr>
  </w:style>
  <w:style w:type="paragraph" w:styleId="Tableoffigures">
    <w:name w:val="table of figures"/>
    <w:basedOn w:val="Normal"/>
    <w:next w:val="Normal"/>
    <w:uiPriority w:val="99"/>
    <w:unhideWhenUsed/>
    <w:qFormat/>
    <w:rsid w:val="00fe4469"/>
    <w:pPr>
      <w:widowControl/>
      <w:suppressAutoHyphens w:val="false"/>
      <w:spacing w:lineRule="auto" w:line="360"/>
      <w:jc w:val="both"/>
    </w:pPr>
    <w:rPr>
      <w:rFonts w:eastAsia="Calibri" w:cs="" w:cstheme="minorBidi" w:eastAsiaTheme="minorHAnsi"/>
      <w:sz w:val="24"/>
      <w:szCs w:val="22"/>
      <w:lang w:eastAsia="en-US"/>
    </w:rPr>
  </w:style>
  <w:style w:type="paragraph" w:styleId="-2" w:customStyle="1">
    <w:name w:val="Колонтитул(наз.орган-и)"/>
    <w:basedOn w:val="Normal"/>
    <w:qFormat/>
    <w:rsid w:val="00fe4469"/>
    <w:pPr>
      <w:widowControl/>
      <w:suppressAutoHyphens w:val="false"/>
      <w:spacing w:lineRule="auto" w:line="360" w:before="120" w:after="0"/>
      <w:jc w:val="center"/>
    </w:pPr>
    <w:rPr>
      <w:rFonts w:ascii="ISOCPEUR" w:hAnsi="ISOCPEUR"/>
      <w:i/>
      <w:szCs w:val="24"/>
    </w:rPr>
  </w:style>
  <w:style w:type="paragraph" w:styleId="Headertext" w:customStyle="1">
    <w:name w:val="headertext"/>
    <w:basedOn w:val="Normal"/>
    <w:qFormat/>
    <w:rsid w:val="00fe4469"/>
    <w:pPr>
      <w:widowControl/>
      <w:suppressAutoHyphens w:val="false"/>
      <w:spacing w:beforeAutospacing="1" w:afterAutospacing="1"/>
    </w:pPr>
    <w:rPr>
      <w:sz w:val="24"/>
      <w:szCs w:val="24"/>
    </w:rPr>
  </w:style>
  <w:style w:type="paragraph" w:styleId="Style49" w:customStyle="1">
    <w:name w:val="перечисление абзацев"/>
    <w:basedOn w:val="Normal"/>
    <w:qFormat/>
    <w:rsid w:val="00fe4469"/>
    <w:pPr>
      <w:keepLines/>
      <w:widowControl/>
      <w:numPr>
        <w:ilvl w:val="0"/>
        <w:numId w:val="10"/>
      </w:numPr>
      <w:tabs>
        <w:tab w:val="clear" w:pos="720"/>
        <w:tab w:val="left" w:pos="1418" w:leader="none"/>
      </w:tabs>
      <w:suppressAutoHyphens w:val="false"/>
      <w:spacing w:lineRule="auto" w:line="360" w:before="0" w:after="0"/>
      <w:ind w:firstLine="851" w:left="284" w:right="170"/>
      <w:contextualSpacing/>
      <w:jc w:val="both"/>
    </w:pPr>
    <w:rPr>
      <w:rFonts w:eastAsia="Arial Unicode MS"/>
      <w:iCs/>
      <w:color w:val="000000"/>
      <w:sz w:val="26"/>
      <w:szCs w:val="24"/>
    </w:rPr>
  </w:style>
  <w:style w:type="paragraph" w:styleId="C" w:customStyle="1">
    <w:name w:val="Cписок"/>
    <w:basedOn w:val="Normal"/>
    <w:qFormat/>
    <w:rsid w:val="00fe4469"/>
    <w:pPr>
      <w:widowControl/>
      <w:numPr>
        <w:ilvl w:val="0"/>
        <w:numId w:val="11"/>
      </w:numPr>
      <w:suppressAutoHyphens w:val="false"/>
      <w:spacing w:lineRule="auto" w:line="360"/>
      <w:jc w:val="both"/>
    </w:pPr>
    <w:rPr>
      <w:sz w:val="24"/>
      <w:szCs w:val="24"/>
    </w:rPr>
  </w:style>
  <w:style w:type="paragraph" w:styleId="Caaieiaie3" w:customStyle="1">
    <w:name w:val="caaieiaie 3"/>
    <w:basedOn w:val="Normal"/>
    <w:next w:val="Normal"/>
    <w:qFormat/>
    <w:rsid w:val="00fe4469"/>
    <w:pPr>
      <w:keepNext w:val="true"/>
      <w:widowControl/>
      <w:suppressAutoHyphens w:val="false"/>
      <w:spacing w:before="240" w:after="60"/>
      <w:ind w:firstLine="720"/>
      <w:jc w:val="both"/>
      <w:textAlignment w:val="baseline"/>
    </w:pPr>
    <w:rPr>
      <w:b/>
      <w:sz w:val="24"/>
      <w:lang w:val="en-US" w:eastAsia="en-US"/>
    </w:rPr>
  </w:style>
  <w:style w:type="paragraph" w:styleId="Index5">
    <w:name w:val="index 5"/>
    <w:basedOn w:val="Normal"/>
    <w:next w:val="Normal"/>
    <w:autoRedefine/>
    <w:unhideWhenUsed/>
    <w:qFormat/>
    <w:rsid w:val="008b265f"/>
    <w:pPr>
      <w:ind w:hanging="200" w:left="171"/>
    </w:pPr>
    <w:rPr/>
  </w:style>
  <w:style w:type="paragraph" w:styleId="Body" w:customStyle="1">
    <w:name w:val="Body"/>
    <w:basedOn w:val="Normal"/>
    <w:qFormat/>
    <w:rsid w:val="00352390"/>
    <w:pPr>
      <w:widowControl/>
      <w:suppressAutoHyphens w:val="false"/>
      <w:spacing w:lineRule="atLeast" w:line="360"/>
      <w:ind w:firstLine="851" w:left="284"/>
      <w:jc w:val="both"/>
    </w:pPr>
    <w:rPr>
      <w:rFonts w:ascii="Pragmatica" w:hAnsi="Pragmatica"/>
      <w:sz w:val="24"/>
    </w:rPr>
  </w:style>
  <w:style w:type="numbering" w:styleId="NoList" w:default="1">
    <w:name w:val="No List"/>
    <w:uiPriority w:val="99"/>
    <w:semiHidden/>
    <w:unhideWhenUsed/>
    <w:qFormat/>
  </w:style>
  <w:style w:type="numbering" w:styleId="WW8Num7" w:customStyle="1">
    <w:name w:val="WW8Num7"/>
    <w:qFormat/>
  </w:style>
  <w:style w:type="numbering" w:styleId="127" w:customStyle="1">
    <w:name w:val="Стиль1"/>
    <w:uiPriority w:val="99"/>
    <w:qFormat/>
    <w:rsid w:val="00fe4469"/>
  </w:style>
  <w:style w:type="numbering" w:styleId="210" w:customStyle="1">
    <w:name w:val="Стиль2"/>
    <w:uiPriority w:val="99"/>
    <w:qFormat/>
    <w:rsid w:val="00fe4469"/>
  </w:style>
  <w:style w:type="numbering" w:styleId="31723223771">
    <w:name w:val="31723223771"/>
    <w:qFormat/>
  </w:style>
  <w:style w:type="numbering" w:styleId="32927132541">
    <w:name w:val="32927132541"/>
    <w:qFormat/>
  </w:style>
  <w:style w:type="numbering" w:styleId="20598683861">
    <w:name w:val="20598683861"/>
    <w:qFormat/>
  </w:style>
  <w:style w:type="numbering" w:styleId="11283710661">
    <w:name w:val="11283710661"/>
    <w:qFormat/>
  </w:style>
  <w:style w:type="numbering" w:styleId="27286775391">
    <w:name w:val="27286775391"/>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fff7">
    <w:name w:val="Table Grid"/>
    <w:basedOn w:val="a2"/>
    <w:uiPriority w:val="5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
    <w:name w:val="Сетка таблицы9"/>
    <w:basedOn w:val="a2"/>
    <w:uiPriority w:val="39"/>
    <w:rsid w:val="003e7a8d"/>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e">
    <w:name w:val="Сетка таблицы1"/>
    <w:basedOn w:val="a2"/>
    <w:uiPriority w:val="39"/>
    <w:rsid w:val="00fe4469"/>
    <w:rPr>
      <w:rFonts w:asciiTheme="minorHAnsi" w:hAnsiTheme="minorHAnsi" w:eastAsiaTheme="minorHAnsi" w:cstheme="minorBid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
    <w:name w:val="Таблица (ГОСТ)1"/>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0">
    <w:name w:val="Таблица (ГОСТ)2"/>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c">
    <w:name w:val="Таблица (ГОСТ)3"/>
    <w:basedOn w:val="a2"/>
    <w:uiPriority w:val="5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2">
    <w:name w:val="Сетка таблицы8"/>
    <w:basedOn w:val="a2"/>
    <w:uiPriority w:val="59"/>
    <w:rsid w:val="00fe446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3">
    <w:name w:val="Таблица (ГОСТ)4"/>
    <w:basedOn w:val="a2"/>
    <w:uiPriority w:val="3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
    <w:name w:val="Таблица (ГОСТ)5"/>
    <w:basedOn w:val="a2"/>
    <w:uiPriority w:val="39"/>
    <w:rsid w:val="00fe44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yperlink" Target="https://reestr.digital.gov.ru/" TargetMode="External"/><Relationship Id="rId13" Type="http://schemas.openxmlformats.org/officeDocument/2006/relationships/hyperlink" Target="https://reestr.digital.gov.ru/" TargetMode="Externa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image" Target="media/image1.png"/><Relationship Id="rId23" Type="http://schemas.openxmlformats.org/officeDocument/2006/relationships/image" Target="media/image2.png"/><Relationship Id="rId24" Type="http://schemas.openxmlformats.org/officeDocument/2006/relationships/image" Target="media/image3.png"/><Relationship Id="rId25" Type="http://schemas.openxmlformats.org/officeDocument/2006/relationships/header" Target="header10.xml"/><Relationship Id="rId26" Type="http://schemas.openxmlformats.org/officeDocument/2006/relationships/header" Target="header11.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Relationship Id="rId33" Type="http://schemas.openxmlformats.org/officeDocument/2006/relationships/customXml" Target="../customXml/item1.xml"/><Relationship Id="rId34" Type="http://schemas.openxmlformats.org/officeDocument/2006/relationships/customXml" Target="../customXml/item2.xml"/><Relationship Id="rId35" Type="http://schemas.openxmlformats.org/officeDocument/2006/relationships/customXml" Target="../customXml/item3.xml"/><Relationship Id="rId36"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391926-16e0-4cfb-b110-3d3d4588acaa">
      <Terms xmlns="http://schemas.microsoft.com/office/infopath/2007/PartnerControls"/>
    </lcf76f155ced4ddcb4097134ff3c332f>
    <TaxCatchAll xmlns="5b921955-840d-4409-aab0-dc43f42745d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Документ" ma:contentTypeID="0x010100D8F613C928F82845A70DA8086A3FBD29" ma:contentTypeVersion="18" ma:contentTypeDescription="Создание документа." ma:contentTypeScope="" ma:versionID="3e712564cdffa00d36c10ce80f72036e">
  <xsd:schema xmlns:xsd="http://www.w3.org/2001/XMLSchema" xmlns:xs="http://www.w3.org/2001/XMLSchema" xmlns:p="http://schemas.microsoft.com/office/2006/metadata/properties" xmlns:ns2="6b391926-16e0-4cfb-b110-3d3d4588acaa" xmlns:ns3="5b921955-840d-4409-aab0-dc43f42745dc" targetNamespace="http://schemas.microsoft.com/office/2006/metadata/properties" ma:root="true" ma:fieldsID="2678b3c0f24084dd2a1f6b1da8648e81" ns2:_="" ns3:_="">
    <xsd:import namespace="6b391926-16e0-4cfb-b110-3d3d4588acaa"/>
    <xsd:import namespace="5b921955-840d-4409-aab0-dc43f42745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91926-16e0-4cfb-b110-3d3d4588a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dd9e9765-189b-493d-8cf8-e81e194e3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921955-840d-4409-aab0-dc43f42745dc"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18e0abf1-8102-4589-9a8d-7a792d6e906e}" ma:internalName="TaxCatchAll" ma:showField="CatchAllData" ma:web="5b921955-840d-4409-aab0-dc43f42745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7F8AEF-69C8-4521-AF6F-5E513E3E618D}">
  <ds:schemaRefs>
    <ds:schemaRef ds:uri="http://schemas.microsoft.com/office/2006/metadata/properties"/>
    <ds:schemaRef ds:uri="http://schemas.microsoft.com/office/infopath/2007/PartnerControls"/>
    <ds:schemaRef ds:uri="6b391926-16e0-4cfb-b110-3d3d4588acaa"/>
    <ds:schemaRef ds:uri="5b921955-840d-4409-aab0-dc43f42745dc"/>
  </ds:schemaRefs>
</ds:datastoreItem>
</file>

<file path=customXml/itemProps2.xml><?xml version="1.0" encoding="utf-8"?>
<ds:datastoreItem xmlns:ds="http://schemas.openxmlformats.org/officeDocument/2006/customXml" ds:itemID="{CF3D6FEF-1CAC-4ADC-ACA0-35124334C9D2}">
  <ds:schemaRefs>
    <ds:schemaRef ds:uri="http://schemas.microsoft.com/sharepoint/v3/contenttype/forms"/>
  </ds:schemaRefs>
</ds:datastoreItem>
</file>

<file path=customXml/itemProps3.xml><?xml version="1.0" encoding="utf-8"?>
<ds:datastoreItem xmlns:ds="http://schemas.openxmlformats.org/officeDocument/2006/customXml" ds:itemID="{8F22A391-25AD-4337-9EF2-F159E6B8D04C}">
  <ds:schemaRefs>
    <ds:schemaRef ds:uri="http://schemas.openxmlformats.org/officeDocument/2006/bibliography"/>
  </ds:schemaRefs>
</ds:datastoreItem>
</file>

<file path=customXml/itemProps4.xml><?xml version="1.0" encoding="utf-8"?>
<ds:datastoreItem xmlns:ds="http://schemas.openxmlformats.org/officeDocument/2006/customXml" ds:itemID="{9CDEABDE-C005-4F5F-A684-8D4027668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91926-16e0-4cfb-b110-3d3d4588acaa"/>
    <ds:schemaRef ds:uri="5b921955-840d-4409-aab0-dc43f42745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205</TotalTime>
  <Application>AlterOffice/2026.2.0.0$Linux_X86_64 LibreOffice_project/bc4ef1adf80b36c7a6365f8ed6cbf29021361edd</Application>
  <AppVersion>15.0000</AppVersion>
  <Pages>82</Pages>
  <Words>12441</Words>
  <Characters>88616</Characters>
  <CharactersWithSpaces>100094</CharactersWithSpaces>
  <Paragraphs>1666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2026-09-30T05:44:00Z</dcterms:created>
  <dc:creator>tsypilev_ag</dc:creator>
  <dc:description/>
  <dc:language>ru-RU</dc:language>
  <cp:lastModifiedBy>aleshinaoi@corp.gidroogk.com</cp:lastModifiedBy>
  <cp:lastPrinted>2025-08-29T16:35:00Z</cp:lastPrinted>
  <dcterms:modified xsi:type="dcterms:W3CDTF">2026-09-30T18:01:06Z</dcterms:modified>
  <cp:revision>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0x010100D8F613C928F82845A70DA8086A3FBD29</vt:lpwstr>
  </property>
  <property fmtid="{D5CDD505-2E9C-101B-9397-08002B2CF9AE}" pid="3" name="MediaServiceImageTags">
    <vt:lpwstr/>
  </property>
</Properties>
</file>