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0" w:name="_Toc137554584"/>
      <w:bookmarkStart w:id="1" w:name="_Toc141696704"/>
      <w:bookmarkStart w:id="2" w:name="_Toc139856287"/>
      <w:bookmarkStart w:id="3" w:name="_Toc137554584"/>
      <w:bookmarkStart w:id="4" w:name="_Toc14169670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6" w:name="_Toc1398562871"/>
      <w:bookmarkStart w:id="7" w:name="_Toc1375545841"/>
      <w:bookmarkStart w:id="8" w:name="_Toc1416967041"/>
      <w:bookmarkStart w:id="9" w:name="_Toc1398562871"/>
      <w:bookmarkStart w:id="10" w:name="_Toc1375545841"/>
      <w:bookmarkStart w:id="11" w:name="_Toc1416967041"/>
      <w:bookmarkEnd w:id="9"/>
      <w:bookmarkEnd w:id="10"/>
      <w:bookmarkEnd w:id="11"/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Технические требования 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 w:val="false"/>
          <w:bCs w:val="false"/>
          <w:sz w:val="24"/>
          <w:szCs w:val="24"/>
        </w:rPr>
        <w:t>ОКПД2 86.21.10.120 О</w:t>
      </w:r>
      <w:r>
        <w:rPr>
          <w:b w:val="false"/>
          <w:bCs w:val="false"/>
          <w:sz w:val="24"/>
          <w:szCs w:val="24"/>
        </w:rPr>
        <w:t>казание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bidi="ar-SA"/>
        </w:rPr>
        <w:t xml:space="preserve"> услуг по проведению предрейсовых и послерейсовых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bidi="ar-SA"/>
        </w:rPr>
        <w:t>медицинских осмотров водителей автотранспортных средств</w:t>
      </w:r>
    </w:p>
    <w:p>
      <w:pPr>
        <w:pStyle w:val="Normal"/>
        <w:spacing w:lineRule="auto" w:line="36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bidi="ar-SA"/>
        </w:rPr>
        <w:t>Нижегородского производственного участка</w:t>
      </w:r>
    </w:p>
    <w:p>
      <w:pPr>
        <w:pStyle w:val="Normal"/>
        <w:spacing w:lineRule="auto" w:line="276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bidi="ar-SA"/>
        </w:rPr>
        <w:t>Чебоксарского филиала АО «Гидроремонт-ВКК» в г. Новочебоксарск</w:t>
      </w:r>
    </w:p>
    <w:p>
      <w:pPr>
        <w:pStyle w:val="Normal"/>
        <w:spacing w:lineRule="auto" w:line="276"/>
        <w:jc w:val="center"/>
        <w:rPr>
          <w:rFonts w:ascii="Times New Roman" w:hAnsi="Times New Roman"/>
          <w:color w:val="C9211E"/>
          <w:sz w:val="24"/>
          <w:szCs w:val="24"/>
        </w:rPr>
      </w:pPr>
      <w:r>
        <w:rPr>
          <w:color w:val="C9211E"/>
          <w:sz w:val="24"/>
          <w:szCs w:val="24"/>
        </w:rPr>
      </w:r>
    </w:p>
    <w:p>
      <w:pPr>
        <w:pStyle w:val="16"/>
        <w:widowControl/>
        <w:suppressAutoHyphens w:val="true"/>
        <w:bidi w:val="0"/>
        <w:spacing w:lineRule="auto" w:line="264" w:before="0" w:after="0"/>
        <w:ind w:hanging="0" w:left="57" w:right="0"/>
        <w:contextualSpacing w:val="false"/>
        <w:jc w:val="center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лот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> 0055-АХР ДОР-2027-ГРВКК-ЧебФ</w:t>
      </w:r>
    </w:p>
    <w:p>
      <w:pPr>
        <w:pStyle w:val="16"/>
        <w:widowControl/>
        <w:suppressAutoHyphens w:val="true"/>
        <w:bidi w:val="0"/>
        <w:spacing w:lineRule="auto" w:line="264" w:before="0" w:after="0"/>
        <w:ind w:hanging="0" w:left="57" w:right="0"/>
        <w:contextualSpacing w:val="false"/>
        <w:jc w:val="center"/>
        <w:rPr>
          <w:highlight w:val="none"/>
          <w:shd w:fill="FFFF00" w:val="clear"/>
        </w:rPr>
      </w:pPr>
      <w:r>
        <w:rPr/>
      </w:r>
    </w:p>
    <w:p>
      <w:pPr>
        <w:pStyle w:val="Normal"/>
        <w:jc w:val="center"/>
        <w:rPr>
          <w:rFonts w:ascii="Times New Roman" w:hAnsi="Times New Roman"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</w:pPr>
      <w:r>
        <w:rPr>
          <w:rFonts w:eastAsia="Times New Roman" w:cs="Times New Roman"/>
          <w:b w:val="false"/>
          <w:bCs w:val="false"/>
          <w:color w:val="000000"/>
          <w:sz w:val="24"/>
          <w:szCs w:val="24"/>
          <w:lang w:val="ru-RU" w:eastAsia="zh-CN" w:bidi="ar-SA"/>
        </w:rPr>
      </w:r>
    </w:p>
    <w:p>
      <w:pPr>
        <w:pStyle w:val="Normal"/>
        <w:rPr>
          <w:rFonts w:ascii="Times New Roman" w:hAnsi="Times New Roman"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СОДЕРЖАНИЕ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СОДЕРЖАНИЕ</w:t>
        <w:tab/>
        <w:tab/>
        <w:tab/>
        <w:tab/>
        <w:tab/>
        <w:tab/>
        <w:tab/>
        <w:tab/>
        <w:tab/>
        <w:tab/>
        <w:tab/>
        <w:t>2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1.</w:t>
        <w:tab/>
        <w:t>Общие сведения</w:t>
        <w:tab/>
        <w:tab/>
        <w:tab/>
        <w:tab/>
        <w:tab/>
        <w:tab/>
        <w:tab/>
        <w:tab/>
        <w:tab/>
        <w:tab/>
        <w:t>3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1.1.</w:t>
        <w:tab/>
        <w:t>Наименование закупаемой продукции</w:t>
        <w:tab/>
        <w:tab/>
        <w:tab/>
        <w:tab/>
        <w:tab/>
        <w:tab/>
        <w:tab/>
        <w:t>3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1.2.</w:t>
        <w:tab/>
        <w:t>Цель оказания услуг</w:t>
        <w:tab/>
        <w:tab/>
        <w:tab/>
        <w:tab/>
        <w:tab/>
        <w:tab/>
        <w:tab/>
        <w:tab/>
        <w:tab/>
        <w:tab/>
        <w:t>3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2.</w:t>
        <w:tab/>
        <w:t>Требования к продукции</w:t>
        <w:tab/>
        <w:tab/>
        <w:tab/>
        <w:tab/>
        <w:tab/>
        <w:tab/>
        <w:tab/>
        <w:tab/>
        <w:tab/>
        <w:t>3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2.1.</w:t>
        <w:tab/>
        <w:t>Требования к объемам и срокам оказания услуг</w:t>
        <w:tab/>
        <w:tab/>
        <w:tab/>
        <w:tab/>
        <w:tab/>
        <w:tab/>
        <w:t>3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2.1.1.</w:t>
        <w:tab/>
        <w:t>Требования к перечню и объему услуг</w:t>
        <w:tab/>
        <w:tab/>
        <w:tab/>
        <w:tab/>
        <w:tab/>
        <w:tab/>
        <w:tab/>
        <w:t>3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Таблица 1 Перечень и объем оказываемых услуг</w:t>
        <w:tab/>
        <w:tab/>
        <w:tab/>
        <w:tab/>
        <w:tab/>
        <w:tab/>
        <w:tab/>
        <w:t>3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2.1.2.Требования к срокам оказания услуг</w:t>
        <w:tab/>
        <w:tab/>
        <w:tab/>
        <w:tab/>
        <w:tab/>
        <w:tab/>
        <w:tab/>
        <w:tab/>
        <w:t>3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Таблица 2. Требования по срокам оказания услуг</w:t>
        <w:tab/>
        <w:tab/>
        <w:tab/>
        <w:tab/>
        <w:tab/>
        <w:tab/>
        <w:t>3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2.2 Требования к качеству услуг</w:t>
        <w:tab/>
        <w:tab/>
        <w:tab/>
        <w:tab/>
        <w:tab/>
        <w:tab/>
        <w:tab/>
        <w:tab/>
        <w:tab/>
        <w:t>4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Таблица 3. Требования к качеству услуг</w:t>
        <w:tab/>
        <w:tab/>
        <w:tab/>
        <w:tab/>
        <w:tab/>
        <w:tab/>
        <w:tab/>
        <w:tab/>
        <w:t>4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Общие с</w:t>
      </w:r>
      <w:bookmarkStart w:id="12" w:name="_Toc54643694"/>
      <w:r>
        <w:rPr>
          <w:sz w:val="24"/>
          <w:szCs w:val="24"/>
          <w:lang w:val="ru-RU"/>
        </w:rPr>
        <w:t>ведения</w:t>
      </w:r>
      <w:bookmarkEnd w:id="12"/>
    </w:p>
    <w:p>
      <w:pPr>
        <w:pStyle w:val="Normal"/>
        <w:keepNext w:val="true"/>
        <w:keepLines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32" w:left="432"/>
        <w:rPr>
          <w:rFonts w:ascii="Times New Roman" w:hAnsi="Times New Roman"/>
          <w:sz w:val="24"/>
          <w:szCs w:val="24"/>
        </w:rPr>
      </w:pPr>
      <w:bookmarkStart w:id="13" w:name="_Toc54643696"/>
      <w:bookmarkStart w:id="14" w:name="_Toc46743506"/>
      <w:r>
        <w:rPr>
          <w:sz w:val="24"/>
          <w:szCs w:val="24"/>
        </w:rPr>
        <w:t>Наименование закупаемой продукции</w:t>
      </w:r>
      <w:bookmarkEnd w:id="13"/>
      <w:bookmarkEnd w:id="14"/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b w:val="false"/>
          <w:bCs w:val="false"/>
          <w:sz w:val="24"/>
          <w:szCs w:val="24"/>
        </w:rPr>
        <w:t>ОКПД2 86.21.10.120 О</w:t>
      </w:r>
      <w:r>
        <w:rPr>
          <w:b w:val="false"/>
          <w:bCs w:val="false"/>
          <w:sz w:val="24"/>
          <w:szCs w:val="24"/>
        </w:rPr>
        <w:t>казание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bidi="ar-SA"/>
        </w:rPr>
        <w:t xml:space="preserve"> услуг по проведению предрейсовых и послерейсовых медицинских осмотров водителей автотранспортных средств Нижегородского производственного участка Чебоксарского филиала АО «Гидроремонт-ВКК» в г. Новочебоксарск</w:t>
      </w:r>
      <w:bookmarkStart w:id="15" w:name="_Toc46743507"/>
    </w:p>
    <w:p>
      <w:pPr>
        <w:pStyle w:val="Normal"/>
        <w:rPr>
          <w:rFonts w:ascii="Times New Roman" w:hAnsi="Times New Roman" w:eastAsia="Calibri"/>
          <w:i/>
          <w:i/>
          <w:sz w:val="24"/>
          <w:szCs w:val="24"/>
          <w:lang w:eastAsia="x-none"/>
        </w:rPr>
      </w:pPr>
      <w:r>
        <w:rPr>
          <w:rFonts w:eastAsia="Calibri"/>
          <w:i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  <w:lang w:eastAsia="x-none"/>
        </w:rPr>
        <w:t>1.2.</w:t>
      </w:r>
      <w:bookmarkStart w:id="16" w:name="_Toc54643697"/>
      <w:r>
        <w:rPr>
          <w:b/>
          <w:sz w:val="24"/>
          <w:szCs w:val="24"/>
        </w:rPr>
        <w:t xml:space="preserve">Цель </w:t>
      </w:r>
      <w:bookmarkEnd w:id="15"/>
      <w:r>
        <w:rPr>
          <w:b/>
          <w:sz w:val="24"/>
          <w:szCs w:val="24"/>
        </w:rPr>
        <w:t>оказания услуг</w:t>
      </w:r>
    </w:p>
    <w:p>
      <w:pPr>
        <w:pStyle w:val="Normal"/>
        <w:jc w:val="both"/>
        <w:rPr/>
      </w:pPr>
      <w:r>
        <w:rPr>
          <w:sz w:val="24"/>
          <w:szCs w:val="24"/>
          <w:lang w:eastAsia="x-none"/>
        </w:rPr>
        <w:t xml:space="preserve">ОКПД 2 86.21.10.120 Оказание услуг 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eastAsia="x-none" w:bidi="ar-SA"/>
        </w:rPr>
        <w:t xml:space="preserve">по проведению предрейсовых и послерейсовых 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bidi="ar-SA"/>
        </w:rPr>
        <w:t xml:space="preserve">медицинских осмотров водителей автотранспортных средств Нижегородского ПУ </w:t>
      </w:r>
      <w:r>
        <w:rPr>
          <w:rFonts w:eastAsia="Times New Roman" w:cs="Times New Roman"/>
          <w:b w:val="false"/>
          <w:bCs w:val="false"/>
          <w:color w:val="auto"/>
          <w:sz w:val="24"/>
          <w:szCs w:val="24"/>
          <w:lang w:val="ru-RU" w:eastAsia="x-none" w:bidi="ar-SA"/>
        </w:rPr>
        <w:t xml:space="preserve">Чебоксарского филиала АО «Гидроремонт-ВКК» в г. Новочебоксарск </w:t>
      </w:r>
      <w:r>
        <w:rPr>
          <w:sz w:val="24"/>
          <w:szCs w:val="24"/>
          <w:lang w:eastAsia="x-none"/>
        </w:rPr>
        <w:t>с целью выявления лиц, которые по медицинским показаниям не могут быть допущены к управлению автомобилем, как с позиции безопасности дорожного движения, так и охраны здоровья водителя и пассажиров.</w:t>
      </w:r>
    </w:p>
    <w:p>
      <w:pPr>
        <w:pStyle w:val="Normal"/>
        <w:jc w:val="both"/>
        <w:rPr/>
      </w:pPr>
      <w:r>
        <w:rPr>
          <w:sz w:val="24"/>
          <w:szCs w:val="24"/>
          <w:lang w:eastAsia="x-none"/>
        </w:rPr>
        <w:t>Соблюдение требований Трудового кодекса Российской Федерации, Федерального закона от 10.12.1995г. № 196-ФЗ «О безопасности дорожного движения».</w:t>
      </w:r>
    </w:p>
    <w:p>
      <w:pPr>
        <w:pStyle w:val="19"/>
        <w:tabs>
          <w:tab w:val="clear" w:pos="720"/>
          <w:tab w:val="left" w:pos="1123" w:leader="none"/>
        </w:tabs>
        <w:spacing w:lineRule="auto" w:line="276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rFonts w:ascii="Times New Roman" w:hAnsi="Times New Roman"/>
          <w:sz w:val="24"/>
          <w:szCs w:val="24"/>
        </w:rPr>
      </w:pPr>
      <w:bookmarkStart w:id="17" w:name="_Toc54643702"/>
      <w:bookmarkStart w:id="18" w:name="_Toc51339693"/>
      <w:bookmarkStart w:id="19" w:name="_Toc46743510"/>
      <w:bookmarkStart w:id="20" w:name="_Toc50125126"/>
      <w:bookmarkEnd w:id="16"/>
      <w:bookmarkEnd w:id="19"/>
      <w:bookmarkEnd w:id="20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продукции</w:t>
      </w:r>
      <w:bookmarkEnd w:id="17"/>
      <w:bookmarkEnd w:id="18"/>
    </w:p>
    <w:p>
      <w:pPr>
        <w:pStyle w:val="Heading4"/>
        <w:numPr>
          <w:ilvl w:val="1"/>
          <w:numId w:val="3"/>
        </w:numPr>
        <w:ind w:hanging="432" w:left="432"/>
        <w:rPr>
          <w:rFonts w:ascii="Times New Roman" w:hAnsi="Times New Roman"/>
          <w:sz w:val="24"/>
          <w:szCs w:val="24"/>
        </w:rPr>
      </w:pPr>
      <w:bookmarkStart w:id="21" w:name="_Toc54643703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оказания услуг</w:t>
      </w:r>
      <w:bookmarkEnd w:id="21"/>
    </w:p>
    <w:p>
      <w:pPr>
        <w:pStyle w:val="Heading3"/>
        <w:numPr>
          <w:ilvl w:val="2"/>
          <w:numId w:val="3"/>
        </w:numPr>
        <w:rPr>
          <w:rFonts w:ascii="Times New Roman" w:hAnsi="Times New Roman"/>
          <w:sz w:val="24"/>
          <w:szCs w:val="24"/>
        </w:rPr>
      </w:pPr>
      <w:bookmarkStart w:id="22" w:name="_Toc54643704"/>
      <w:r>
        <w:rPr>
          <w:sz w:val="24"/>
          <w:szCs w:val="24"/>
          <w:lang w:val="ru-RU"/>
        </w:rPr>
        <w:t>Требования к перечню и объему услуг</w:t>
      </w:r>
      <w:bookmarkEnd w:id="22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rFonts w:ascii="Times New Roman" w:hAnsi="Times New Roman"/>
          <w:sz w:val="24"/>
          <w:szCs w:val="24"/>
        </w:rPr>
      </w:pPr>
      <w:bookmarkStart w:id="23" w:name="_Toc54643705"/>
      <w:bookmarkStart w:id="24" w:name="_Toc51339695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оказываемых услуг</w:t>
      </w:r>
      <w:bookmarkEnd w:id="23"/>
    </w:p>
    <w:tbl>
      <w:tblPr>
        <w:tblW w:w="9932" w:type="dxa"/>
        <w:jc w:val="left"/>
        <w:tblInd w:w="-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21"/>
        <w:gridCol w:w="4245"/>
        <w:gridCol w:w="2518"/>
        <w:gridCol w:w="2447"/>
      </w:tblGrid>
      <w:tr>
        <w:trPr/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Единица измерения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Ориентировочное количество </w:t>
            </w:r>
          </w:p>
        </w:tc>
      </w:tr>
      <w:tr>
        <w:trPr/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ОКПД 2 86.21.10.120 Оказание услуг по проведению предрейсового и послерейсового медицинского осмотра водителей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  <w:lang w:val="ru-RU" w:bidi="ar-SA"/>
              </w:rPr>
              <w:t>автотранспортных средств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Усл. ед.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1800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rPr>
          <w:rFonts w:ascii="Times New Roman" w:hAnsi="Times New Roman"/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rFonts w:ascii="Times New Roman" w:hAnsi="Times New Roman"/>
          <w:sz w:val="24"/>
          <w:szCs w:val="24"/>
        </w:rPr>
      </w:pPr>
      <w:bookmarkStart w:id="25" w:name="_Toc54643706"/>
      <w:bookmarkStart w:id="26" w:name="_Toc51339696"/>
      <w:r>
        <w:rPr>
          <w:sz w:val="24"/>
          <w:szCs w:val="24"/>
          <w:lang w:val="ru-RU"/>
        </w:rPr>
        <w:t xml:space="preserve">Требования </w:t>
      </w:r>
      <w:bookmarkEnd w:id="26"/>
      <w:r>
        <w:rPr>
          <w:sz w:val="24"/>
          <w:szCs w:val="24"/>
          <w:lang w:val="ru-RU"/>
        </w:rPr>
        <w:t>к срокам оказания услуг</w:t>
      </w:r>
      <w:bookmarkEnd w:id="25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rFonts w:ascii="Times New Roman" w:hAnsi="Times New Roman"/>
          <w:sz w:val="24"/>
          <w:szCs w:val="24"/>
        </w:rPr>
      </w:pPr>
      <w:bookmarkStart w:id="27" w:name="_Toc54643707"/>
      <w:bookmarkStart w:id="28" w:name="_Toc51339697"/>
      <w:bookmarkStart w:id="29" w:name="_Toc50125127"/>
      <w:bookmarkStart w:id="30" w:name="_Toc501251261"/>
      <w:bookmarkEnd w:id="3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31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8"/>
      <w:bookmarkEnd w:id="29"/>
      <w:bookmarkEnd w:id="31"/>
      <w:r>
        <w:rPr>
          <w:sz w:val="24"/>
          <w:szCs w:val="24"/>
          <w:lang w:val="ru-RU"/>
        </w:rPr>
        <w:t>оказания услуг</w:t>
      </w:r>
      <w:bookmarkEnd w:id="27"/>
    </w:p>
    <w:p>
      <w:pPr>
        <w:pStyle w:val="Normal"/>
        <w:spacing w:before="240" w:after="6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W w:w="991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99"/>
        <w:gridCol w:w="3546"/>
        <w:gridCol w:w="2693"/>
        <w:gridCol w:w="2976"/>
      </w:tblGrid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ОКПД 2 86.21.10.120 Оказание услуг по проведению предрейсового и послерейсового медицинского осмотра водителей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  <w:lang w:val="ru-RU" w:bidi="ar-SA"/>
              </w:rPr>
              <w:t>автотранспортных средств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30.12.2027*</w:t>
            </w:r>
          </w:p>
        </w:tc>
      </w:tr>
    </w:tbl>
    <w:p>
      <w:pPr>
        <w:pStyle w:val="Normal"/>
        <w:spacing w:before="240" w:after="6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* Предрейсовые и послерейсовые медицинские осмотры проводят водителям ежедневно перед началом и в конце рабочего дня в течение года.</w:t>
      </w:r>
    </w:p>
    <w:p>
      <w:pPr>
        <w:pStyle w:val="Heading1"/>
        <w:tabs>
          <w:tab w:val="clear" w:pos="0"/>
        </w:tabs>
        <w:spacing w:before="240" w:after="60"/>
        <w:ind w:hanging="0" w:lef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2.2 </w:t>
      </w:r>
      <w:bookmarkStart w:id="32" w:name="_Toc54643709"/>
      <w:bookmarkStart w:id="33" w:name="_Toc51339698"/>
      <w:bookmarkStart w:id="34" w:name="_Toc54643708"/>
      <w:bookmarkStart w:id="35" w:name="_Toc46743511"/>
      <w:r>
        <w:rPr>
          <w:sz w:val="24"/>
          <w:szCs w:val="24"/>
        </w:rPr>
        <w:t xml:space="preserve">Требования к </w:t>
      </w:r>
      <w:bookmarkEnd w:id="35"/>
      <w:r>
        <w:rPr>
          <w:sz w:val="24"/>
          <w:szCs w:val="24"/>
          <w:lang w:val="ru-RU"/>
        </w:rPr>
        <w:t>качеству услуг</w:t>
      </w:r>
      <w:bookmarkEnd w:id="34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33"/>
      <w:r>
        <w:rPr>
          <w:sz w:val="24"/>
          <w:szCs w:val="24"/>
          <w:lang w:val="ru-RU"/>
        </w:rPr>
        <w:t>качеству услуг</w:t>
      </w:r>
      <w:bookmarkEnd w:id="32"/>
    </w:p>
    <w:p>
      <w:pPr>
        <w:pStyle w:val="Normal"/>
        <w:jc w:val="both"/>
        <w:rPr>
          <w:rFonts w:ascii="Times New Roman" w:hAnsi="Times New Roman"/>
          <w:b w:val="false"/>
          <w:i w:val="false"/>
          <w:i w:val="false"/>
          <w:color w:val="000000"/>
          <w:sz w:val="24"/>
          <w:szCs w:val="24"/>
          <w:shd w:fill="auto" w:val="clear"/>
        </w:rPr>
      </w:pPr>
      <w:r>
        <w:rPr>
          <w:b w:val="false"/>
          <w:i w:val="false"/>
          <w:color w:val="000000"/>
          <w:sz w:val="24"/>
          <w:szCs w:val="24"/>
          <w:shd w:fill="auto" w:val="clear"/>
        </w:rPr>
      </w:r>
    </w:p>
    <w:p>
      <w:pPr>
        <w:pStyle w:val="Normal"/>
        <w:widowControl w:val="false"/>
        <w:suppressAutoHyphens w:val="true"/>
        <w:jc w:val="both"/>
        <w:rPr/>
      </w:pPr>
      <w:r>
        <w:rPr>
          <w:rStyle w:val="Style8"/>
          <w:b w:val="false"/>
          <w:i w:val="false"/>
          <w:color w:val="000000"/>
          <w:sz w:val="24"/>
          <w:szCs w:val="24"/>
          <w:shd w:fill="auto" w:val="clear"/>
        </w:rPr>
        <w:t xml:space="preserve">ОКПД 2 86.21.10.120 Оказание услуг по проведению предрейсового и послерейсового медицинского осмотра водителей </w:t>
      </w:r>
      <w:r>
        <w:rPr>
          <w:rStyle w:val="Style8"/>
          <w:rFonts w:eastAsia="Times New Roman" w:cs="Times New Roman"/>
          <w:b w:val="false"/>
          <w:bCs w:val="false"/>
          <w:i w:val="false"/>
          <w:color w:val="000000"/>
          <w:sz w:val="24"/>
          <w:szCs w:val="24"/>
          <w:shd w:fill="auto" w:val="clear"/>
          <w:lang w:val="ru-RU" w:bidi="ar-SA"/>
        </w:rPr>
        <w:t>автотранспортных средств Нижегородского производственного участка Чебоксарского филиала АО «Гидроремонт-ВКК» в г. Новочебоксарск</w:t>
      </w:r>
    </w:p>
    <w:p>
      <w:pPr>
        <w:pStyle w:val="Normal"/>
        <w:jc w:val="both"/>
        <w:rPr>
          <w:rFonts w:ascii="Times New Roman" w:hAnsi="Times New Roman"/>
          <w:b w:val="false"/>
          <w:iCs/>
          <w:sz w:val="24"/>
          <w:szCs w:val="24"/>
          <w:shd w:fill="auto" w:val="clear"/>
        </w:rPr>
      </w:pPr>
      <w:r>
        <w:rPr>
          <w:b w:val="false"/>
          <w:iCs/>
          <w:sz w:val="24"/>
          <w:szCs w:val="24"/>
          <w:shd w:fill="auto" w:val="clear"/>
        </w:rPr>
      </w:r>
    </w:p>
    <w:tbl>
      <w:tblPr>
        <w:tblStyle w:val="affff9"/>
        <w:tblW w:w="1031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63"/>
        <w:gridCol w:w="2967"/>
        <w:gridCol w:w="6689"/>
      </w:tblGrid>
      <w:tr>
        <w:trPr>
          <w:tblHeader w:val="true"/>
        </w:trPr>
        <w:tc>
          <w:tcPr>
            <w:tcW w:w="66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967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68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>
          <w:tblHeader w:val="true"/>
        </w:trPr>
        <w:tc>
          <w:tcPr>
            <w:tcW w:w="663" w:type="dxa"/>
            <w:tcBorders/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96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</w:tr>
      <w:tr>
        <w:trPr/>
        <w:tc>
          <w:tcPr>
            <w:tcW w:w="663" w:type="dxa"/>
            <w:tcBorders/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96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</w:tr>
      <w:tr>
        <w:trPr/>
        <w:tc>
          <w:tcPr>
            <w:tcW w:w="663" w:type="dxa"/>
            <w:tcBorders/>
          </w:tcPr>
          <w:p>
            <w:pPr>
              <w:pStyle w:val="ListParagraph"/>
              <w:widowControl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1.1.1</w:t>
            </w:r>
          </w:p>
        </w:tc>
        <w:tc>
          <w:tcPr>
            <w:tcW w:w="965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Оказание услуг по предрейсовому и послерейсовому медицинскому осмотру для водителей Нижегородского производственного участка Чебоксарского филиала АО «Гидроремонт-ВКК» в г. Новочебоксарск должно выполняться в соответствии с требованиями:</w:t>
            </w:r>
          </w:p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Приказа Минздрава России от 30.05.2023г. №266н «Об утверждении Порядка и периодичности проведения предсменных, предрейсовых, послесменных, послерейсовых медицинских осмотров, медицинских осмотров в течение рабочего дня (смены) и перечня включаемых в них исследований».</w:t>
            </w:r>
          </w:p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</w:t>
            </w:r>
          </w:p>
        </w:tc>
      </w:tr>
      <w:tr>
        <w:trPr/>
        <w:tc>
          <w:tcPr>
            <w:tcW w:w="663" w:type="dxa"/>
            <w:tcBorders/>
          </w:tcPr>
          <w:p>
            <w:pPr>
              <w:pStyle w:val="ListParagraph"/>
              <w:widowControl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1.1.2</w:t>
            </w:r>
          </w:p>
        </w:tc>
        <w:tc>
          <w:tcPr>
            <w:tcW w:w="965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лицензии на право проведения предсменных, предрейсовых и послесменных, послерейсовых медицинских осмотров водителей транспортных средств соответствии с действующими нормативными правовыми актами.</w:t>
            </w:r>
          </w:p>
        </w:tc>
      </w:tr>
      <w:tr>
        <w:trPr/>
        <w:tc>
          <w:tcPr>
            <w:tcW w:w="663" w:type="dxa"/>
            <w:tcBorders/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96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</w:tr>
      <w:tr>
        <w:trPr/>
        <w:tc>
          <w:tcPr>
            <w:tcW w:w="663" w:type="dxa"/>
            <w:tcBorders/>
          </w:tcPr>
          <w:p>
            <w:pPr>
              <w:pStyle w:val="ListParagraph"/>
              <w:widowControl w:val="fals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1.2.1</w:t>
            </w:r>
          </w:p>
        </w:tc>
        <w:tc>
          <w:tcPr>
            <w:tcW w:w="9656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помещения, соответствующего условиям лицензирования, с необходимым медицинскими оборудованием (инструментами) и расходными материалами.</w:t>
            </w:r>
          </w:p>
          <w:p>
            <w:pPr>
              <w:pStyle w:val="Normal"/>
              <w:widowControl w:val="fals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проводить предрейсовые и послерейсовые медицинские осмотры в помещении, расположенном на территории города Заволжье</w:t>
            </w:r>
          </w:p>
        </w:tc>
      </w:tr>
      <w:tr>
        <w:trPr>
          <w:trHeight w:val="518" w:hRule="atLeast"/>
        </w:trPr>
        <w:tc>
          <w:tcPr>
            <w:tcW w:w="663" w:type="dxa"/>
            <w:tcBorders/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9656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663" w:type="dxa"/>
            <w:tcBorders/>
          </w:tcPr>
          <w:p>
            <w:pPr>
              <w:pStyle w:val="ListParagraph"/>
              <w:widowControl w:val="false"/>
              <w:suppressAutoHyphens w:val="false"/>
              <w:bidi w:val="0"/>
              <w:spacing w:before="60" w:after="60"/>
              <w:ind w:hanging="113" w:left="0" w:right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1.3.1</w:t>
            </w:r>
          </w:p>
        </w:tc>
        <w:tc>
          <w:tcPr>
            <w:tcW w:w="965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Проведение предрейсовых и послерейсовых медицинских осмотров водителей транспортных средств только медицинским персоналом, имеющим соответствующий сертификат.</w:t>
            </w:r>
          </w:p>
        </w:tc>
      </w:tr>
      <w:tr>
        <w:trPr/>
        <w:tc>
          <w:tcPr>
            <w:tcW w:w="663" w:type="dxa"/>
            <w:tcBorders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1.3.2</w:t>
            </w:r>
          </w:p>
        </w:tc>
        <w:tc>
          <w:tcPr>
            <w:tcW w:w="965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Медицинский работник Исполнителя, ежедневно в начале рабочей смены проводит предрейсовый медицинский осмотр водителей и по окончании рабочего дня (рейса) послерейсовый.  После осмотра медицинский работник делает соответствующую отметку в путевом листе и запись в журнале о результатах.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/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ListParagraph"/>
        <w:ind w:hanging="0" w:left="0"/>
        <w:rPr>
          <w:rFonts w:ascii="Times New Roman" w:hAnsi="Times New Roman"/>
          <w:b/>
          <w:sz w:val="24"/>
          <w:szCs w:val="24"/>
          <w:lang w:eastAsia="x-none"/>
        </w:rPr>
      </w:pPr>
      <w:r>
        <w:rPr>
          <w:b/>
          <w:sz w:val="24"/>
          <w:szCs w:val="24"/>
          <w:lang w:eastAsia="x-none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50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20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ind w:hanging="0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basedOn w:val="DefaultParagraphFont"/>
    <w:link w:val="19"/>
    <w:qFormat/>
    <w:rsid w:val="00eb1784"/>
    <w:rPr>
      <w:sz w:val="26"/>
      <w:szCs w:val="26"/>
    </w:rPr>
  </w:style>
  <w:style w:type="character" w:styleId="Linenumber">
    <w:name w:val="line number"/>
    <w:qFormat/>
    <w:rPr/>
  </w:style>
  <w:style w:type="character" w:styleId="Style15" w:customStyle="1">
    <w:name w:val="Ссылка указателя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20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20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20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20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Основной текст1"/>
    <w:basedOn w:val="Normal"/>
    <w:link w:val="Style14"/>
    <w:qFormat/>
    <w:rsid w:val="00eb1784"/>
    <w:pPr>
      <w:widowControl w:val="false"/>
      <w:spacing w:lineRule="auto" w:line="259"/>
      <w:ind w:firstLine="400"/>
    </w:pPr>
    <w:rPr>
      <w:sz w:val="26"/>
      <w:szCs w:val="26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1A2A7-D168-4AAD-8E64-2E7788BED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Application>AlterOffice/2026.2.0.0$Linux_X86_64 LibreOffice_project/bc4ef1adf80b36c7a6365f8ed6cbf29021361edd</Application>
  <AppVersion>15.0000</AppVersion>
  <Pages>4</Pages>
  <Words>592</Words>
  <Characters>4203</Characters>
  <CharactersWithSpaces>4803</CharactersWithSpaces>
  <Paragraphs>78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2024-12-18T11:47:00Z</dcterms:created>
  <dc:creator>Быстров Олег Геннадьевич</dc:creator>
  <dc:description/>
  <dc:language>ru-RU</dc:language>
  <cp:lastModifiedBy/>
  <cp:lastPrinted>2025-11-14T15:05:14Z</cp:lastPrinted>
  <dcterms:modified xsi:type="dcterms:W3CDTF">2026-10-01T13:10:30Z</dcterms:modified>
  <cp:revision>56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