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right"/>
        <w:rPr>
          <w:rFonts w:ascii="Times New Roman" w:hAnsi="Times New Roman" w:cs="Times New Roman"/>
          <w:lang w:val="en-US"/>
        </w:rPr>
      </w:pPr>
      <w:r>
        <w:rPr>
          <w:rFonts w:cs="Times New Roman" w:ascii="Times New Roman" w:hAnsi="Times New Roman"/>
          <w:lang w:val="en-US"/>
        </w:rPr>
      </w:r>
    </w:p>
    <w:p>
      <w:pPr>
        <w:pStyle w:val="Normal"/>
        <w:keepNext w:val="true"/>
        <w:keepLines/>
        <w:jc w:val="center"/>
        <w:rPr>
          <w:color w:val="000000"/>
        </w:rPr>
      </w:pPr>
      <w:r>
        <w:rPr>
          <w:rFonts w:eastAsia="Calibri" w:cs="Times New Roman" w:ascii="Times New Roman" w:hAnsi="Times New Roman"/>
          <w:b/>
          <w:color w:val="000000"/>
        </w:rPr>
        <w:t xml:space="preserve">Технические требования </w:t>
      </w:r>
    </w:p>
    <w:p>
      <w:pPr>
        <w:pStyle w:val="Normal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</w:r>
    </w:p>
    <w:p>
      <w:pPr>
        <w:pStyle w:val="Normal"/>
        <w:jc w:val="both"/>
        <w:rPr/>
      </w:pPr>
      <w:r>
        <w:rPr>
          <w:rFonts w:eastAsia="Liberation Serif;Times New Roma" w:cs="Times New Roman" w:ascii="Times New Roman" w:hAnsi="Times New Roman"/>
          <w:bCs/>
          <w:color w:val="000000"/>
          <w:kern w:val="0"/>
          <w:lang w:eastAsia="ru-RU" w:bidi="ar-SA"/>
        </w:rPr>
        <w:t xml:space="preserve"> </w:t>
      </w:r>
      <w:r>
        <w:rPr>
          <w:rFonts w:eastAsia="Liberation Serif;Times New Roma" w:cs="Times New Roman" w:ascii="Times New Roman" w:hAnsi="Times New Roman"/>
          <w:bCs/>
          <w:color w:val="000000"/>
          <w:kern w:val="0"/>
          <w:sz w:val="26"/>
          <w:szCs w:val="26"/>
          <w:lang w:eastAsia="ru-RU" w:bidi="ar-SA"/>
        </w:rPr>
        <w:t>ОКПД2 28.22.16.110 О</w:t>
      </w:r>
      <w:r>
        <w:rPr>
          <w:rFonts w:ascii="Times New Roman" w:hAnsi="Times New Roman"/>
          <w:color w:val="000000"/>
          <w:sz w:val="26"/>
          <w:szCs w:val="26"/>
        </w:rPr>
        <w:t>казание услуг по оценке состояния и возможности применения ранее закупленного лифтового оборудования в рамках реализации проекта достройки Загорской ГАЭС-2</w:t>
      </w:r>
    </w:p>
    <w:p>
      <w:pPr>
        <w:pStyle w:val="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lang w:val="x-none"/>
        </w:rPr>
      </w:pPr>
      <w:r>
        <w:rPr>
          <w:rFonts w:cs="Times New Roman" w:ascii="Times New Roman" w:hAnsi="Times New Roman"/>
          <w:b/>
        </w:rPr>
        <w:t>Общие сведения</w:t>
      </w:r>
    </w:p>
    <w:p>
      <w:pPr>
        <w:pStyle w:val="ListParagraph"/>
        <w:numPr>
          <w:ilvl w:val="0"/>
          <w:numId w:val="3"/>
        </w:numPr>
        <w:ind w:hanging="567" w:left="851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lang w:val="x-none"/>
        </w:rPr>
        <w:t>Обозначения и сокращения</w:t>
      </w:r>
    </w:p>
    <w:tbl>
      <w:tblPr>
        <w:tblW w:w="962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042"/>
        <w:gridCol w:w="7582"/>
      </w:tblGrid>
      <w:tr>
        <w:trPr>
          <w:cantSplit w:val="true"/>
        </w:trPr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СПК</w:t>
            </w:r>
          </w:p>
        </w:tc>
        <w:tc>
          <w:tcPr>
            <w:tcW w:w="7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Служебно-производственный корпус</w:t>
            </w:r>
          </w:p>
        </w:tc>
      </w:tr>
    </w:tbl>
    <w:p>
      <w:pPr>
        <w:pStyle w:val="ListParagraph"/>
        <w:numPr>
          <w:ilvl w:val="0"/>
          <w:numId w:val="3"/>
        </w:numPr>
        <w:ind w:hanging="567" w:left="851"/>
        <w:rPr>
          <w:rFonts w:ascii="Times New Roman" w:hAnsi="Times New Roman" w:eastAsia="Times New Roman" w:cs="Times New Roman"/>
        </w:rPr>
      </w:pPr>
      <w:r>
        <w:rPr>
          <w:rFonts w:cs="Times New Roman" w:ascii="Times New Roman" w:hAnsi="Times New Roman"/>
          <w:b/>
          <w:bCs/>
          <w:lang w:val="x-none"/>
        </w:rPr>
        <w:t xml:space="preserve">Наименование </w:t>
      </w:r>
      <w:r>
        <w:rPr>
          <w:rFonts w:cs="Times New Roman" w:ascii="Times New Roman" w:hAnsi="Times New Roman"/>
          <w:b/>
          <w:bCs/>
        </w:rPr>
        <w:t>Услуг</w:t>
      </w:r>
    </w:p>
    <w:p>
      <w:pPr>
        <w:pStyle w:val="Normal"/>
        <w:jc w:val="both"/>
        <w:rPr/>
      </w:pPr>
      <w:r>
        <w:rPr>
          <w:rFonts w:eastAsia="Liberation Serif;Times New Roma" w:cs="Times New Roman" w:ascii="Times New Roman" w:hAnsi="Times New Roman"/>
          <w:bCs/>
          <w:color w:val="000000"/>
          <w:kern w:val="0"/>
          <w:lang w:eastAsia="ru-RU" w:bidi="ar-SA"/>
        </w:rPr>
        <w:t xml:space="preserve"> </w:t>
      </w:r>
      <w:r>
        <w:rPr>
          <w:rFonts w:eastAsia="Liberation Serif;Times New Roma" w:cs="Times New Roman" w:ascii="Times New Roman" w:hAnsi="Times New Roman"/>
          <w:bCs/>
          <w:color w:val="000000"/>
          <w:kern w:val="0"/>
          <w:sz w:val="24"/>
          <w:szCs w:val="24"/>
          <w:lang w:eastAsia="ru-RU" w:bidi="ar-SA"/>
        </w:rPr>
        <w:t>ОКПД2 28.22.16.110 Оказание услуг по оценке состояния и возможности применения ранее закупленного лифтового оборудования в рамках реализации проекта достройки Загорской ГАЭС-2</w:t>
      </w:r>
      <w:r>
        <w:rPr>
          <w:rFonts w:cs="Times New Roman" w:ascii="Times New Roman" w:hAnsi="Times New Roman"/>
          <w:color w:val="000000"/>
          <w:sz w:val="24"/>
          <w:szCs w:val="24"/>
        </w:rPr>
        <w:t>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Cs/>
          <w:color w:val="000000"/>
          <w:lang w:val="x-none"/>
        </w:rPr>
        <w:t xml:space="preserve">    </w:t>
      </w:r>
      <w:r>
        <w:rPr>
          <w:rFonts w:cs="Times New Roman" w:ascii="Times New Roman" w:hAnsi="Times New Roman"/>
          <w:b/>
          <w:bCs/>
          <w:lang w:val="x-none"/>
        </w:rPr>
        <w:t>1.3. Цель оказания Услуг</w:t>
      </w:r>
    </w:p>
    <w:p>
      <w:pPr>
        <w:pStyle w:val="Normal"/>
        <w:widowControl w:val="false"/>
        <w:ind w:firstLine="680"/>
        <w:jc w:val="both"/>
        <w:rPr>
          <w:rFonts w:ascii="Times New Roman" w:hAnsi="Times New Roman" w:eastAsia="Calibri" w:cs="Times New Roman"/>
          <w:color w:val="000000"/>
          <w:lang w:eastAsia="x-none"/>
        </w:rPr>
      </w:pPr>
      <w:r>
        <w:rPr>
          <w:rFonts w:eastAsia="Calibri" w:cs="Times New Roman" w:ascii="Times New Roman" w:hAnsi="Times New Roman"/>
          <w:color w:val="000000"/>
          <w:lang w:eastAsia="x-none"/>
        </w:rPr>
        <w:t xml:space="preserve">Целью оценки состояния </w:t>
      </w:r>
      <w:r>
        <w:rPr>
          <w:rFonts w:eastAsia="Liberation Serif;Times New Roma" w:cs="Times New Roman" w:ascii="Times New Roman" w:hAnsi="Times New Roman"/>
          <w:bCs/>
          <w:color w:val="000000"/>
          <w:kern w:val="0"/>
          <w:sz w:val="26"/>
          <w:szCs w:val="26"/>
          <w:lang w:eastAsia="ru-RU" w:bidi="ar-SA"/>
        </w:rPr>
        <w:t>лифтового оборудования</w:t>
      </w:r>
      <w:r>
        <w:rPr>
          <w:rFonts w:eastAsia="Calibri" w:cs="Times New Roman" w:ascii="Times New Roman" w:hAnsi="Times New Roman"/>
          <w:color w:val="000000"/>
          <w:lang w:eastAsia="x-none"/>
        </w:rPr>
        <w:t xml:space="preserve"> Загорской ГАЭС-2 является определение текущего состояния и пригодности/непригодности к дальнейшей эксплуатации оборудования.</w:t>
      </w:r>
    </w:p>
    <w:p>
      <w:pPr>
        <w:pStyle w:val="Normal"/>
        <w:widowControl w:val="false"/>
        <w:ind w:firstLine="680"/>
        <w:jc w:val="both"/>
        <w:rPr>
          <w:rFonts w:ascii="Times New Roman" w:hAnsi="Times New Roman" w:eastAsia="Calibri" w:cs="Times New Roman"/>
          <w:color w:val="000000"/>
          <w:lang w:eastAsia="x-none"/>
        </w:rPr>
      </w:pPr>
      <w:r>
        <w:rPr>
          <w:rFonts w:eastAsia="Calibri" w:cs="Times New Roman" w:ascii="Times New Roman" w:hAnsi="Times New Roman"/>
          <w:color w:val="000000"/>
          <w:lang w:eastAsia="x-none"/>
        </w:rPr>
        <w:t xml:space="preserve">По завершению оценки состояния </w:t>
      </w:r>
      <w:r>
        <w:rPr>
          <w:rFonts w:eastAsia="Liberation Serif;Times New Roma" w:cs="Times New Roman" w:ascii="Times New Roman" w:hAnsi="Times New Roman"/>
          <w:bCs/>
          <w:color w:val="000000"/>
          <w:kern w:val="0"/>
          <w:sz w:val="26"/>
          <w:szCs w:val="26"/>
          <w:lang w:eastAsia="ru-RU" w:bidi="ar-SA"/>
        </w:rPr>
        <w:t>лифтового оборудования</w:t>
      </w:r>
      <w:r>
        <w:rPr>
          <w:rFonts w:eastAsia="Calibri" w:cs="Times New Roman" w:ascii="Times New Roman" w:hAnsi="Times New Roman"/>
          <w:color w:val="000000"/>
          <w:lang w:eastAsia="x-none"/>
        </w:rPr>
        <w:t xml:space="preserve"> Загорской ГАЭС-2 Исполнитель предоставляет Заказчику технический отчет о пригодности/непригодности к дальнейшей эксплуатации оборудования, включающий в себя оценку состояния обследуемого оборудования, акты визуального обследования, фотоматериал, рекомендации представителей заводов-изготовителей по восстановлению оборудования в заводских условиях, в условиях монтажной площадки Загорской ГАЭС-2, перечень оборудования, узлов и деталей закупка которого необходима для дальнейшего монтажа, надежной и безопасной эксплуатации </w:t>
      </w:r>
      <w:r>
        <w:rPr>
          <w:rFonts w:eastAsia="Liberation Serif;Times New Roma" w:cs="Times New Roman" w:ascii="Times New Roman" w:hAnsi="Times New Roman"/>
          <w:bCs/>
          <w:color w:val="000000"/>
          <w:kern w:val="0"/>
          <w:sz w:val="26"/>
          <w:szCs w:val="26"/>
          <w:lang w:eastAsia="ru-RU" w:bidi="ar-SA"/>
        </w:rPr>
        <w:t>лифтового оборудования</w:t>
      </w:r>
      <w:r>
        <w:rPr>
          <w:rFonts w:eastAsia="Calibri" w:cs="Times New Roman" w:ascii="Times New Roman" w:hAnsi="Times New Roman"/>
          <w:color w:val="000000"/>
          <w:lang w:eastAsia="x-none"/>
        </w:rPr>
        <w:t xml:space="preserve"> в рамках реализации проектных решений по достройке Загорской ГАЭС-2.</w:t>
      </w:r>
    </w:p>
    <w:p>
      <w:pPr>
        <w:pStyle w:val="Normal"/>
        <w:widowControl w:val="false"/>
        <w:ind w:firstLine="113" w:left="170"/>
        <w:jc w:val="both"/>
        <w:rPr>
          <w:rFonts w:ascii="Times New Roman" w:hAnsi="Times New Roman" w:eastAsia="Calibri" w:cs="Times New Roman"/>
          <w:color w:val="000000"/>
          <w:lang w:eastAsia="x-none"/>
        </w:rPr>
      </w:pPr>
      <w:r>
        <w:rPr>
          <w:rFonts w:eastAsia="Calibri" w:cs="Times New Roman" w:ascii="Times New Roman" w:hAnsi="Times New Roman"/>
          <w:b/>
          <w:bCs/>
          <w:color w:val="000000"/>
          <w:lang w:eastAsia="x-none"/>
        </w:rPr>
        <w:t xml:space="preserve">1.4. </w:t>
      </w:r>
      <w:r>
        <w:rPr>
          <w:rFonts w:cs="Times New Roman" w:ascii="Times New Roman" w:hAnsi="Times New Roman"/>
          <w:b/>
          <w:bCs/>
          <w:lang w:val="x-none"/>
        </w:rPr>
        <w:t>Существующее положение</w:t>
      </w:r>
    </w:p>
    <w:p>
      <w:pPr>
        <w:pStyle w:val="Normal"/>
        <w:shd w:val="clear" w:color="auto" w:fill="FFFFFF"/>
        <w:spacing w:lineRule="auto" w:line="240"/>
        <w:ind w:firstLine="709"/>
        <w:jc w:val="both"/>
        <w:rPr>
          <w:rFonts w:ascii="Times New Roman" w:hAnsi="Times New Roman"/>
          <w:b w:val="false"/>
          <w:bCs w:val="false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sz w:val="24"/>
          <w:szCs w:val="24"/>
          <w:lang w:val="x-none" w:eastAsia="x-none"/>
        </w:rPr>
        <w:t>Лифтовое оборудование было поставлено в апреле и октябра 2012 года и хранится на складе АО «Загорская ГАЭС-2».</w:t>
      </w:r>
    </w:p>
    <w:p>
      <w:pPr>
        <w:pStyle w:val="Normal"/>
        <w:shd w:val="clear" w:color="auto" w:fill="FFFFFF"/>
        <w:spacing w:lineRule="auto" w:line="24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Лифтовое оборудование предназначено для обслуживания основных сооружений Загорской ГАЭС-2 – здание служебно-производственного корпуса (СПК), здание ГАЭС и здание Водоприемника.</w:t>
      </w:r>
    </w:p>
    <w:p>
      <w:pPr>
        <w:pStyle w:val="Normal"/>
        <w:shd w:val="clear" w:color="auto" w:fill="FFFFFF"/>
        <w:spacing w:lineRule="auto" w:line="24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Здание СПК – здание производственного назначения для административного и административно-технического персонала. Лифт предназначен для перевозки рабочего персонала (пассажирский лифт). В здании предусматривается два лифта двухстороннего входа/выхода (проходной), с применением группового управления лифтами. Согласно </w:t>
      </w:r>
      <w:r>
        <w:rPr>
          <w:rFonts w:ascii="Times New Roman" w:hAnsi="Times New Roman"/>
          <w:sz w:val="24"/>
          <w:szCs w:val="24"/>
          <w:u w:val="none"/>
        </w:rPr>
        <w:t>Техническому регламенту о требованиях пожарной безопасности</w:t>
      </w:r>
      <w:r>
        <w:rPr>
          <w:rFonts w:ascii="Times New Roman" w:hAnsi="Times New Roman"/>
          <w:sz w:val="24"/>
          <w:szCs w:val="24"/>
        </w:rPr>
        <w:t xml:space="preserve"> от 22.07.2008 № 123-ФЗ один лифт должен служить для транспортирования пожарных подразделений. </w:t>
      </w:r>
    </w:p>
    <w:p>
      <w:pPr>
        <w:pStyle w:val="Normal"/>
        <w:shd w:val="clear" w:color="auto" w:fill="FFFFFF"/>
        <w:spacing w:lineRule="auto" w:line="24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Здание ГАЭС – здание производственного назначения. Лифт предназначен для перевозки мелких грузов и рабочего персонала (грузопассажирский лифт). Согласно Техническому регламенту о требованиях пожарной безопасности от 22.07.2008№ 123-ФЗ лифт должен служить для транспортирования пожарных подразделений. В здании предусматривается один лифт.</w:t>
      </w:r>
    </w:p>
    <w:p>
      <w:pPr>
        <w:pStyle w:val="Normal"/>
        <w:shd w:val="clear" w:color="auto" w:fill="FFFFFF"/>
        <w:spacing w:lineRule="auto" w:line="240"/>
        <w:ind w:firstLine="709"/>
        <w:jc w:val="both"/>
        <w:rPr>
          <w:rFonts w:ascii="Times New Roman" w:hAnsi="Times New Roman"/>
        </w:rPr>
      </w:pPr>
      <w:r>
        <w:rPr>
          <w:rFonts w:eastAsia="Calibri" w:cs="Times New Roman" w:ascii="Times New Roman" w:hAnsi="Times New Roman"/>
          <w:sz w:val="24"/>
          <w:szCs w:val="24"/>
          <w:lang w:eastAsia="x-none"/>
        </w:rPr>
        <w:t>Водоприемник - здание производственного назначения. Лифт предназначен для перевозки мелких грузов и рабочего персонала (грузопассажирский лифт). Согласно Техническому регламенту о требованиях пожарной безопасности от 22.07.2008 № 123-ФЗ лифт должен служить для транспортирования пожарных подразделений. В здании предусматривается один лифт.</w:t>
      </w:r>
    </w:p>
    <w:p>
      <w:pPr>
        <w:pStyle w:val="Normal"/>
        <w:jc w:val="both"/>
        <w:rPr>
          <w:rFonts w:ascii="Times New Roman" w:hAnsi="Times New Roman" w:eastAsia="Calibri" w:cs="Times New Roman"/>
          <w:lang w:eastAsia="x-none"/>
        </w:rPr>
      </w:pPr>
      <w:r>
        <w:rPr>
          <w:rFonts w:cs="Times New Roman" w:ascii="Times New Roman" w:hAnsi="Times New Roman"/>
          <w:b/>
          <w:bCs/>
        </w:rPr>
        <w:t xml:space="preserve">   </w:t>
      </w:r>
      <w:r>
        <w:rPr>
          <w:rFonts w:cs="Times New Roman" w:ascii="Times New Roman" w:hAnsi="Times New Roman"/>
          <w:b/>
          <w:bCs/>
        </w:rPr>
        <w:t>1.4.1.</w:t>
        <w:tab/>
      </w:r>
      <w:r>
        <w:rPr>
          <w:rFonts w:cs="Times New Roman" w:ascii="Times New Roman" w:hAnsi="Times New Roman"/>
          <w:b/>
        </w:rPr>
        <w:t>Перечень оборудования Заказчика</w:t>
      </w:r>
      <w:r>
        <w:rPr>
          <w:rFonts w:cs="Times New Roman" w:ascii="Times New Roman" w:hAnsi="Times New Roman"/>
        </w:rPr>
        <w:t>.</w:t>
      </w:r>
    </w:p>
    <w:p>
      <w:pPr>
        <w:pStyle w:val="Normal"/>
        <w:ind w:firstLine="709"/>
        <w:jc w:val="both"/>
        <w:rPr>
          <w:rFonts w:ascii="Times New Roman" w:hAnsi="Times New Roman" w:eastAsia="Calibri" w:cs="Times New Roman"/>
          <w:lang w:eastAsia="x-none"/>
        </w:rPr>
      </w:pPr>
      <w:r>
        <w:rPr>
          <w:rFonts w:eastAsia="Calibri" w:cs="Times New Roman" w:ascii="Times New Roman" w:hAnsi="Times New Roman"/>
          <w:lang w:eastAsia="x-none"/>
        </w:rPr>
        <w:t>Общий перечень оборудования указан в Таблице №1 «Перечень оборудования Заказчика».</w:t>
      </w:r>
    </w:p>
    <w:p>
      <w:pPr>
        <w:pStyle w:val="Normal"/>
        <w:ind w:firstLine="709"/>
        <w:jc w:val="center"/>
        <w:rPr>
          <w:b/>
          <w:bCs/>
        </w:rPr>
      </w:pPr>
      <w:r>
        <w:rPr>
          <w:rFonts w:eastAsia="Calibri" w:cs="Times New Roman" w:ascii="Times New Roman" w:hAnsi="Times New Roman"/>
          <w:b/>
          <w:bCs/>
          <w:lang w:eastAsia="x-none"/>
        </w:rPr>
        <w:t>Перечень оборудования Заказчика</w:t>
      </w:r>
    </w:p>
    <w:p>
      <w:pPr>
        <w:pStyle w:val="Normal"/>
        <w:ind w:firstLine="709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kern w:val="0"/>
          <w:lang w:val="en-GB" w:eastAsia="ru-RU" w:bidi="ar-SA"/>
        </w:rPr>
        <w:t>Таблица 1</w:t>
      </w:r>
    </w:p>
    <w:tbl>
      <w:tblPr>
        <w:tblW w:w="10088" w:type="dxa"/>
        <w:jc w:val="left"/>
        <w:tblInd w:w="2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19"/>
        <w:gridCol w:w="6075"/>
        <w:gridCol w:w="1811"/>
        <w:gridCol w:w="1482"/>
      </w:tblGrid>
      <w:tr>
        <w:trPr>
          <w:trHeight w:val="510" w:hRule="atLeas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Поз. №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523" w:hRule="atLeas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Лифт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GEN2 Premier, </w:t>
            </w:r>
            <w:r>
              <w:rPr>
                <w:color w:val="000000"/>
                <w:sz w:val="24"/>
                <w:szCs w:val="24"/>
              </w:rPr>
              <w:t>модель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GA13823D-900</w:t>
            </w:r>
          </w:p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color w:val="000000"/>
                <w:sz w:val="24"/>
                <w:szCs w:val="24"/>
              </w:rPr>
              <w:t>для СПК</w:t>
            </w:r>
            <w:r>
              <w:rPr>
                <w:color w:val="000000"/>
                <w:sz w:val="24"/>
                <w:szCs w:val="24"/>
                <w:lang w:val="en-US"/>
              </w:rPr>
              <w:t>-1)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К-т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Лифт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GEN2 Premier, </w:t>
            </w:r>
            <w:r>
              <w:rPr>
                <w:color w:val="000000"/>
                <w:sz w:val="24"/>
                <w:szCs w:val="24"/>
              </w:rPr>
              <w:t>модель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GA13823D-900</w:t>
            </w:r>
          </w:p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(</w:t>
            </w:r>
            <w:r>
              <w:rPr>
                <w:color w:val="000000"/>
                <w:sz w:val="24"/>
                <w:szCs w:val="24"/>
              </w:rPr>
              <w:t>для СПК</w:t>
            </w:r>
            <w:r>
              <w:rPr>
                <w:color w:val="000000"/>
                <w:sz w:val="24"/>
                <w:szCs w:val="24"/>
                <w:lang w:val="en-US"/>
              </w:rPr>
              <w:t>-2)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К-т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Лифт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GEN2 Premier, </w:t>
            </w:r>
            <w:r>
              <w:rPr>
                <w:color w:val="000000"/>
                <w:sz w:val="24"/>
                <w:szCs w:val="24"/>
              </w:rPr>
              <w:t>модель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GA13823D-900</w:t>
            </w:r>
          </w:p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(здание ГАЭС)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К-т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523" w:hRule="atLeast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Лифт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GEN2 Premier, </w:t>
            </w:r>
            <w:r>
              <w:rPr>
                <w:color w:val="000000"/>
                <w:sz w:val="24"/>
                <w:szCs w:val="24"/>
              </w:rPr>
              <w:t>модель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GA13823D-900</w:t>
            </w:r>
          </w:p>
          <w:p>
            <w:pPr>
              <w:pStyle w:val="Normal"/>
              <w:spacing w:lineRule="auto" w:line="240"/>
              <w:ind w:firstLine="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(здание Водоприемника)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К-т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firstLine="1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ListParagraph"/>
        <w:ind w:left="85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 xml:space="preserve">1.5. </w:t>
      </w:r>
      <w:bookmarkStart w:id="0" w:name="_Hlk49857604"/>
      <w:r>
        <w:rPr>
          <w:rFonts w:cs="Times New Roman" w:ascii="Times New Roman" w:hAnsi="Times New Roman"/>
          <w:b/>
          <w:bCs/>
        </w:rPr>
        <w:t>Информация, предоставляемая Заказчиком</w:t>
      </w:r>
      <w:bookmarkEnd w:id="0"/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Заказчик предоставит Исполнителю имеющуюся в наличии проектную/техническую или иную документацию и информацию, необходимую Исполнителю для выполнения обязательств по Договору. Указанная документация и информация предоставляются Заказчиком Исполнителю не позднее 3 (трёх) рабочих дней с момента получения соответствующего запроса Исполнителя </w:t>
      </w:r>
      <w:bookmarkStart w:id="1" w:name="_Ref361320734"/>
      <w:r>
        <w:rPr>
          <w:rFonts w:cs="Times New Roman" w:ascii="Times New Roman" w:hAnsi="Times New Roman"/>
        </w:rPr>
        <w:t>по Акту сдачи-приемки технической и иной документации по форме Приложения № 2 к Техническим требованиям.</w:t>
      </w:r>
      <w:bookmarkEnd w:id="1"/>
    </w:p>
    <w:p>
      <w:pPr>
        <w:pStyle w:val="ListParagraph"/>
        <w:ind w:left="85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lang w:val="x-none"/>
        </w:rPr>
        <w:t>1.6. Иные требования и сведения общего характера</w:t>
      </w:r>
      <w:r>
        <w:rPr>
          <w:rFonts w:cs="Times New Roman" w:ascii="Times New Roman" w:hAnsi="Times New Roman"/>
          <w:b/>
          <w:bCs/>
        </w:rPr>
        <w:t>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оказании Услуг должны выполняться все требования правил техники безопасности, правил пожарной безопасности и правил технической эксплуатации электрических станций и сетей.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Исполнитель обязан соблюдать требования природоохранного законодательства при оказании Услуг на территории Заказчика.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Необходимые разрешения и документы для оказания Услуг должны быть оформлены Исполнителем заблаговременно до начала оказания Услуг. Для разрешения допуска на предприятие и оформления пропусков Исполнитель должен предоставить Заказчику список специалистов, которые будут задействованы в оказании Услуг с указанием Ф.И.О., занимаемой должности или квалификации.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iCs/>
        </w:rPr>
        <w:t>2. Требования</w:t>
      </w:r>
      <w:r>
        <w:rPr>
          <w:rFonts w:cs="Times New Roman" w:ascii="Times New Roman" w:hAnsi="Times New Roman"/>
          <w:b/>
          <w:iCs/>
          <w:lang w:val="x-none"/>
        </w:rPr>
        <w:t xml:space="preserve"> к </w:t>
      </w:r>
      <w:r>
        <w:rPr>
          <w:rFonts w:cs="Times New Roman" w:ascii="Times New Roman" w:hAnsi="Times New Roman"/>
          <w:b/>
          <w:iCs/>
        </w:rPr>
        <w:t>Услугам</w:t>
      </w:r>
    </w:p>
    <w:p>
      <w:pPr>
        <w:pStyle w:val="ListParagraph"/>
        <w:numPr>
          <w:ilvl w:val="0"/>
          <w:numId w:val="4"/>
        </w:numPr>
        <w:ind w:hanging="567" w:left="851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bCs/>
          <w:lang w:val="x-none"/>
        </w:rPr>
        <w:t>Применение законодательства о национальном режиме</w:t>
      </w:r>
    </w:p>
    <w:p>
      <w:pPr>
        <w:pStyle w:val="ListParagraph"/>
        <w:ind w:left="851"/>
        <w:jc w:val="both"/>
        <w:rPr/>
      </w:pPr>
      <w:r>
        <w:rPr>
          <w:rFonts w:cs="Times New Roman" w:ascii="Times New Roman" w:hAnsi="Times New Roman"/>
          <w:lang w:val="x-none"/>
        </w:rPr>
        <w:t>Национальный режим предоставляется.</w:t>
      </w:r>
    </w:p>
    <w:p>
      <w:pPr>
        <w:pStyle w:val="ListParagraph"/>
        <w:ind w:left="284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  <w:bCs/>
          <w:lang w:val="x-none"/>
        </w:rPr>
        <w:t xml:space="preserve">2.2. Требования к объемам и срокам </w:t>
      </w:r>
      <w:r>
        <w:rPr>
          <w:rFonts w:cs="Times New Roman" w:ascii="Times New Roman" w:hAnsi="Times New Roman"/>
          <w:b/>
          <w:bCs/>
        </w:rPr>
        <w:t>оказания Услуг</w:t>
      </w:r>
    </w:p>
    <w:p>
      <w:pPr>
        <w:pStyle w:val="ListParagraph"/>
        <w:ind w:left="1247"/>
        <w:jc w:val="both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</w:rPr>
        <w:t>2.2.1. Требования к перечню и объему Услуг</w:t>
      </w:r>
    </w:p>
    <w:p>
      <w:pPr>
        <w:pStyle w:val="ListParagraph"/>
        <w:ind w:left="1247"/>
        <w:jc w:val="both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lang w:val="x-none"/>
        </w:rPr>
      </w:r>
    </w:p>
    <w:p>
      <w:pPr>
        <w:pStyle w:val="Normal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lang w:val="x-none"/>
        </w:rPr>
        <w:t xml:space="preserve">Таблица </w:t>
      </w:r>
      <w:r>
        <w:rPr>
          <w:rFonts w:cs="Times New Roman" w:ascii="Times New Roman" w:hAnsi="Times New Roman"/>
          <w:b/>
        </w:rPr>
        <w:t>2.</w:t>
      </w:r>
      <w:r>
        <w:rPr>
          <w:rFonts w:cs="Times New Roman" w:ascii="Times New Roman" w:hAnsi="Times New Roman"/>
          <w:b/>
          <w:lang w:val="x-none"/>
        </w:rPr>
        <w:t xml:space="preserve"> </w:t>
      </w:r>
      <w:r>
        <w:rPr>
          <w:rFonts w:cs="Times New Roman" w:ascii="Times New Roman" w:hAnsi="Times New Roman"/>
          <w:b/>
        </w:rPr>
        <w:t>Перечень и объем оказываемых Услуг</w:t>
      </w:r>
    </w:p>
    <w:tbl>
      <w:tblPr>
        <w:tblW w:w="9354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80"/>
        <w:gridCol w:w="5449"/>
        <w:gridCol w:w="1472"/>
        <w:gridCol w:w="1752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Услуг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Единица измерения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Количество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1</w:t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2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3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i/>
                <w:i/>
              </w:rPr>
            </w:pPr>
            <w:r>
              <w:rPr>
                <w:rFonts w:cs="Times New Roman" w:ascii="Times New Roman" w:hAnsi="Times New Roman"/>
                <w:b/>
                <w:i/>
              </w:rPr>
              <w:t>4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napToGrid w:val="false"/>
              <w:ind w:hanging="0"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rFonts w:eastAsia="Liberation Serif;Times New Roma" w:cs="Times New Roman" w:ascii="Times New Roman" w:hAnsi="Times New Roman"/>
                <w:bCs/>
                <w:color w:val="000000"/>
                <w:kern w:val="0"/>
                <w:sz w:val="24"/>
                <w:szCs w:val="24"/>
                <w:lang w:eastAsia="ru-RU" w:bidi="ar-SA"/>
              </w:rPr>
              <w:t>ОКПД2 28.22.16.110 Оказание услуг по оценке состояния и возможности применения ранее закупленного лифтового оборудования в рамках реализации проекта достройки Загорской ГАЭС-2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Условная единица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Heading3"/>
        <w:tabs>
          <w:tab w:val="clear" w:pos="0"/>
        </w:tabs>
        <w:ind w:hanging="0" w:left="1224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lang w:val="ru-RU"/>
        </w:rPr>
        <w:t>2.2.2. Требования к срокам оказания Услуг</w:t>
      </w:r>
    </w:p>
    <w:p>
      <w:pPr>
        <w:pStyle w:val="Heading3"/>
        <w:tabs>
          <w:tab w:val="clear" w:pos="0"/>
        </w:tabs>
        <w:ind w:hanging="0" w:left="57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Таблица </w:t>
      </w:r>
      <w:r>
        <w:rPr>
          <w:rFonts w:cs="Times New Roman" w:ascii="Times New Roman" w:hAnsi="Times New Roman"/>
          <w:lang w:val="ru-RU"/>
        </w:rPr>
        <w:t>3</w:t>
      </w:r>
      <w:r>
        <w:rPr>
          <w:rFonts w:cs="Times New Roman" w:ascii="Times New Roman" w:hAnsi="Times New Roman"/>
        </w:rPr>
        <w:t xml:space="preserve">. </w:t>
      </w:r>
      <w:bookmarkStart w:id="2" w:name="_Hlk50465284"/>
      <w:r>
        <w:rPr>
          <w:rFonts w:cs="Times New Roman" w:ascii="Times New Roman" w:hAnsi="Times New Roman"/>
        </w:rPr>
        <w:t xml:space="preserve">Требования </w:t>
      </w:r>
      <w:r>
        <w:rPr>
          <w:rFonts w:cs="Times New Roman" w:ascii="Times New Roman" w:hAnsi="Times New Roman"/>
          <w:lang w:val="ru-RU"/>
        </w:rPr>
        <w:t>к</w:t>
      </w:r>
      <w:r>
        <w:rPr>
          <w:rFonts w:cs="Times New Roman" w:ascii="Times New Roman" w:hAnsi="Times New Roman"/>
        </w:rPr>
        <w:t xml:space="preserve"> срокам </w:t>
      </w:r>
      <w:bookmarkEnd w:id="2"/>
      <w:r>
        <w:rPr>
          <w:rFonts w:cs="Times New Roman" w:ascii="Times New Roman" w:hAnsi="Times New Roman"/>
          <w:lang w:val="ru-RU"/>
        </w:rPr>
        <w:t>оказания услуг</w:t>
      </w:r>
    </w:p>
    <w:tbl>
      <w:tblPr>
        <w:tblW w:w="9609" w:type="dxa"/>
        <w:jc w:val="left"/>
        <w:tblInd w:w="16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6"/>
        <w:gridCol w:w="3533"/>
        <w:gridCol w:w="2661"/>
        <w:gridCol w:w="2628"/>
      </w:tblGrid>
      <w:tr>
        <w:trPr/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</w:rPr>
              <w:t>№</w:t>
            </w:r>
            <w:r>
              <w:rPr>
                <w:rFonts w:eastAsia="Times New Roman" w:cs="Times New Roman" w:ascii="Times New Roman" w:hAnsi="Times New Roman"/>
              </w:rPr>
              <w:t xml:space="preserve">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услуг/ этапа услуг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Требования к началу срока оказания услуг/ этапа услуг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296" w:hRule="atLeast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1</w:t>
            </w:r>
          </w:p>
        </w:tc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1520" w:hRule="atLeast"/>
        </w:trPr>
        <w:tc>
          <w:tcPr>
            <w:tcW w:w="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5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9"/>
                <w:rFonts w:eastAsia="Liberation Serif;Times New Roma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ОКПД2 28.22.16.110 Оказание услуг по оценке состояния и возможности применения ранее закупленного лифтового оборудования в рамках реализации проекта достройки Загорской ГАЭС-2</w:t>
            </w:r>
            <w:r>
              <w:rPr>
                <w:rStyle w:val="Style9"/>
                <w:rFonts w:cs="Times New Roman" w:ascii="Times New Roman" w:hAnsi="Times New Roman"/>
                <w:b w:val="false"/>
                <w:i w:val="false"/>
                <w:color w:val="000000"/>
                <w:sz w:val="24"/>
                <w:szCs w:val="24"/>
                <w:shd w:fill="auto" w:val="clear"/>
              </w:rPr>
              <w:t>.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false"/>
              <w:widowControl w:val="false"/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false"/>
              <w:widowControl w:val="false"/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позднее 2-х месяцев с даты, следующей за датой начала  оказания Услуг по договору</w:t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1134" w:right="1134" w:gutter="0" w:header="1134" w:top="1693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ListParagraph"/>
        <w:ind w:left="0"/>
        <w:jc w:val="center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lang w:val="x-none"/>
        </w:rPr>
      </w:r>
    </w:p>
    <w:p>
      <w:pPr>
        <w:pStyle w:val="ListParagraph"/>
        <w:jc w:val="center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bCs/>
          <w:lang w:val="x-none"/>
        </w:rPr>
        <w:t xml:space="preserve">3. </w:t>
      </w:r>
      <w:r>
        <w:rPr>
          <w:rFonts w:eastAsia="Calibri" w:cs="Times New Roman" w:ascii="Times New Roman" w:hAnsi="Times New Roman"/>
          <w:b/>
          <w:bCs/>
          <w:lang w:val="x-none" w:eastAsia="x-none"/>
        </w:rPr>
        <w:t xml:space="preserve">Требования к </w:t>
      </w:r>
      <w:r>
        <w:rPr>
          <w:rFonts w:eastAsia="Calibri" w:cs="Times New Roman" w:ascii="Times New Roman" w:hAnsi="Times New Roman"/>
          <w:b/>
          <w:bCs/>
          <w:lang w:eastAsia="x-none"/>
        </w:rPr>
        <w:t>качеству Услуг</w:t>
      </w:r>
      <w:r>
        <w:rPr>
          <w:rFonts w:eastAsia="Calibri" w:cs="Times New Roman" w:ascii="Times New Roman" w:hAnsi="Times New Roman"/>
          <w:b/>
          <w:bCs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lang w:val="x-none"/>
        </w:rPr>
      </w:r>
    </w:p>
    <w:p>
      <w:pPr>
        <w:pStyle w:val="Normal"/>
        <w:jc w:val="both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bCs/>
        </w:rPr>
        <w:t>Наименование Услуг:</w:t>
      </w:r>
      <w:r>
        <w:rPr>
          <w:rFonts w:eastAsia="Calibri" w:cs="Times New Roman" w:ascii="Times New Roman" w:hAnsi="Times New Roman"/>
          <w:lang w:eastAsia="x-none"/>
        </w:rPr>
        <w:t xml:space="preserve"> </w:t>
      </w:r>
      <w:r>
        <w:rPr>
          <w:rStyle w:val="Style9"/>
          <w:rFonts w:eastAsia="Liberation Serif;Times New Roma" w:cs="Times New Roman" w:ascii="Times New Roman" w:hAnsi="Times New Roman"/>
          <w:b w:val="false"/>
          <w:bCs/>
          <w:i w:val="false"/>
          <w:color w:val="000000"/>
          <w:kern w:val="0"/>
          <w:sz w:val="26"/>
          <w:szCs w:val="26"/>
          <w:shd w:fill="auto" w:val="clear"/>
          <w:lang w:eastAsia="ru-RU" w:bidi="ar-SA"/>
        </w:rPr>
        <w:t>ОКПД2 28.22.16.110 Оказание услуг по оценке состояния и возможности применения ранее закупленного лифтового оборудования в рамках реализации проекта достройки Загорской ГАЭС-2</w:t>
      </w:r>
      <w:r>
        <w:rPr>
          <w:rStyle w:val="Style9"/>
          <w:rFonts w:eastAsia="Calibri" w:cs="Times New Roman" w:ascii="Times New Roman" w:hAnsi="Times New Roman"/>
          <w:b w:val="false"/>
          <w:i w:val="false"/>
          <w:color w:val="000000"/>
          <w:shd w:fill="auto" w:val="clear"/>
          <w:lang w:eastAsia="x-none"/>
        </w:rPr>
        <w:t>.</w:t>
      </w:r>
    </w:p>
    <w:p>
      <w:pPr>
        <w:pStyle w:val="Normal"/>
        <w:rPr>
          <w:rFonts w:ascii="Times New Roman" w:hAnsi="Times New Roman" w:cs="Times New Roman"/>
          <w:b/>
          <w:lang w:val="x-none"/>
        </w:rPr>
      </w:pPr>
      <w:r>
        <w:rPr>
          <w:rFonts w:eastAsia="Calibri" w:cs="Times New Roman" w:ascii="Times New Roman" w:hAnsi="Times New Roman"/>
          <w:b/>
          <w:lang w:val="x-none" w:eastAsia="x-none"/>
        </w:rPr>
        <w:t xml:space="preserve">Таблица 4. Требования к </w:t>
      </w:r>
      <w:r>
        <w:rPr>
          <w:rFonts w:eastAsia="Calibri" w:cs="Times New Roman" w:ascii="Times New Roman" w:hAnsi="Times New Roman"/>
          <w:b/>
          <w:lang w:eastAsia="x-none"/>
        </w:rPr>
        <w:t>качеству Услуг</w:t>
      </w:r>
      <w:r>
        <w:rPr>
          <w:rFonts w:eastAsia="Calibri" w:cs="Times New Roman" w:ascii="Times New Roman" w:hAnsi="Times New Roman"/>
          <w:b/>
          <w:lang w:val="x-none" w:eastAsia="x-none"/>
        </w:rPr>
        <w:t xml:space="preserve"> </w:t>
      </w:r>
    </w:p>
    <w:tbl>
      <w:tblPr>
        <w:tblW w:w="1456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4"/>
        <w:gridCol w:w="2562"/>
        <w:gridCol w:w="5953"/>
        <w:gridCol w:w="1580"/>
        <w:gridCol w:w="2048"/>
        <w:gridCol w:w="1807"/>
      </w:tblGrid>
      <w:tr>
        <w:trPr>
          <w:trHeight w:val="138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п/п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Наименование параметра</w:t>
            </w:r>
          </w:p>
        </w:tc>
        <w:tc>
          <w:tcPr>
            <w:tcW w:w="5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Требование Заказчика</w:t>
            </w:r>
          </w:p>
        </w:tc>
        <w:tc>
          <w:tcPr>
            <w:tcW w:w="3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Способ подтверждения участником соответствия требованиям</w:t>
            </w:r>
          </w:p>
        </w:tc>
        <w:tc>
          <w:tcPr>
            <w:tcW w:w="18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Предложение участника по характеристикам и параметрам</w:t>
            </w:r>
          </w:p>
        </w:tc>
      </w:tr>
      <w:tr>
        <w:trPr>
          <w:trHeight w:val="138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‍</w:t>
            </w:r>
          </w:p>
        </w:tc>
        <w:tc>
          <w:tcPr>
            <w:tcW w:w="2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59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Согласие с требованием/ указание характеристик</w:t>
            </w:r>
          </w:p>
        </w:tc>
        <w:tc>
          <w:tcPr>
            <w:tcW w:w="20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lang w:eastAsia="ru-RU" w:bidi="ar-SA"/>
              </w:rPr>
              <w:t>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lang w:eastAsia="ru-RU" w:bidi="ar-SA"/>
              </w:rPr>
              <w:t>2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lang w:eastAsia="ru-RU" w:bidi="ar-SA"/>
              </w:rPr>
              <w:t>3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lang w:eastAsia="ru-RU" w:bidi="ar-SA"/>
              </w:rPr>
              <w:t>4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lang w:eastAsia="ru-RU" w:bidi="ar-SA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i/>
                <w:i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lang w:eastAsia="ru-RU" w:bidi="ar-SA"/>
              </w:rPr>
              <w:t>6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оказанию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Общие требования к оказанию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Соблюдение норм и правил нормативно-технических документов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hd w:fill="auto" w:val="clear"/>
                <w:lang w:eastAsia="ru-RU" w:bidi="ar-SA"/>
              </w:rPr>
              <w:t>При оказании Услуг по оценке состояния лифтового оборудования Загорской ГАЭС-2</w:t>
            </w:r>
            <w:r>
              <w:rPr>
                <w:rFonts w:eastAsia="Calibri" w:cs="Times New Roman" w:ascii="Times New Roman" w:hAnsi="Times New Roman"/>
                <w:kern w:val="0"/>
                <w:shd w:fill="auto" w:val="clear"/>
                <w:lang w:eastAsia="x-none" w:bidi="ar-SA"/>
              </w:rPr>
              <w:t>,</w:t>
            </w:r>
            <w:r>
              <w:rPr>
                <w:rFonts w:eastAsia="Times New Roman" w:cs="Times New Roman" w:ascii="Times New Roman" w:hAnsi="Times New Roman"/>
                <w:kern w:val="0"/>
                <w:shd w:fill="auto" w:val="clear"/>
                <w:lang w:eastAsia="ru-RU" w:bidi="ar-SA"/>
              </w:rPr>
              <w:t xml:space="preserve"> Исполнителем должны быть выполнены требования: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Правила устройства электроустановок.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ГОСТ 12.1.018-93</w:t>
              <w:tab/>
              <w:t>Межгосударственный стандарт. Система стандартов безопасности труда. Пожаровзрывобезопасность статического электричества. Общие требования.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ГОСТ 2.601-2006</w:t>
              <w:tab/>
              <w:t>Межгосударственный стандарт. Единая система конструкторской документации. Эксплуатационные документы.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НПБ 250-97</w:t>
              <w:tab/>
              <w:t>Лифты для транспортирования пожарных подразделений в зданиях и сооружениях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Федеральный закон «О промышленной безопасности опасных производственных объектов» от 21.07.97 №116-ФЗ.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- Правила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утвержденные Постановлением Правительства от 20.10.2023 №1744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ГОСТ Р 52382-2010 (ЕН 81-72:2003)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Национальный стандарт российской федерации лифты пассажирские лифты для пожарных.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ГОСТ Р 53780-2010 (ЕН 81-1:1998, ЕН 81-2:1998) Национальный стандарт российской федерации лифты общие требования безопасности к устройству и установке.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ГОСТ Р 53781-2010</w:t>
              <w:tab/>
              <w:t>Национальный стандарт российской федерации лифты правила и методы исследований (испытаний) и измерений при сертификации лифтов. правила отбора образцов.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  <w:highlight w:val="none"/>
                <w:shd w:fill="FFFF00" w:val="clear"/>
              </w:rPr>
            </w:pPr>
            <w:r>
              <w:rPr>
                <w:sz w:val="24"/>
                <w:szCs w:val="24"/>
                <w:shd w:fill="auto" w:val="clear"/>
              </w:rPr>
              <w:t>ГОСТ Р 53387-2009 (ИСО/ТС 14798:2006)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- Национальный стандарт российской федерации лифты, эскалаторы и пассажирские конвейеры методология анализа и снижения риска.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true"/>
              <w:bidi w:val="0"/>
              <w:spacing w:lineRule="auto" w:line="240" w:before="0" w:after="0"/>
              <w:ind w:hanging="2268" w:left="113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ГОСТ 28911-2021 (ИСО 3166) 004-97</w:t>
            </w:r>
          </w:p>
          <w:p>
            <w:pPr>
              <w:pStyle w:val="Normal"/>
              <w:widowControl/>
              <w:numPr>
                <w:ilvl w:val="0"/>
                <w:numId w:val="8"/>
              </w:numPr>
              <w:suppressAutoHyphens w:val="true"/>
              <w:bidi w:val="0"/>
              <w:spacing w:lineRule="auto" w:line="240" w:before="0" w:after="0"/>
              <w:ind w:hanging="2268" w:left="113" w:right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- Национальный стандарт российской федерации лифты устройства управления, сигнализации и дополнительное оборудование.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hd w:fill="auto" w:val="clear"/>
                <w:lang w:eastAsia="ru-RU" w:bidi="ar-SA"/>
              </w:rPr>
              <w:t>а также требования Заказчика, относящиеся к оборудованию.</w:t>
            </w:r>
          </w:p>
          <w:p>
            <w:pPr>
              <w:pStyle w:val="Normal"/>
              <w:widowControl w:val="false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hd w:fill="auto" w:val="clear"/>
                <w:lang w:eastAsia="ru-RU" w:bidi="ar-SA"/>
              </w:rPr>
              <w:t>Исполнитель должен руководствоваться национальными, отраслевыми и корпоративными нормативно-техническими документами: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Федеральный закон «О промышленной безопасности опасных производственных объектов» от 21.07.97 №116-ФЗ (ред. от 04.11.2022).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СНиП 12-03-2001</w:t>
              <w:tab/>
              <w:t>Безопасность труда в строительстве. Часть 1. Общие требования.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СНиП 12-04-2002</w:t>
              <w:tab/>
              <w:t>Безопасность труда в строительстве. Часть 2. Строительное производство.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ПУЭ Правила устройства электрических установок (седьмое издание).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РД 153-34.0-03.301-00</w:t>
              <w:tab/>
              <w:t>Правила пожарной безопасности для энергетических предприятий.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ind w:hanging="0" w:left="0"/>
              <w:jc w:val="both"/>
              <w:rPr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shd w:fill="auto" w:val="clear"/>
                <w:lang w:eastAsia="ru-RU" w:bidi="ar-SA"/>
              </w:rPr>
              <w:t>Федеральный закон от 10.01.2002 № 7-ФЗ «Об охране окружающей среды».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shd w:val="clear" w:color="auto" w:fill="FFFFFF" w:themeFill="background1"/>
              <w:ind w:hanging="397" w:left="113"/>
              <w:jc w:val="both"/>
              <w:rPr/>
            </w:pPr>
            <w:r>
              <w:rPr>
                <w:rStyle w:val="Style9"/>
                <w:rFonts w:eastAsia="Times New Roman" w:ascii="Times New Roman" w:hAnsi="Times New Roman"/>
                <w:b w:val="false"/>
                <w:i w:val="false"/>
                <w:color w:val="000000"/>
                <w:kern w:val="0"/>
                <w:shd w:fill="auto" w:val="clear"/>
                <w:lang w:eastAsia="ru-RU" w:bidi="ar-SA"/>
              </w:rPr>
              <w:t>- Постановление Правительства Российской Федерации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способам оказания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  <w:t>Требования к о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казанию Услуг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При оказании Услуг Исполнитель должен выполнить следующие операции:</w:t>
            </w:r>
          </w:p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1. Выезд специалистов Исполнителя на объекты Заказчика для визуального осмотра и обследования лифтового оборудования, с фотофиксацией оборудования и его узлов.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2. По результатам обследования, формирование Исполнителем технического отчета о пригодности лифтового оборудования к монтажу, предоставление рекомендаций по модернизации лифтового оборудования для корректной работы систем.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3. </w:t>
            </w:r>
            <w:r>
              <w:rPr>
                <w:rFonts w:cs="Times New Roman" w:ascii="Times New Roman" w:hAnsi="Times New Roman"/>
                <w:color w:val="000000"/>
              </w:rPr>
              <w:t xml:space="preserve">Подготовка </w:t>
            </w:r>
            <w:r>
              <w:rPr>
                <w:rFonts w:eastAsia="Calibri" w:cs="Times New Roman" w:ascii="Times New Roman" w:hAnsi="Times New Roman"/>
                <w:color w:val="000000"/>
                <w:lang w:eastAsia="x-none"/>
              </w:rPr>
              <w:t xml:space="preserve">технического отчета о пригодности/непригодности к дальнейшей эксплуатации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лифтового </w:t>
            </w:r>
            <w:r>
              <w:rPr>
                <w:rFonts w:eastAsia="Calibri" w:cs="Times New Roman" w:ascii="Times New Roman" w:hAnsi="Times New Roman"/>
                <w:color w:val="000000"/>
                <w:lang w:eastAsia="x-none"/>
              </w:rPr>
              <w:t>оборудования.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x-none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процедурам оказания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Организационно-технические мероприятия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Допуск персонала Исполнителя для оказания Услуг осуществляется в соответствии с СП 48.13330.2019 «Организация строительства». Перед началом оказания Услуг Исполнитель проходит инструктаж.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Необходимые разрешения и документы для оказания Услуг должны быть оформлены Исполнителем заблаговременно. Для разрешения допуска на территорию Заказчика и оформления пропусков Исполнитель должен предоставить Заказчику список специалистов, которые будут оказывать Услуги с указанием Ф.И.О., занимаемой должности.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x-none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Оборудование и материалы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должен оказать Услуги по оценке лифтового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 оборудования  Загорской ГАЭС-2</w:t>
            </w: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, с применением собственных материалов, грузоподъёмных механизмов и транспортных средств, в соответствии с настоящим Заданием на оказание Услуг, требованиями завода-изготовителя, входящими в состав инструкций, технической и нормативной документации.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Все необходимое оборудование и материалы для оказания услуг приобретаются и доставляются на место оказания Услуг Исполнителем своими силами и средствами.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персоналу Исполнителя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Квалификация персонала Исполнителя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Оказание Услуг силами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 начала оказания Услуг в рамках исполнения Договора, Исполнитель представляет список персонала, с указанием сведений о квалификации персонала (разряд, группа по электробезопасности).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x-none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результатам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Общие требования к результатам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Результат оказания Услуг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Услуга считается выполненной после подписания Заказчиком и Исполнителем Акта об оказании Услуг по форме Приложения №1 с приложением к нему технического отчета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eastAsia="x-none" w:bidi="ar-SA"/>
              </w:rPr>
              <w:t xml:space="preserve">о пригодности/непригодности к дальнейшей эксплуатации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лифтового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eastAsia="x-none" w:bidi="ar-SA"/>
              </w:rPr>
              <w:t>оборудования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Результатом оказания Услуг является оформленный по результатам оценки состояния лифтового оборудования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eastAsia="x-none" w:bidi="ar-SA"/>
              </w:rPr>
              <w:t xml:space="preserve">технический отчет о пригодности/непригодности к дальнейшей эксплуатации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лифтового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eastAsia="x-none" w:bidi="ar-SA"/>
              </w:rPr>
              <w:t>оборудования.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firstLine="680"/>
              <w:jc w:val="both"/>
              <w:rPr>
                <w:rFonts w:ascii="Times New Roman" w:hAnsi="Times New Roman" w:eastAsia="Calibri" w:cs="Times New Roman"/>
                <w:color w:val="000000"/>
                <w:lang w:eastAsia="x-none"/>
              </w:rPr>
            </w:pPr>
            <w:r>
              <w:rPr>
                <w:rFonts w:eastAsia="Calibri" w:cs="Times New Roman" w:ascii="Times New Roman" w:hAnsi="Times New Roman"/>
                <w:color w:val="000000"/>
                <w:lang w:eastAsia="x-none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both"/>
              <w:rPr/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Требования информационной безопасности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Информационная безопасность должна обеспечиваться в соответствии с Федеральными законами № 152 от 27.07.2006 «О персональных данных».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x-none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Требования информационной безопасности результата оказанных Услуг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Любая информация, полученная Исполнителем в ходе ознакомления с объемом оказываемых Услуг, к которой относится и вся информация о производственных активах Заказчика, содержание которых Исполнитель получит или может получить в ходе оказания Услуг, является собственностью Заказчика и не может передаваться третьим лицам, использоваться в своих целях, распространяться или тиражироваться любыми способами без письменного разрешения Заказчика.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Исполнитель обязан выполнять в полном объеме требования Заказчика к информационной безопасности.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Исполнителю запрещается: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Передавать иным лицам, кроме полномочных представителей Заказчика, планы расположения, технические характеристики оборудования;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Осуществлять несанкционированное подключение к оборудованию;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Передавать третьим лицам любую информацию о работе оборудования и параметрах технологического процесса без письменного согласия Заказчика.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x-none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both"/>
              <w:rPr/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Документы передаваемые Заказчику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 xml:space="preserve">По результатам выполненной оценки состояния лифтового оборудования Исполнитель передает Заказчику технический отчет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eastAsia="x-none" w:bidi="ar-SA"/>
              </w:rPr>
              <w:t xml:space="preserve">о пригодности/непригодности к дальнейшей эксплуатации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 xml:space="preserve">лифтового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lang w:eastAsia="x-none" w:bidi="ar-SA"/>
              </w:rPr>
              <w:t>оборудования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ru-RU" w:bidi="ar-SA"/>
              </w:rPr>
              <w:t>Отчетные материалы передаются Заказчику на бумажном носителе в 3 экземплярах и в электронном виде (формат PDF запись на CD-диск).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настоящего Задания на оказание Услуг)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  <w:t>3.1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7"/>
              <w:keepNext w:val="false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kern w:val="0"/>
                <w:lang w:val="ru-RU" w:eastAsia="ru-RU" w:bidi="ar-SA"/>
              </w:rPr>
              <w:t>При оказании Услуг соблюдение норм и правил нормативно-технических документов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Услуги оказываются в соответствии национальными, отраслевыми и корпоративными (ПАО «РусГидро») нормативно-техническими документами, нормативно-правовыми актами и документацией завода изготовителя оборудования, организация оказания Услуг должна соответствовать требованиям: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Правила по охране труда при эксплуатации электроустановок утв. Приказом Министерства труда и социальной защиты РФ от 15.12.2020 № 903н;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- Правила по охране труда при работе на высоте утв. Приказом Министерством труда и социальной защиты РФ от 16.11.2020 №782н.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napToGrid w:val="false"/>
              <w:spacing w:before="0" w:after="0"/>
              <w:ind w:hanging="0" w:left="0"/>
              <w:contextualSpacing w:val="false"/>
              <w:jc w:val="center"/>
              <w:rPr>
                <w:rFonts w:ascii="Times New Roman" w:hAnsi="Times New Roman" w:eastAsia="Times New Roman" w:cs="Times New Roman"/>
                <w:kern w:val="0"/>
                <w:lang w:eastAsia="x-none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x-none" w:bidi="ar-SA"/>
              </w:rPr>
            </w:r>
          </w:p>
        </w:tc>
        <w:tc>
          <w:tcPr>
            <w:tcW w:w="8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rFonts w:ascii="Times New Roman" w:hAnsi="Times New Roman" w:eastAsia="Times New Roman" w:cs="Times New Roman"/>
                <w:b/>
                <w:bCs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lang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-//-</w:t>
            </w:r>
          </w:p>
        </w:tc>
      </w:tr>
      <w:tr>
        <w:trPr/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/>
              <w:contextualSpacing w:val="false"/>
              <w:rPr>
                <w:rFonts w:ascii="Times New Roman" w:hAnsi="Times New Roman" w:cs="Times New Roman"/>
                <w:lang w:eastAsia="x-none"/>
              </w:rPr>
            </w:pPr>
            <w:r>
              <w:rPr>
                <w:rFonts w:cs="Times New Roman" w:ascii="Times New Roman" w:hAnsi="Times New Roman"/>
                <w:lang w:eastAsia="x-none"/>
              </w:rPr>
              <w:t>4.1.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  <w:t>В случае привлечения к оказанию Услуг соисполнителей,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Согласие с требованием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lang w:eastAsia="ru-RU" w:bidi="ar-SA"/>
              </w:rPr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1134" w:right="1134" w:gutter="0" w:header="1134" w:top="1693" w:footer="0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lang w:val="x-none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  <w:b/>
          <w:lang w:val="x-none"/>
        </w:rPr>
      </w:pPr>
      <w:r>
        <w:rPr>
          <w:rFonts w:cs="Times New Roman" w:ascii="Times New Roman" w:hAnsi="Times New Roman"/>
          <w:b/>
          <w:lang w:val="x-none"/>
        </w:rPr>
      </w:r>
    </w:p>
    <w:p>
      <w:pPr>
        <w:pStyle w:val="Heading1"/>
        <w:keepLines/>
        <w:numPr>
          <w:ilvl w:val="0"/>
          <w:numId w:val="0"/>
        </w:numPr>
        <w:ind w:hanging="0" w:left="36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sz w:val="24"/>
          <w:szCs w:val="24"/>
          <w:lang w:val="ru-RU"/>
        </w:rPr>
        <w:t>4. Требования к документации по ценообразованию на этапе закупки</w:t>
      </w:r>
    </w:p>
    <w:p>
      <w:pPr>
        <w:pStyle w:val="Normal"/>
        <w:tabs>
          <w:tab w:val="clear" w:pos="709"/>
          <w:tab w:val="left" w:pos="0" w:leader="none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       </w:t>
      </w:r>
      <w:r>
        <w:rPr>
          <w:rFonts w:ascii="Times New Roman" w:hAnsi="Times New Roman"/>
          <w:bCs/>
        </w:rPr>
        <w:t>4.1.</w:t>
        <w:tab/>
        <w:t>В обосновании стоимости своей заявки Участник предоставляет Коммерческое предложение по форме Приложения №3 к настоящим Техническим требованиям</w:t>
      </w:r>
    </w:p>
    <w:p>
      <w:pPr>
        <w:pStyle w:val="Normal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Heading1"/>
        <w:keepLines/>
        <w:numPr>
          <w:ilvl w:val="0"/>
          <w:numId w:val="0"/>
        </w:numPr>
        <w:ind w:hanging="0" w:left="35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  <w:lang w:val="ru-RU"/>
        </w:rPr>
        <w:t>5. Приложения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Fonts w:ascii="Times New Roman" w:hAnsi="Times New Roman" w:cs="Times New Roman"/>
        </w:rPr>
      </w:pPr>
      <w:r>
        <w:rPr>
          <w:rStyle w:val="Style9"/>
          <w:rFonts w:cs="Times New Roman" w:ascii="Times New Roman" w:hAnsi="Times New Roman"/>
          <w:b w:val="false"/>
          <w:bCs/>
          <w:i w:val="false"/>
          <w:shd w:fill="auto" w:val="clear"/>
        </w:rPr>
        <w:t xml:space="preserve">Приложение №1 </w:t>
      </w:r>
      <w:r>
        <w:rPr>
          <w:rStyle w:val="Style9"/>
          <w:rFonts w:cs="Times New Roman" w:ascii="Times New Roman" w:hAnsi="Times New Roman"/>
          <w:b w:val="false"/>
          <w:bCs/>
          <w:i w:val="false"/>
          <w:color w:val="000000"/>
          <w:shd w:fill="auto" w:val="clear"/>
        </w:rPr>
        <w:t>Акт сдачи-приёмки оказанных услуг (форма);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Fonts w:ascii="Times New Roman" w:hAnsi="Times New Roman" w:cs="Times New Roman"/>
        </w:rPr>
      </w:pPr>
      <w:r>
        <w:rPr>
          <w:rStyle w:val="Style9"/>
          <w:rFonts w:cs="Times New Roman" w:ascii="Times New Roman" w:hAnsi="Times New Roman"/>
          <w:b w:val="false"/>
          <w:bCs/>
          <w:i w:val="false"/>
          <w:shd w:fill="auto" w:val="clear"/>
        </w:rPr>
        <w:t xml:space="preserve">Приложение №2 </w:t>
      </w:r>
      <w:r>
        <w:rPr>
          <w:rStyle w:val="Style9"/>
          <w:rFonts w:cs="Times New Roman" w:ascii="Times New Roman" w:hAnsi="Times New Roman"/>
          <w:b w:val="false"/>
          <w:bCs w:val="false"/>
          <w:i w:val="false"/>
          <w:sz w:val="24"/>
          <w:szCs w:val="24"/>
          <w:shd w:fill="auto" w:val="clear"/>
        </w:rPr>
        <w:t xml:space="preserve">Акт сдачи-приемки технической и иной документации; 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Fonts w:ascii="Times New Roman" w:hAnsi="Times New Roman" w:cs="Times New Roman"/>
        </w:rPr>
      </w:pPr>
      <w:r>
        <w:rPr>
          <w:rStyle w:val="Style9"/>
          <w:rFonts w:cs="Times New Roman" w:ascii="Times New Roman" w:hAnsi="Times New Roman"/>
          <w:b w:val="false"/>
          <w:bCs/>
          <w:i w:val="false"/>
          <w:shd w:fill="auto" w:val="clear"/>
        </w:rPr>
        <w:t>Приложение №3 Форма ценового коммерческого предложения.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6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Cs/>
        </w:rPr>
        <w:t>Приложение №1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 техническим требованиям 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56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ФОРМА</w:t>
      </w:r>
    </w:p>
    <w:p>
      <w:pPr>
        <w:pStyle w:val="Normal"/>
        <w:ind w:firstLine="56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284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Акт сдачи-приёмки оказанных услуг №___ от «____» ________ 20__г.</w:t>
      </w:r>
    </w:p>
    <w:p>
      <w:pPr>
        <w:pStyle w:val="Normal"/>
        <w:ind w:firstLine="56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9"/>
          <w:tab w:val="left" w:pos="0" w:leader="none"/>
          <w:tab w:val="left" w:pos="3685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к Договору №_____ от _________</w:t>
      </w:r>
    </w:p>
    <w:p>
      <w:pPr>
        <w:pStyle w:val="Normal"/>
        <w:tabs>
          <w:tab w:val="clear" w:pos="709"/>
          <w:tab w:val="left" w:pos="0" w:leader="none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Заказчик: _______________________________________________________</w:t>
      </w:r>
    </w:p>
    <w:p>
      <w:pPr>
        <w:pStyle w:val="Normal"/>
        <w:tabs>
          <w:tab w:val="clear" w:pos="709"/>
          <w:tab w:val="left" w:pos="0" w:leader="none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Исполнитель: _______________________________________________________</w:t>
      </w:r>
    </w:p>
    <w:p>
      <w:pPr>
        <w:pStyle w:val="Normal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375" w:type="dxa"/>
        <w:jc w:val="left"/>
        <w:tblInd w:w="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35"/>
        <w:gridCol w:w="4530"/>
        <w:gridCol w:w="945"/>
        <w:gridCol w:w="930"/>
        <w:gridCol w:w="1005"/>
        <w:gridCol w:w="1529"/>
      </w:tblGrid>
      <w:tr>
        <w:trPr/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№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Наименование услуг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Кол-во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Ед. изм.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Цена, руб.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Сумма, руб.</w:t>
            </w:r>
          </w:p>
        </w:tc>
      </w:tr>
      <w:tr>
        <w:trPr>
          <w:trHeight w:val="663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</w:tr>
      <w:tr>
        <w:trPr>
          <w:trHeight w:val="545" w:hRule="atLeast"/>
        </w:trPr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2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</w:r>
          </w:p>
        </w:tc>
      </w:tr>
    </w:tbl>
    <w:p>
      <w:pPr>
        <w:pStyle w:val="Normal"/>
        <w:ind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Итого: ______________________________________________________________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Сумма НДС: _________________________________________________________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Всего оказано услуг: __________________________________________________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Всего оказано услуг на сумму: ___________________________________________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Вышеперечисленные услуги выполнены полностью и в срок. Заказчик претензий по объему, качеству и срокам оказания услуг не имеет.</w:t>
      </w:r>
    </w:p>
    <w:p>
      <w:pPr>
        <w:pStyle w:val="Normal"/>
        <w:ind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8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43"/>
        <w:gridCol w:w="284"/>
        <w:gridCol w:w="4960"/>
      </w:tblGrid>
      <w:tr>
        <w:trPr>
          <w:trHeight w:val="345" w:hRule="atLeast"/>
        </w:trPr>
        <w:tc>
          <w:tcPr>
            <w:tcW w:w="4927" w:type="dxa"/>
            <w:gridSpan w:val="2"/>
            <w:tcBorders/>
          </w:tcPr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bCs/>
                <w:color w:val="000000"/>
              </w:rPr>
              <w:t>От Заказчика:</w:t>
            </w:r>
          </w:p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_________________</w:t>
            </w:r>
          </w:p>
          <w:p>
            <w:pPr>
              <w:pStyle w:val="Normal"/>
              <w:widowControl w:val="false"/>
              <w:spacing w:lineRule="auto" w:line="360"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</w:rPr>
              <w:t xml:space="preserve">            </w:t>
            </w:r>
            <w:r>
              <w:rPr>
                <w:rFonts w:cs="Times New Roman" w:ascii="Times New Roman" w:hAnsi="Times New Roman"/>
                <w:bCs/>
                <w:color w:val="000000"/>
              </w:rPr>
              <w:t>м.п.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bCs/>
                <w:color w:val="000000"/>
              </w:rPr>
              <w:t>От Исполнителя:</w:t>
            </w:r>
          </w:p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_________________</w:t>
            </w:r>
          </w:p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cs="Times New Roman" w:ascii="Times New Roman" w:hAnsi="Times New Roman"/>
                <w:bCs/>
                <w:color w:val="000000"/>
              </w:rPr>
              <w:t>м.п.</w:t>
            </w:r>
          </w:p>
        </w:tc>
      </w:tr>
      <w:tr>
        <w:trPr>
          <w:trHeight w:val="458" w:hRule="atLeast"/>
        </w:trPr>
        <w:tc>
          <w:tcPr>
            <w:tcW w:w="4643" w:type="dxa"/>
            <w:tcBorders/>
          </w:tcPr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От Заказчика:</w:t>
            </w:r>
          </w:p>
        </w:tc>
        <w:tc>
          <w:tcPr>
            <w:tcW w:w="5244" w:type="dxa"/>
            <w:gridSpan w:val="2"/>
            <w:tcBorders/>
          </w:tcPr>
          <w:p>
            <w:pPr>
              <w:pStyle w:val="Normal"/>
              <w:widowControl w:val="false"/>
              <w:spacing w:lineRule="auto" w:line="360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</w:rPr>
              <w:t>От Исполнителя:</w:t>
            </w:r>
          </w:p>
        </w:tc>
      </w:tr>
      <w:tr>
        <w:trPr>
          <w:trHeight w:val="345" w:hRule="atLeast"/>
        </w:trPr>
        <w:tc>
          <w:tcPr>
            <w:tcW w:w="4643" w:type="dxa"/>
            <w:tcBorders/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 / _____________ /</w:t>
            </w:r>
          </w:p>
          <w:p>
            <w:pPr>
              <w:pStyle w:val="Normal"/>
              <w:widowControl w:val="false"/>
              <w:ind w:hanging="141" w:left="567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м.п.</w:t>
            </w:r>
          </w:p>
        </w:tc>
        <w:tc>
          <w:tcPr>
            <w:tcW w:w="5244" w:type="dxa"/>
            <w:gridSpan w:val="2"/>
            <w:tcBorders/>
          </w:tcPr>
          <w:p>
            <w:pPr>
              <w:pStyle w:val="Normal"/>
              <w:widowControl w:val="false"/>
              <w:snapToGrid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 w:val="false"/>
              <w:ind w:left="3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_______________ / _____________ /</w:t>
            </w:r>
          </w:p>
          <w:p>
            <w:pPr>
              <w:pStyle w:val="Normal"/>
              <w:widowControl w:val="false"/>
              <w:ind w:left="34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м.п.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1134" w:right="1134" w:gutter="0" w:header="1134" w:top="1693" w:footer="0" w:bottom="1134"/>
          <w:pgNumType w:fmt="decimal"/>
          <w:formProt w:val="false"/>
          <w:textDirection w:val="lrTb"/>
          <w:docGrid w:type="default" w:linePitch="360" w:charSpace="0"/>
        </w:sectPr>
      </w:pPr>
      <w:r>
        <w:br w:type="page"/>
      </w:r>
    </w:p>
    <w:p>
      <w:pPr>
        <w:pStyle w:val="Normal"/>
        <w:keepNext w:val="true"/>
        <w:numPr>
          <w:ilvl w:val="0"/>
          <w:numId w:val="0"/>
        </w:numPr>
        <w:spacing w:before="240" w:after="60"/>
        <w:ind w:hanging="0" w:left="0"/>
        <w:jc w:val="right"/>
        <w:outlineLvl w:val="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iCs/>
        </w:rPr>
        <w:t>Приложение №2</w:t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sz w:val="22"/>
          <w:szCs w:val="22"/>
          <w:lang w:val="ru-RU"/>
        </w:rPr>
        <w:t>к техническим требованиям</w:t>
      </w:r>
    </w:p>
    <w:p>
      <w:pPr>
        <w:pStyle w:val="11"/>
        <w:spacing w:before="0"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ФОРМА</w:t>
      </w:r>
    </w:p>
    <w:p>
      <w:pPr>
        <w:pStyle w:val="11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Акта сдачи-приемки технической и иной документации </w:t>
      </w:r>
    </w:p>
    <w:p>
      <w:pPr>
        <w:pStyle w:val="Normal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</w:r>
    </w:p>
    <w:tbl>
      <w:tblPr>
        <w:tblW w:w="960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6"/>
      </w:tblGrid>
      <w:tr>
        <w:trPr/>
        <w:tc>
          <w:tcPr>
            <w:tcW w:w="9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11"/>
              <w:spacing w:before="24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Акт</w:t>
            </w:r>
          </w:p>
          <w:p>
            <w:pPr>
              <w:pStyle w:val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сдачи-приемки технической и иной документации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пгт. Богородское                                                                                 «_____» _________20__г.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______________________, именуемое далее «Исполнитель», в лице ________________, действующего на основании ______________,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и АО «Загорская ГАЭС-2», именуемое далее «Заказчик», в лице ________________, действующего на основании ______________, составили настоящий акт о нижеследующем: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Заказчик передал Исполнителю, а Исполнитель принял</w:t>
            </w:r>
            <w:r>
              <w:rPr>
                <w:rFonts w:ascii="Times New Roman" w:hAnsi="Times New Roman"/>
                <w:bCs/>
                <w:lang w:val="ru-RU"/>
              </w:rPr>
              <w:t xml:space="preserve"> следующую </w:t>
            </w:r>
            <w:r>
              <w:rPr>
                <w:rFonts w:ascii="Times New Roman" w:hAnsi="Times New Roman"/>
                <w:lang w:val="ru-RU"/>
              </w:rPr>
              <w:t>техническую и иную документацию для оказания Услуг по Договору возмездного оказания услуг</w:t>
            </w:r>
            <w:r>
              <w:rPr>
                <w:rFonts w:ascii="Times New Roman" w:hAnsi="Times New Roman"/>
                <w:bCs/>
                <w:lang w:val="ru-RU"/>
              </w:rPr>
              <w:t xml:space="preserve"> №______ от _____________: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>__________________________________________________________________________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>__________________________________________________________________________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>__________________________________________________________________________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 xml:space="preserve">Документация передана </w:t>
            </w:r>
            <w:r>
              <w:rPr>
                <w:rFonts w:ascii="Times New Roman" w:hAnsi="Times New Roman"/>
                <w:lang w:val="ru-RU"/>
              </w:rPr>
              <w:t>Исполнителю</w:t>
            </w:r>
            <w:r>
              <w:rPr>
                <w:rFonts w:ascii="Times New Roman" w:hAnsi="Times New Roman"/>
                <w:bCs/>
                <w:lang w:val="ru-RU"/>
              </w:rPr>
              <w:t xml:space="preserve"> в установленный Договором срок.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  <w:tbl>
            <w:tblPr>
              <w:tblW w:w="939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noHBand="0" w:noVBand="0" w:firstColumn="0" w:lastRow="0" w:lastColumn="0" w:firstRow="0"/>
            </w:tblPr>
            <w:tblGrid>
              <w:gridCol w:w="4695"/>
              <w:gridCol w:w="4694"/>
            </w:tblGrid>
            <w:tr>
              <w:trPr/>
              <w:tc>
                <w:tcPr>
                  <w:tcW w:w="4695" w:type="dxa"/>
                  <w:tcBorders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Заказчик:</w:t>
                  </w:r>
                </w:p>
              </w:tc>
              <w:tc>
                <w:tcPr>
                  <w:tcW w:w="4694" w:type="dxa"/>
                  <w:tcBorders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Cs/>
                      <w:lang w:val="ru-RU"/>
                    </w:rPr>
                    <w:t>Исполнитель</w:t>
                  </w:r>
                  <w:r>
                    <w:rPr>
                      <w:rFonts w:ascii="Times New Roman" w:hAnsi="Times New Roman"/>
                      <w:bCs/>
                    </w:rPr>
                    <w:t>:</w:t>
                  </w:r>
                </w:p>
              </w:tc>
            </w:tr>
            <w:tr>
              <w:trPr/>
              <w:tc>
                <w:tcPr>
                  <w:tcW w:w="4695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 / _______________</w:t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  <w:tc>
                <w:tcPr>
                  <w:tcW w:w="4694" w:type="dxa"/>
                  <w:tcBorders/>
                  <w:shd w:color="auto" w:fill="auto" w:val="clear"/>
                </w:tcPr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_______________ / _______________</w:t>
                  </w:r>
                </w:p>
                <w:p>
                  <w:pPr>
                    <w:pStyle w:val="Normal"/>
                    <w:widowControl w:val="false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</w:r>
                </w:p>
              </w:tc>
            </w:tr>
          </w:tbl>
          <w:p>
            <w:pPr>
              <w:pStyle w:val="11"/>
              <w:spacing w:before="0" w:after="120"/>
              <w:jc w:val="left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</w:tr>
    </w:tbl>
    <w:p>
      <w:pPr>
        <w:pStyle w:val="11"/>
        <w:jc w:val="left"/>
        <w:rPr>
          <w:rFonts w:ascii="Times New Roman" w:hAnsi="Times New Roman"/>
          <w:i/>
          <w:i/>
          <w:iCs/>
        </w:rPr>
      </w:pPr>
      <w:r>
        <w:rPr>
          <w:rFonts w:ascii="Times New Roman" w:hAnsi="Times New Roman"/>
          <w:i/>
          <w:iCs/>
        </w:rPr>
      </w:r>
    </w:p>
    <w:p>
      <w:pPr>
        <w:pStyle w:val="11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iCs/>
        </w:rPr>
        <w:t>Приложение №3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/>
        </w:rPr>
        <w:t>к техническим требованиям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widowControl w:val="false"/>
        <w:ind w:right="-328"/>
        <w:jc w:val="center"/>
        <w:rPr>
          <w:rFonts w:ascii="Times New Roman" w:hAnsi="Times New Roman"/>
          <w:b/>
        </w:rPr>
      </w:pPr>
      <w:r>
        <w:rPr>
          <w:b/>
        </w:rPr>
        <w:t>ФОРМА ЦЕНОВОГО КОММЕРЧЕСКОГО ПРЕДЛОЖЕНИЯ</w:t>
      </w:r>
    </w:p>
    <w:p>
      <w:pPr>
        <w:pStyle w:val="Normal"/>
        <w:rPr/>
      </w:pPr>
      <w:r>
        <w:rPr/>
      </w:r>
    </w:p>
    <w:tbl>
      <w:tblPr>
        <w:tblW w:w="10088" w:type="dxa"/>
        <w:jc w:val="left"/>
        <w:tblInd w:w="-3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0"/>
        <w:gridCol w:w="4751"/>
        <w:gridCol w:w="1236"/>
        <w:gridCol w:w="738"/>
        <w:gridCol w:w="1368"/>
        <w:gridCol w:w="1364"/>
      </w:tblGrid>
      <w:tr>
        <w:trPr>
          <w:trHeight w:val="720" w:hRule="atLeast"/>
        </w:trPr>
        <w:tc>
          <w:tcPr>
            <w:tcW w:w="6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</w:rPr>
              <w:t>п/п</w:t>
            </w:r>
          </w:p>
        </w:tc>
        <w:tc>
          <w:tcPr>
            <w:tcW w:w="475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123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Ед. изм</w:t>
            </w:r>
          </w:p>
        </w:tc>
        <w:tc>
          <w:tcPr>
            <w:tcW w:w="73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Кол-во</w:t>
            </w:r>
          </w:p>
        </w:tc>
        <w:tc>
          <w:tcPr>
            <w:tcW w:w="136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Стоимость ед.  изм. руб.</w:t>
            </w:r>
          </w:p>
        </w:tc>
        <w:tc>
          <w:tcPr>
            <w:tcW w:w="136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Общая стоимость, руб.</w:t>
            </w:r>
          </w:p>
        </w:tc>
      </w:tr>
      <w:tr>
        <w:trPr>
          <w:trHeight w:val="276" w:hRule="atLeast"/>
        </w:trPr>
        <w:tc>
          <w:tcPr>
            <w:tcW w:w="10087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80" w:hRule="atLeast"/>
        </w:trPr>
        <w:tc>
          <w:tcPr>
            <w:tcW w:w="63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75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/>
            </w:pPr>
            <w:r>
              <w:rPr>
                <w:rStyle w:val="Style9"/>
                <w:rFonts w:eastAsia="Liberation Serif;Times New Roma" w:cs="Times New Roman" w:ascii="Times New Roman" w:hAnsi="Times New Roman"/>
                <w:b w:val="false"/>
                <w:bCs/>
                <w:i w:val="false"/>
                <w:color w:val="000000"/>
                <w:kern w:val="0"/>
                <w:sz w:val="24"/>
                <w:szCs w:val="24"/>
                <w:shd w:fill="auto" w:val="clear"/>
                <w:lang w:eastAsia="ru-RU" w:bidi="ar-SA"/>
              </w:rPr>
              <w:t>ОКПД2 28.22.16.110 Оказание услуг по оценке состояния и возможности применения ранее закупленного лифтового оборудования в рамках реализации проекта достройки Загорской ГАЭС-2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i w:val="false"/>
                <w:color w:val="000000"/>
                <w:sz w:val="24"/>
                <w:szCs w:val="24"/>
                <w:shd w:fill="auto" w:val="clear"/>
                <w:lang w:eastAsia="x-none"/>
              </w:rPr>
              <w:t>.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Условная единица</w:t>
            </w:r>
          </w:p>
        </w:tc>
        <w:tc>
          <w:tcPr>
            <w:tcW w:w="73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76" w:hRule="atLeast"/>
        </w:trPr>
        <w:tc>
          <w:tcPr>
            <w:tcW w:w="63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75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 стоимость по договору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76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7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НДС 22%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276" w:hRule="atLeast"/>
        </w:trPr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7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 стоимость по договору с учетом НДС:</w:t>
            </w:r>
          </w:p>
        </w:tc>
        <w:tc>
          <w:tcPr>
            <w:tcW w:w="123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3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  <w:bookmarkStart w:id="3" w:name="_GoBack"/>
      <w:bookmarkStart w:id="4" w:name="_GoBack"/>
      <w:bookmarkEnd w:id="4"/>
    </w:p>
    <w:sectPr>
      <w:headerReference w:type="default" r:id="rId7"/>
      <w:headerReference w:type="first" r:id="rId8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b/>
        <w:szCs w:val="24"/>
        <w:bCs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decimal"/>
      <w:lvlText w:val="1.%1."/>
      <w:lvlJc w:val="left"/>
      <w:pPr>
        <w:tabs>
          <w:tab w:val="num" w:pos="0"/>
        </w:tabs>
        <w:ind w:left="720" w:hanging="360"/>
      </w:pPr>
      <w:rPr>
        <w:sz w:val="24"/>
        <w:i w:val="false"/>
        <w:u w:val="none"/>
        <w:b/>
        <w:szCs w:val="24"/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  <w:rPr>
        <w:sz w:val="24"/>
        <w:b/>
        <w:szCs w:val="24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/>
    </w:lvl>
  </w:abstractNum>
  <w:abstractNum w:abstractNumId="8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2"/>
  <w:displayBackgroundShape/>
  <w:revisionView w:insDel="0" w:formatting="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Arial Unicode MS" w:cs="Arial Unicode M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qFormat/>
    <w:pPr>
      <w:numPr>
        <w:ilvl w:val="0"/>
        <w:numId w:val="4"/>
      </w:numPr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qFormat/>
    <w:pPr>
      <w:keepNext w:val="true"/>
      <w:tabs>
        <w:tab w:val="clear" w:pos="709"/>
        <w:tab w:val="left" w:pos="0" w:leader="none"/>
      </w:tabs>
      <w:spacing w:before="120" w:after="60"/>
      <w:ind w:hanging="360" w:left="720"/>
      <w:jc w:val="center"/>
      <w:outlineLvl w:val="2"/>
    </w:pPr>
    <w:rPr>
      <w:rFonts w:eastAsia="Calibri"/>
      <w:b/>
      <w:lang w:val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Pr>
      <w:b/>
      <w:bCs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b/>
      <w:i w:val="false"/>
      <w:sz w:val="24"/>
      <w:szCs w:val="24"/>
      <w:u w:val="none"/>
    </w:rPr>
  </w:style>
  <w:style w:type="character" w:styleId="WW8Num4z0" w:customStyle="1">
    <w:name w:val="WW8Num4z0"/>
    <w:qFormat/>
    <w:rPr>
      <w:b/>
      <w:bCs/>
      <w:sz w:val="24"/>
      <w:szCs w:val="24"/>
    </w:rPr>
  </w:style>
  <w:style w:type="character" w:styleId="WW8Num5z0" w:customStyle="1">
    <w:name w:val="WW8Num5z0"/>
    <w:qFormat/>
    <w:rPr>
      <w:rFonts w:ascii="Times New Roman" w:hAnsi="Times New Roman" w:cs="Times New Roman"/>
      <w:b/>
      <w:i w:val="false"/>
      <w:sz w:val="24"/>
      <w:szCs w:val="24"/>
      <w:u w:val="none"/>
    </w:rPr>
  </w:style>
  <w:style w:type="character" w:styleId="WW8Num7z0" w:customStyle="1">
    <w:name w:val="WW8Num7z0"/>
    <w:qFormat/>
    <w:rPr>
      <w:b w:val="false"/>
      <w:bCs w:val="false"/>
      <w:sz w:val="24"/>
      <w:szCs w:val="24"/>
    </w:rPr>
  </w:style>
  <w:style w:type="character" w:styleId="WW8Num7z2" w:customStyle="1">
    <w:name w:val="WW8Num7z2"/>
    <w:qFormat/>
    <w:rPr>
      <w:b w:val="false"/>
      <w:sz w:val="24"/>
      <w:szCs w:val="24"/>
    </w:rPr>
  </w:style>
  <w:style w:type="character" w:styleId="WW8Num8z0" w:customStyle="1">
    <w:name w:val="WW8Num8z0"/>
    <w:qFormat/>
    <w:rPr>
      <w:u w:val="none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10z0" w:customStyle="1">
    <w:name w:val="WW8Num10z0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4"/>
      <w:szCs w:val="24"/>
    </w:rPr>
  </w:style>
  <w:style w:type="character" w:styleId="Style7" w:customStyle="1">
    <w:name w:val="Символ сноски"/>
    <w:qFormat/>
    <w:rPr>
      <w:vertAlign w:val="superscript"/>
    </w:rPr>
  </w:style>
  <w:style w:type="character" w:styleId="FootnoteReference1" w:customStyle="1">
    <w:name w:val="Footnote Reference1"/>
    <w:qFormat/>
    <w:rPr>
      <w:vertAlign w:val="superscript"/>
    </w:rPr>
  </w:style>
  <w:style w:type="character" w:styleId="Style8" w:customStyle="1">
    <w:name w:val="Символ концевой сноски"/>
    <w:qFormat/>
    <w:rPr>
      <w:vertAlign w:val="superscript"/>
    </w:rPr>
  </w:style>
  <w:style w:type="character" w:styleId="WW-" w:customStyle="1">
    <w:name w:val="WW-Символ концевой сноски"/>
    <w:qFormat/>
    <w:rPr/>
  </w:style>
  <w:style w:type="character" w:styleId="FootnoteReference2" w:customStyle="1">
    <w:name w:val="Footnote Reference2"/>
    <w:qFormat/>
    <w:rPr>
      <w:vertAlign w:val="superscript"/>
    </w:rPr>
  </w:style>
  <w:style w:type="character" w:styleId="Linenumber1">
    <w:name w:val="line number1"/>
    <w:qFormat/>
    <w:rPr/>
  </w:style>
  <w:style w:type="character" w:styleId="EndnoteReference1" w:customStyle="1">
    <w:name w:val="Endnote Reference1"/>
    <w:qFormat/>
    <w:rPr>
      <w:vertAlign w:val="superscript"/>
    </w:rPr>
  </w:style>
  <w:style w:type="character" w:styleId="FootnoteReference3" w:customStyle="1">
    <w:name w:val="Footnote Reference3"/>
    <w:qFormat/>
    <w:rPr>
      <w:vertAlign w:val="superscript"/>
    </w:rPr>
  </w:style>
  <w:style w:type="character" w:styleId="EndnoteReference2" w:customStyle="1">
    <w:name w:val="Endnote Reference2"/>
    <w:qFormat/>
    <w:rPr>
      <w:vertAlign w:val="superscript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4z0" w:customStyle="1">
    <w:name w:val="WW8Num14z0"/>
    <w:qFormat/>
    <w:rPr>
      <w:rFonts w:ascii="Symbol" w:hAnsi="Symbol" w:cs="Symbol"/>
    </w:rPr>
  </w:style>
  <w:style w:type="character" w:styleId="WW8Num15z0" w:customStyle="1">
    <w:name w:val="WW8Num15z0"/>
    <w:qFormat/>
    <w:rPr>
      <w:rFonts w:ascii="Symbol" w:hAnsi="Symbol" w:cs="Symbol"/>
    </w:rPr>
  </w:style>
  <w:style w:type="character" w:styleId="1" w:customStyle="1">
    <w:name w:val="Знак сноски1"/>
    <w:qFormat/>
    <w:rPr>
      <w:vertAlign w:val="superscript"/>
    </w:rPr>
  </w:style>
  <w:style w:type="character" w:styleId="FootnoteReference4" w:customStyle="1">
    <w:name w:val="Footnote Reference4"/>
    <w:qFormat/>
    <w:rPr>
      <w:vertAlign w:val="superscript"/>
    </w:rPr>
  </w:style>
  <w:style w:type="character" w:styleId="EndnoteReference3" w:customStyle="1">
    <w:name w:val="Endnote Reference3"/>
    <w:qFormat/>
    <w:rPr>
      <w:vertAlign w:val="superscript"/>
    </w:rPr>
  </w:style>
  <w:style w:type="character" w:styleId="FootnoteReference5" w:customStyle="1">
    <w:name w:val="Footnote Reference5"/>
    <w:qFormat/>
    <w:rPr>
      <w:vertAlign w:val="superscript"/>
    </w:rPr>
  </w:style>
  <w:style w:type="character" w:styleId="EndnoteReference4" w:customStyle="1">
    <w:name w:val="Endnote Reference4"/>
    <w:qFormat/>
    <w:rPr>
      <w:vertAlign w:val="superscript"/>
    </w:rPr>
  </w:style>
  <w:style w:type="character" w:styleId="FootnoteReference6" w:customStyle="1">
    <w:name w:val="Footnote Reference6"/>
    <w:qFormat/>
    <w:rPr>
      <w:vertAlign w:val="superscript"/>
    </w:rPr>
  </w:style>
  <w:style w:type="character" w:styleId="EndnoteReference5" w:customStyle="1">
    <w:name w:val="Endnote Reference5"/>
    <w:qFormat/>
    <w:rPr>
      <w:vertAlign w:val="superscript"/>
    </w:rPr>
  </w:style>
  <w:style w:type="character" w:styleId="FootnoteReference7" w:customStyle="1">
    <w:name w:val="Footnote Reference7"/>
    <w:qFormat/>
    <w:rPr>
      <w:vertAlign w:val="superscript"/>
    </w:rPr>
  </w:style>
  <w:style w:type="character" w:styleId="EndnoteReference6" w:customStyle="1">
    <w:name w:val="Endnote Reference6"/>
    <w:qFormat/>
    <w:rPr>
      <w:vertAlign w:val="superscript"/>
    </w:rPr>
  </w:style>
  <w:style w:type="character" w:styleId="FootnoteReference8" w:customStyle="1">
    <w:name w:val="Footnote Reference8"/>
    <w:qFormat/>
    <w:rPr>
      <w:vertAlign w:val="superscript"/>
    </w:rPr>
  </w:style>
  <w:style w:type="character" w:styleId="EndnoteReference7" w:customStyle="1">
    <w:name w:val="Endnote Reference7"/>
    <w:qFormat/>
    <w:rPr>
      <w:vertAlign w:val="superscript"/>
    </w:rPr>
  </w:style>
  <w:style w:type="character" w:styleId="FootnoteReference9" w:customStyle="1">
    <w:name w:val="Footnote Reference9"/>
    <w:qFormat/>
    <w:rPr>
      <w:vertAlign w:val="superscript"/>
    </w:rPr>
  </w:style>
  <w:style w:type="character" w:styleId="EndnoteReference8" w:customStyle="1">
    <w:name w:val="Endnote Reference8"/>
    <w:qFormat/>
    <w:rPr>
      <w:vertAlign w:val="superscript"/>
    </w:rPr>
  </w:style>
  <w:style w:type="character" w:styleId="FootnoteReference10" w:customStyle="1">
    <w:name w:val="Footnote Reference10"/>
    <w:qFormat/>
    <w:rPr>
      <w:vertAlign w:val="superscript"/>
    </w:rPr>
  </w:style>
  <w:style w:type="character" w:styleId="EndnoteReference9" w:customStyle="1">
    <w:name w:val="Endnote Reference9"/>
    <w:qFormat/>
    <w:rPr>
      <w:vertAlign w:val="superscript"/>
    </w:rPr>
  </w:style>
  <w:style w:type="character" w:styleId="FootnoteReference11" w:customStyle="1">
    <w:name w:val="Footnote Reference11"/>
    <w:qFormat/>
    <w:rPr>
      <w:vertAlign w:val="superscript"/>
    </w:rPr>
  </w:style>
  <w:style w:type="character" w:styleId="EndnoteReference10" w:customStyle="1">
    <w:name w:val="Endnote Reference10"/>
    <w:qFormat/>
    <w:rPr>
      <w:vertAlign w:val="superscript"/>
    </w:rPr>
  </w:style>
  <w:style w:type="character" w:styleId="FootnoteReference12" w:customStyle="1">
    <w:name w:val="Footnote Reference12"/>
    <w:qFormat/>
    <w:rPr>
      <w:vertAlign w:val="superscript"/>
    </w:rPr>
  </w:style>
  <w:style w:type="character" w:styleId="EndnoteReference11" w:customStyle="1">
    <w:name w:val="Endnote Reference11"/>
    <w:qFormat/>
    <w:rPr>
      <w:vertAlign w:val="superscript"/>
    </w:rPr>
  </w:style>
  <w:style w:type="character" w:styleId="FootnoteReference13" w:customStyle="1">
    <w:name w:val="Footnote Reference13"/>
    <w:qFormat/>
    <w:rPr>
      <w:vertAlign w:val="superscript"/>
    </w:rPr>
  </w:style>
  <w:style w:type="character" w:styleId="EndnoteReference12" w:customStyle="1">
    <w:name w:val="Endnote Reference12"/>
    <w:qFormat/>
    <w:rPr>
      <w:vertAlign w:val="superscript"/>
    </w:rPr>
  </w:style>
  <w:style w:type="character" w:styleId="FootnoteReference14" w:customStyle="1">
    <w:name w:val="Footnote Reference14"/>
    <w:qFormat/>
    <w:rPr>
      <w:vertAlign w:val="superscript"/>
    </w:rPr>
  </w:style>
  <w:style w:type="character" w:styleId="EndnoteReference13" w:customStyle="1">
    <w:name w:val="Endnote Reference13"/>
    <w:qFormat/>
    <w:rPr>
      <w:vertAlign w:val="superscript"/>
    </w:rPr>
  </w:style>
  <w:style w:type="character" w:styleId="FootnoteReference15" w:customStyle="1">
    <w:name w:val="Footnote Reference15"/>
    <w:qFormat/>
    <w:rPr>
      <w:vertAlign w:val="superscript"/>
    </w:rPr>
  </w:style>
  <w:style w:type="character" w:styleId="EndnoteReference14" w:customStyle="1">
    <w:name w:val="Endnote Reference14"/>
    <w:qFormat/>
    <w:rPr>
      <w:vertAlign w:val="superscript"/>
    </w:rPr>
  </w:style>
  <w:style w:type="character" w:styleId="FootnoteReference16" w:customStyle="1">
    <w:name w:val="Footnote Reference16"/>
    <w:qFormat/>
    <w:rPr>
      <w:vertAlign w:val="superscript"/>
    </w:rPr>
  </w:style>
  <w:style w:type="character" w:styleId="EndnoteReference15" w:customStyle="1">
    <w:name w:val="Endnote Reference15"/>
    <w:qFormat/>
    <w:rPr>
      <w:vertAlign w:val="superscript"/>
    </w:rPr>
  </w:style>
  <w:style w:type="character" w:styleId="FootnoteReference17" w:customStyle="1">
    <w:name w:val="Footnote Reference17"/>
    <w:qFormat/>
    <w:rPr>
      <w:vertAlign w:val="superscript"/>
    </w:rPr>
  </w:style>
  <w:style w:type="character" w:styleId="EndnoteReference16" w:customStyle="1">
    <w:name w:val="Endnote Reference16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0" w:customStyle="1">
    <w:name w:val="Текст выноски Знак"/>
    <w:qFormat/>
    <w:rPr>
      <w:rFonts w:ascii="Segoe UI" w:hAnsi="Segoe UI" w:eastAsia="Arial Unicode MS" w:cs="Mangal;Courier New"/>
      <w:b w:val="false"/>
      <w:bCs w:val="false"/>
      <w:kern w:val="2"/>
      <w:sz w:val="18"/>
      <w:szCs w:val="16"/>
      <w:lang w:eastAsia="zh-CN" w:bidi="hi-IN"/>
    </w:rPr>
  </w:style>
  <w:style w:type="character" w:styleId="Style11" w:customStyle="1">
    <w:name w:val="Нижний колонтитул Знак"/>
    <w:qFormat/>
    <w:rPr>
      <w:rFonts w:ascii="Liberation Serif;Times New Roma" w:hAnsi="Liberation Serif;Times New Roma" w:eastAsia="Arial Unicode MS" w:cs="Mangal;Courier New"/>
      <w:b w:val="false"/>
      <w:bCs w:val="false"/>
      <w:kern w:val="2"/>
      <w:sz w:val="24"/>
      <w:szCs w:val="21"/>
      <w:lang w:eastAsia="zh-CN" w:bidi="hi-IN"/>
    </w:rPr>
  </w:style>
  <w:style w:type="character" w:styleId="Annotationreference">
    <w:name w:val="annotation reference"/>
    <w:qFormat/>
    <w:rPr>
      <w:b/>
      <w:bCs/>
      <w:sz w:val="16"/>
      <w:szCs w:val="16"/>
    </w:rPr>
  </w:style>
  <w:style w:type="character" w:styleId="Style12" w:customStyle="1">
    <w:name w:val="Текст примечания Знак"/>
    <w:qFormat/>
    <w:rPr>
      <w:rFonts w:ascii="Liberation Serif;Times New Roma" w:hAnsi="Liberation Serif;Times New Roma" w:eastAsia="Arial Unicode MS" w:cs="Mangal;Courier New"/>
      <w:b w:val="false"/>
      <w:bCs w:val="false"/>
      <w:kern w:val="2"/>
      <w:sz w:val="24"/>
      <w:szCs w:val="18"/>
      <w:lang w:eastAsia="zh-CN" w:bidi="hi-IN"/>
    </w:rPr>
  </w:style>
  <w:style w:type="character" w:styleId="Style13" w:customStyle="1">
    <w:name w:val="Тема примечания Знак"/>
    <w:qFormat/>
    <w:rPr>
      <w:rFonts w:ascii="Liberation Serif;Times New Roma" w:hAnsi="Liberation Serif;Times New Roma" w:eastAsia="Arial Unicode MS" w:cs="Mangal;Courier New"/>
      <w:b/>
      <w:bCs/>
      <w:kern w:val="2"/>
      <w:sz w:val="24"/>
      <w:szCs w:val="18"/>
      <w:lang w:eastAsia="zh-CN" w:bidi="hi-IN"/>
    </w:rPr>
  </w:style>
  <w:style w:type="character" w:styleId="FootnoteReference18" w:customStyle="1">
    <w:name w:val="Footnote Reference18"/>
    <w:qFormat/>
    <w:rPr>
      <w:vertAlign w:val="superscript"/>
    </w:rPr>
  </w:style>
  <w:style w:type="character" w:styleId="EndnoteReference17" w:customStyle="1">
    <w:name w:val="Endnote Reference17"/>
    <w:qFormat/>
    <w:rPr>
      <w:vertAlign w:val="superscript"/>
    </w:rPr>
  </w:style>
  <w:style w:type="character" w:styleId="FootnoteReference19" w:customStyle="1">
    <w:name w:val="Footnote Reference19"/>
    <w:qFormat/>
    <w:rPr>
      <w:vertAlign w:val="superscript"/>
    </w:rPr>
  </w:style>
  <w:style w:type="character" w:styleId="EndnoteReference18" w:customStyle="1">
    <w:name w:val="Endnote Reference18"/>
    <w:qFormat/>
    <w:rPr>
      <w:vertAlign w:val="superscript"/>
    </w:rPr>
  </w:style>
  <w:style w:type="character" w:styleId="FootnoteReference20" w:customStyle="1">
    <w:name w:val="Footnote Reference20"/>
    <w:qFormat/>
    <w:rPr>
      <w:vertAlign w:val="superscript"/>
    </w:rPr>
  </w:style>
  <w:style w:type="character" w:styleId="EndnoteReference19" w:customStyle="1">
    <w:name w:val="Endnote Reference19"/>
    <w:qFormat/>
    <w:rPr>
      <w:vertAlign w:val="superscript"/>
    </w:rPr>
  </w:style>
  <w:style w:type="character" w:styleId="LineNumber">
    <w:name w:val="Line Number"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widowControl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/>
      <w:sz w:val="28"/>
      <w:szCs w:val="28"/>
    </w:rPr>
  </w:style>
  <w:style w:type="paragraph" w:styleId="12" w:customStyle="1">
    <w:name w:val="Указатель1"/>
    <w:basedOn w:val="Normal"/>
    <w:qFormat/>
    <w:pPr>
      <w:suppressLineNumbers/>
    </w:pPr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" w:customStyle="1">
    <w:name w:val="Caption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" w:customStyle="1">
    <w:name w:val="Caption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" w:customStyle="1">
    <w:name w:val="Caption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" w:customStyle="1">
    <w:name w:val="Caption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" w:customStyle="1">
    <w:name w:val="Caption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" w:customStyle="1">
    <w:name w:val="Caption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" w:customStyle="1">
    <w:name w:val="Caption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Caption111111111111111111111" w:customStyle="1">
    <w:name w:val="Caption111111111111111111111"/>
    <w:basedOn w:val="Normal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Style1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8" w:customStyle="1">
    <w:name w:val="Заголовок таблицы"/>
    <w:basedOn w:val="Style16"/>
    <w:qFormat/>
    <w:pPr>
      <w:jc w:val="center"/>
    </w:pPr>
    <w:rPr>
      <w:b/>
      <w:bCs/>
    </w:rPr>
  </w:style>
  <w:style w:type="paragraph" w:styleId="Style19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0" w:customStyle="1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Style20"/>
    <w:pPr/>
    <w:rPr/>
  </w:style>
  <w:style w:type="paragraph" w:styleId="TOC1">
    <w:name w:val="TOC 1"/>
    <w:basedOn w:val="Normal"/>
    <w:next w:val="Normal"/>
    <w:pPr>
      <w:spacing w:before="120" w:after="0"/>
    </w:pPr>
    <w:rPr>
      <w:rFonts w:cs="Calibri Light (Заголовки)"/>
      <w:b/>
      <w:bCs/>
    </w:rPr>
  </w:style>
  <w:style w:type="paragraph" w:styleId="13" w:customStyle="1">
    <w:name w:val="Текст сноски1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31" w:customStyle="1">
    <w:name w:val="Основной текст с отступом 31"/>
    <w:basedOn w:val="Normal"/>
    <w:qFormat/>
    <w:pPr>
      <w:spacing w:before="0" w:after="120"/>
      <w:ind w:left="283"/>
    </w:pPr>
    <w:rPr>
      <w:sz w:val="16"/>
      <w:szCs w:val="16"/>
    </w:rPr>
  </w:style>
  <w:style w:type="paragraph" w:styleId="BalloonText">
    <w:name w:val="Balloon Text"/>
    <w:basedOn w:val="Normal"/>
    <w:qFormat/>
    <w:pPr/>
    <w:rPr>
      <w:rFonts w:ascii="Segoe UI" w:hAnsi="Segoe UI" w:cs="Mangal;Courier New"/>
      <w:sz w:val="18"/>
      <w:szCs w:val="16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>
      <w:rFonts w:cs="Mangal;Courier New"/>
      <w:szCs w:val="21"/>
    </w:rPr>
  </w:style>
  <w:style w:type="paragraph" w:styleId="Annotationtext">
    <w:name w:val="annotation text"/>
    <w:basedOn w:val="Normal"/>
    <w:qFormat/>
    <w:pPr/>
    <w:rPr>
      <w:rFonts w:cs="Mangal;Courier New"/>
      <w:sz w:val="20"/>
      <w:szCs w:val="18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5" w:customStyle="1">
    <w:name w:val="WW8Num5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Application>AlterOffice/2026.2.0.0$Linux_X86_64 LibreOffice_project/bc4ef1adf80b36c7a6365f8ed6cbf29021361edd</Application>
  <AppVersion>15.0000</AppVersion>
  <Pages>14</Pages>
  <Words>2099</Words>
  <Characters>15760</Characters>
  <CharactersWithSpaces>17650</CharactersWithSpaces>
  <Paragraphs>320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2024-04-02T11:29:00Z</dcterms:created>
  <dc:creator>Валерий Викторович Касаткин</dc:creator>
  <dc:description/>
  <dc:language>ru-RU</dc:language>
  <cp:lastModifiedBy>kasatkinvv@corp.gidroogk.com</cp:lastModifiedBy>
  <cp:lastPrinted>2026-10-01T14:18:41Z</cp:lastPrinted>
  <dcterms:modified xsi:type="dcterms:W3CDTF">2026-10-01T14:19:30Z</dcterms:modified>
  <cp:revision>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