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Условиям проведения Мониторинга Рынка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Style w:val="Style8"/>
          <w:rFonts w:eastAsia="Calibri"/>
          <w:sz w:val="26"/>
          <w:szCs w:val="26"/>
          <w:shd w:fill="auto" w:val="clear"/>
        </w:rPr>
        <w:t xml:space="preserve"> </w:t>
      </w:r>
      <w:r>
        <w:rPr>
          <w:rStyle w:val="Style8"/>
          <w:rFonts w:eastAsia="Calibri"/>
          <w:sz w:val="26"/>
          <w:szCs w:val="26"/>
          <w:shd w:fill="auto" w:val="clear"/>
        </w:rPr>
        <w:t xml:space="preserve">ОКПД2: </w:t>
      </w:r>
      <w:r>
        <w:rPr>
          <w:rStyle w:val="Style8"/>
          <w:rFonts w:eastAsia="Calibri"/>
          <w:sz w:val="26"/>
          <w:szCs w:val="26"/>
          <w:shd w:fill="auto" w:val="clear"/>
        </w:rPr>
        <w:t>26.51.12.120 Электронный нивелир в комплекте с дополнительным оборудованием</w:t>
      </w:r>
    </w:p>
    <w:p>
      <w:pPr>
        <w:pStyle w:val="Normal"/>
        <w:keepNext w:val="true"/>
        <w:keepLines/>
        <w:jc w:val="center"/>
        <w:rPr>
          <w:rStyle w:val="Style8"/>
          <w:rFonts w:eastAsia="Calibri"/>
          <w:b/>
          <w:i/>
          <w:i/>
          <w:sz w:val="26"/>
          <w:szCs w:val="26"/>
          <w:shd w:fill="auto" w:val="clear"/>
        </w:rPr>
      </w:pPr>
      <w:r>
        <w:rPr>
          <w:rFonts w:eastAsia="Calibri"/>
          <w:b/>
          <w:i/>
          <w:sz w:val="26"/>
          <w:szCs w:val="26"/>
          <w:shd w:fill="auto" w:val="clear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3457_3478904024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459_3478904024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461_3478904024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463_3478904024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465_3478904024">
            <w:r>
              <w:rPr>
                <w:webHidden/>
                <w:rStyle w:val="Style14"/>
                <w:vanish w:val="false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467_3478904024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469_3478904024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471_3478904024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473_3478904024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475_3478904024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477_3478904024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479_3478904024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481_3478904024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3483_3478904024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8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_RefHeading___Toc3457_3478904024"/>
      <w:bookmarkStart w:id="1" w:name="_Toc75446566"/>
      <w:bookmarkStart w:id="2" w:name="_Toc51339692"/>
      <w:bookmarkEnd w:id="0"/>
      <w:r>
        <w:rPr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/>
      </w:pPr>
      <w:bookmarkStart w:id="3" w:name="__RefHeading___Toc3459_3478904024"/>
      <w:bookmarkStart w:id="4" w:name="_Toc75446567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 w:val="false"/>
                <w:bCs/>
                <w:i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СКО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среднеквадратичное отклонение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гидроэлектростанция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6" w:name="__RefHeading___Toc3461_3478904024"/>
      <w:bookmarkStart w:id="7" w:name="_Toc46743506"/>
      <w:bookmarkStart w:id="8" w:name="_Toc75446568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eastAsia="Calibri"/>
          <w:b w:val="false"/>
          <w:bCs w:val="false"/>
          <w:i w:val="false"/>
          <w:iCs w:val="false"/>
          <w:sz w:val="24"/>
          <w:szCs w:val="24"/>
          <w:u w:val="none"/>
          <w:shd w:fill="auto" w:val="clear"/>
          <w:lang w:eastAsia="x-none"/>
        </w:rPr>
        <w:t>Электронный нивелир в комплекте с дополнительным оборудованием.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9" w:name="__RefHeading___Toc3463_3478904024"/>
      <w:bookmarkStart w:id="10" w:name="_Toc75446569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 xml:space="preserve">использования закупаемой продукции </w:t>
      </w:r>
      <w:bookmarkEnd w:id="10"/>
    </w:p>
    <w:p>
      <w:pPr>
        <w:pStyle w:val="Normal"/>
        <w:widowControl/>
        <w:suppressAutoHyphens w:val="true"/>
        <w:bidi w:val="0"/>
        <w:spacing w:before="0" w:after="0"/>
        <w:ind w:firstLine="567" w:left="0" w:right="0"/>
        <w:jc w:val="left"/>
        <w:rPr/>
      </w:pP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Приобретение геодезического оборудования с целью проведения инструментальных наблюдений за вертикальными деформациями гидротехнических сооружений методом геометрического нивелирования 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  <w:lang w:val="en-US"/>
        </w:rPr>
        <w:t>I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>-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  <w:lang w:val="en-US"/>
        </w:rPr>
        <w:t>II</w:t>
      </w:r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 разряда, а также для осуществления контроля строительно-монтажных работ.</w:t>
      </w:r>
    </w:p>
    <w:p>
      <w:pPr>
        <w:pStyle w:val="Heading4"/>
        <w:numPr>
          <w:ilvl w:val="1"/>
          <w:numId w:val="3"/>
        </w:numPr>
        <w:rPr/>
      </w:pPr>
      <w:bookmarkStart w:id="12" w:name="__RefHeading___Toc3465_3478904024"/>
      <w:bookmarkStart w:id="13" w:name="_Toc75446570"/>
      <w:bookmarkStart w:id="14" w:name="_Toc46743508"/>
      <w:bookmarkEnd w:id="12"/>
      <w:r>
        <w:rPr/>
        <w:t>Существующее положение</w:t>
      </w:r>
      <w:bookmarkEnd w:id="13"/>
      <w:bookmarkEnd w:id="14"/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567" w:right="-2"/>
        <w:jc w:val="both"/>
        <w:rPr/>
      </w:pP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В настоящее время на Камской ГЭС для проведения инструментальных наблюдений за вертикальными деформациями ГТС методом геометрического нивелирования I-II разряда применяется электронный нивелир SOKKIA SDL1X, находящий в эксплуатации с августа 2017 года. Средняя наработка прибора составляет ≈ 400ч/год. В соответствии с «Описанием типа средств измерений Нивелиры электронные SOKKIA SDL1X» средний срок службы комплекта нивелира с рейками составляет не менее 6 лет, средняя наработка на отказ нивелира составляет не менее 3000ч. На момент закупки, срок эксплуатации геодезического комплекта составит 10лет, а средняя наработка ≈4000ч.</w:t>
      </w:r>
    </w:p>
    <w:p>
      <w:pPr>
        <w:pStyle w:val="Normal"/>
        <w:widowControl/>
        <w:tabs>
          <w:tab w:val="clear" w:pos="708"/>
          <w:tab w:val="left" w:pos="1134" w:leader="none"/>
        </w:tabs>
        <w:suppressAutoHyphens w:val="true"/>
        <w:bidi w:val="0"/>
        <w:spacing w:before="0" w:after="0"/>
        <w:ind w:firstLine="567" w:left="0" w:right="0"/>
        <w:jc w:val="both"/>
        <w:rPr/>
      </w:pP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Данное техническое требование составлялось в соответствии с ГОСТ 24846-2012 «Методы измерения деформаций оснований зданий и сооружений» и «Инструкции по нивелированию I, II, III, IV классов. ГКИП (ГНТА)-03-010-03» (утв. Приказом Роскартографии от 25.12.2003), ГОСТ 10528-90 называется «Нивелиры. Общие технические условия». Документ утверждён постановлением Госстандарта СССР от 22.06.1990 №1756, введён в действие 1 июля 1991 года.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5" w:name="__RefHeading___Toc3467_3478904024"/>
      <w:bookmarkStart w:id="16" w:name="_Toc75446573"/>
      <w:bookmarkStart w:id="17" w:name="_Toc51339693"/>
      <w:bookmarkEnd w:id="15"/>
      <w:r>
        <w:rPr>
          <w:iCs/>
        </w:rPr>
        <w:t>Требования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rPr/>
      </w:pPr>
      <w:bookmarkStart w:id="18" w:name="__RefHeading___Toc3469_3478904024"/>
      <w:bookmarkStart w:id="19" w:name="_Toc75446574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3"/>
        </w:numPr>
        <w:rPr/>
      </w:pPr>
      <w:bookmarkStart w:id="20" w:name="__RefHeading___Toc3471_3478904024"/>
      <w:bookmarkStart w:id="21" w:name="_Toc75446575"/>
      <w:bookmarkEnd w:id="20"/>
      <w:r>
        <w:rPr>
          <w:lang w:val="ru-RU"/>
        </w:rPr>
        <w:t>Перечень и объем закупаемой продукции</w:t>
      </w:r>
      <w:bookmarkEnd w:id="2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2" w:name="__RefHeading___Toc3473_3478904024"/>
      <w:bookmarkStart w:id="23" w:name="_Toc75446576"/>
      <w:bookmarkStart w:id="24" w:name="_Toc51339695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2"/>
        <w:gridCol w:w="6133"/>
        <w:gridCol w:w="1424"/>
        <w:gridCol w:w="1412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562" w:hRule="atLeast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en-US"/>
              </w:rPr>
              <w:t xml:space="preserve">Электронный нивелир 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u w:val="none"/>
                <w:shd w:fill="auto" w:val="clear"/>
                <w:lang w:val="en-US" w:eastAsia="x-none"/>
              </w:rPr>
              <w:t>инварные рейки 3 метра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u w:val="none"/>
                <w:shd w:fill="auto" w:val="clear"/>
                <w:lang w:val="en-US" w:eastAsia="x-none"/>
              </w:rPr>
              <w:t>кейс для инварных реек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u w:val="none"/>
                <w:shd w:fill="auto" w:val="clear"/>
                <w:lang w:val="en-US" w:eastAsia="x-none"/>
              </w:rPr>
              <w:t>сменные аккумуляторы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2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_RefHeading___Toc3475_3478904024"/>
      <w:bookmarkStart w:id="26" w:name="_Toc75446578"/>
      <w:bookmarkStart w:id="27" w:name="_Toc51339696"/>
      <w:bookmarkEnd w:id="25"/>
      <w:r>
        <w:rPr>
          <w:lang w:val="ru-RU"/>
        </w:rPr>
        <w:t xml:space="preserve">Требования </w:t>
      </w:r>
      <w:bookmarkEnd w:id="27"/>
      <w:r>
        <w:rPr>
          <w:lang w:val="ru-RU"/>
        </w:rPr>
        <w:t>к срокам поставки продукции и оказания сопутствующих услуг</w:t>
      </w:r>
      <w:bookmarkEnd w:id="26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8" w:name="__RefHeading___Toc3477_3478904024"/>
      <w:bookmarkStart w:id="29" w:name="_Toc75446579"/>
      <w:bookmarkStart w:id="30" w:name="_Toc51339697"/>
      <w:bookmarkStart w:id="31" w:name="_Toc50125127"/>
      <w:bookmarkStart w:id="32" w:name="_Toc50125126_Копия_1"/>
      <w:bookmarkEnd w:id="28"/>
      <w:bookmarkEnd w:id="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3" w:name="_Hlk50465284"/>
      <w:r>
        <w:rPr>
          <w:sz w:val="24"/>
          <w:szCs w:val="24"/>
        </w:rPr>
        <w:t xml:space="preserve">Требования по срокам </w:t>
      </w:r>
      <w:bookmarkEnd w:id="30"/>
      <w:bookmarkEnd w:id="31"/>
      <w:bookmarkEnd w:id="33"/>
      <w:r>
        <w:rPr>
          <w:sz w:val="24"/>
          <w:szCs w:val="24"/>
          <w:lang w:val="ru-RU"/>
        </w:rPr>
        <w:t>поставки продукции</w:t>
      </w:r>
      <w:bookmarkEnd w:id="29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Электронный нивелир </w:t>
            </w: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en-US"/>
              </w:rPr>
              <w:t xml:space="preserve">в </w:t>
            </w:r>
            <w:r>
              <w:rPr>
                <w:rStyle w:val="Style8"/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u w:val="none"/>
                <w:shd w:fill="auto" w:val="clear"/>
                <w:lang w:val="en-US" w:eastAsia="x-none"/>
              </w:rPr>
              <w:t>комплекте с дополнительным оборудованием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01.12.2027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4" w:name="__RefHeading___Toc3479_3478904024"/>
      <w:bookmarkStart w:id="35" w:name="_Toc51339698"/>
      <w:bookmarkStart w:id="36" w:name="_Toc75446581"/>
      <w:bookmarkStart w:id="37" w:name="_Toc46743511"/>
      <w:bookmarkEnd w:id="34"/>
      <w:r>
        <w:rPr/>
        <w:t xml:space="preserve">Требования к </w:t>
      </w:r>
      <w:bookmarkEnd w:id="37"/>
      <w:r>
        <w:rPr>
          <w:lang w:val="ru-RU"/>
        </w:rPr>
        <w:t>качеству продукции</w:t>
      </w:r>
      <w:bookmarkEnd w:id="36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38" w:name="__RefHeading___Toc3481_3478904024"/>
      <w:bookmarkEnd w:id="38"/>
      <w:r>
        <w:rPr>
          <w:sz w:val="24"/>
          <w:szCs w:val="24"/>
        </w:rPr>
        <w:t xml:space="preserve"> </w:t>
      </w:r>
      <w:bookmarkStart w:id="39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9"/>
      <w:r>
        <w:rPr>
          <w:sz w:val="24"/>
          <w:szCs w:val="24"/>
        </w:rPr>
        <w:t xml:space="preserve"> </w:t>
      </w:r>
      <w:bookmarkEnd w:id="35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</w:t>
      </w:r>
      <w:r>
        <w:rPr>
          <w:b/>
          <w:bCs/>
          <w:i/>
          <w:iCs/>
          <w:sz w:val="24"/>
          <w:szCs w:val="24"/>
          <w:shd w:fill="auto" w:val="clear"/>
        </w:rPr>
        <w:t>№ 1</w:t>
      </w:r>
      <w:r>
        <w:rPr>
          <w:rStyle w:val="Style8"/>
          <w:b w:val="false"/>
          <w:sz w:val="24"/>
          <w:shd w:fill="auto" w:val="clear"/>
        </w:rPr>
        <w:t xml:space="preserve"> </w:t>
      </w:r>
      <w:r>
        <w:rPr>
          <w:b/>
          <w:bCs/>
          <w:i/>
          <w:iCs/>
          <w:sz w:val="24"/>
          <w:szCs w:val="24"/>
          <w:shd w:fill="auto" w:val="clear"/>
        </w:rPr>
        <w:t>Т</w:t>
      </w:r>
      <w:r>
        <w:rPr>
          <w:b/>
          <w:bCs/>
          <w:i/>
          <w:iCs/>
          <w:sz w:val="24"/>
          <w:szCs w:val="24"/>
        </w:rPr>
        <w:t>аблицы 1.1): Электронный нивел</w:t>
      </w:r>
      <w:r>
        <w:rPr>
          <w:b/>
          <w:bCs/>
          <w:i/>
          <w:iCs/>
          <w:sz w:val="24"/>
          <w:szCs w:val="24"/>
          <w:shd w:fill="auto" w:val="clear"/>
        </w:rPr>
        <w:t>ир в комплекте с дополнительным оборудованием</w:t>
      </w:r>
      <w:r>
        <w:rPr>
          <w:rStyle w:val="Style8"/>
          <w:b w:val="false"/>
          <w:iCs/>
          <w:sz w:val="24"/>
          <w:szCs w:val="24"/>
          <w:shd w:fill="auto" w:val="clear"/>
        </w:rPr>
        <w:t xml:space="preserve">. </w:t>
      </w:r>
    </w:p>
    <w:tbl>
      <w:tblPr>
        <w:tblStyle w:val="af"/>
        <w:tblW w:w="1531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71"/>
        <w:gridCol w:w="4199"/>
        <w:gridCol w:w="5783"/>
        <w:gridCol w:w="4161"/>
      </w:tblGrid>
      <w:tr>
        <w:trPr/>
        <w:tc>
          <w:tcPr>
            <w:tcW w:w="11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1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1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9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41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зрительной трубы, крат</w:t>
            </w:r>
          </w:p>
        </w:tc>
        <w:tc>
          <w:tcPr>
            <w:tcW w:w="57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4161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Изображение</w:t>
            </w:r>
          </w:p>
        </w:tc>
        <w:tc>
          <w:tcPr>
            <w:tcW w:w="57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прямое</w:t>
            </w:r>
          </w:p>
        </w:tc>
        <w:tc>
          <w:tcPr>
            <w:tcW w:w="416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Компенсатор / диапазон, ‘</w:t>
            </w:r>
          </w:p>
        </w:tc>
        <w:tc>
          <w:tcPr>
            <w:tcW w:w="578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магнитный демпфер и маятниковый механизм /не менее  ± 12‘</w:t>
            </w:r>
          </w:p>
        </w:tc>
        <w:tc>
          <w:tcPr>
            <w:tcW w:w="416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Точность компенсатора</w:t>
            </w:r>
          </w:p>
        </w:tc>
        <w:tc>
          <w:tcPr>
            <w:tcW w:w="578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±0.3 "</w:t>
            </w:r>
          </w:p>
        </w:tc>
        <w:tc>
          <w:tcPr>
            <w:tcW w:w="416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 на 1 км двойного хода</w:t>
            </w:r>
          </w:p>
        </w:tc>
        <w:tc>
          <w:tcPr>
            <w:tcW w:w="578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0.</w:t>
            </w: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автофокуса</w:t>
            </w:r>
          </w:p>
        </w:tc>
        <w:tc>
          <w:tcPr>
            <w:tcW w:w="578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416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Память</w:t>
            </w:r>
          </w:p>
        </w:tc>
        <w:tc>
          <w:tcPr>
            <w:tcW w:w="578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5000 измерений</w:t>
            </w:r>
          </w:p>
        </w:tc>
        <w:tc>
          <w:tcPr>
            <w:tcW w:w="416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Интерфейс передачи данных </w:t>
            </w:r>
          </w:p>
        </w:tc>
        <w:tc>
          <w:tcPr>
            <w:tcW w:w="578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USB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Bluetooth</w:t>
            </w:r>
          </w:p>
        </w:tc>
        <w:tc>
          <w:tcPr>
            <w:tcW w:w="4161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9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41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Защита от внешних факторов (пыли, дождя)</w:t>
            </w:r>
          </w:p>
        </w:tc>
        <w:tc>
          <w:tcPr>
            <w:tcW w:w="5783" w:type="dxa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Не ниже IP53</w:t>
            </w:r>
          </w:p>
        </w:tc>
        <w:tc>
          <w:tcPr>
            <w:tcW w:w="4161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 рабочих температур, °С</w:t>
            </w:r>
          </w:p>
        </w:tc>
        <w:tc>
          <w:tcPr>
            <w:tcW w:w="5783" w:type="dxa"/>
            <w:tcBorders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-20°...+50°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9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41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Свидетельство о поверке со сроком действия не менее 2/3 межповерочного интервала</w:t>
            </w:r>
          </w:p>
        </w:tc>
        <w:tc>
          <w:tcPr>
            <w:tcW w:w="5783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быть поставлено со свидетельством о поверке со сроком действия не менее 2/3 межповерочного интервала.</w:t>
            </w:r>
          </w:p>
        </w:tc>
        <w:tc>
          <w:tcPr>
            <w:tcW w:w="41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9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</w:t>
            </w:r>
          </w:p>
        </w:tc>
        <w:tc>
          <w:tcPr>
            <w:tcW w:w="4161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right w:val="nil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Наличие сервисного центра в РФ </w:t>
            </w:r>
          </w:p>
        </w:tc>
        <w:tc>
          <w:tcPr>
            <w:tcW w:w="578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Обязательно</w:t>
            </w:r>
          </w:p>
        </w:tc>
        <w:tc>
          <w:tcPr>
            <w:tcW w:w="4161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оборудования в перечне средств измерений.</w:t>
            </w:r>
          </w:p>
        </w:tc>
        <w:tc>
          <w:tcPr>
            <w:tcW w:w="5783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быть внесено в Государственный реестр средств измерений. Иметь утвержденную методику поверки.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9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161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</w:t>
            </w:r>
          </w:p>
        </w:tc>
        <w:tc>
          <w:tcPr>
            <w:tcW w:w="5783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 год</w:t>
            </w:r>
          </w:p>
        </w:tc>
        <w:tc>
          <w:tcPr>
            <w:tcW w:w="4161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срок службы, не менее</w:t>
            </w:r>
          </w:p>
        </w:tc>
        <w:tc>
          <w:tcPr>
            <w:tcW w:w="5783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9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416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5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4161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Руководство по эксплуатации</w:t>
            </w:r>
          </w:p>
        </w:tc>
        <w:tc>
          <w:tcPr>
            <w:tcW w:w="5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Кейс</w:t>
            </w:r>
          </w:p>
        </w:tc>
        <w:tc>
          <w:tcPr>
            <w:tcW w:w="57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Сменные аккумуляторы</w:t>
            </w:r>
          </w:p>
        </w:tc>
        <w:tc>
          <w:tcPr>
            <w:tcW w:w="57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штуки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Зарядное устройство</w:t>
            </w:r>
          </w:p>
        </w:tc>
        <w:tc>
          <w:tcPr>
            <w:tcW w:w="57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Инварные рейки </w:t>
            </w:r>
          </w:p>
        </w:tc>
        <w:tc>
          <w:tcPr>
            <w:tcW w:w="57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рейки 3 метра, 2 штуки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Кейс для инварных реек</w:t>
            </w:r>
          </w:p>
        </w:tc>
        <w:tc>
          <w:tcPr>
            <w:tcW w:w="57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штука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98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416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поставки</w:t>
            </w:r>
          </w:p>
        </w:tc>
        <w:tc>
          <w:tcPr>
            <w:tcW w:w="5783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поставляется единовременно в полном объеме на склад заказчика и с полным комплектом документов, силами и средствами Поставщика.</w:t>
            </w:r>
          </w:p>
        </w:tc>
        <w:tc>
          <w:tcPr>
            <w:tcW w:w="4161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>
        <w:trPr/>
        <w:tc>
          <w:tcPr>
            <w:tcW w:w="11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поставки</w:t>
            </w:r>
          </w:p>
        </w:tc>
        <w:tc>
          <w:tcPr>
            <w:tcW w:w="5783" w:type="dxa"/>
            <w:tcBorders/>
          </w:tcPr>
          <w:p>
            <w:pPr>
              <w:pStyle w:val="Style37"/>
              <w:widowControl w:val="false"/>
              <w:suppressAutoHyphens w:val="true"/>
              <w:bidi w:val="0"/>
              <w:spacing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Поставка оборудования, а также его разгрузка на склад заказчика осуществляется силами и средствами поставщика. Место поставки оборудования: склад филиала ПАО «РусГидро»-«Камская ГЭС». Адрес: г. Пермь, Камская ГЭС, 614030.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Импортозамещение</w:t>
            </w:r>
          </w:p>
        </w:tc>
        <w:tc>
          <w:tcPr>
            <w:tcW w:w="5783" w:type="dxa"/>
            <w:tcBorders>
              <w:top w:val="nil"/>
            </w:tcBorders>
          </w:tcPr>
          <w:p>
            <w:pPr>
              <w:pStyle w:val="Style37"/>
              <w:widowControl w:val="false"/>
              <w:suppressAutoHyphens w:val="true"/>
              <w:bidi w:val="0"/>
              <w:spacing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Оборудование и комплектующие заграничных производителей допускается применять только в случае отсутствия эквивалентов, произведенных  в РФ, отвечающих всем техническим требованиям, предъявляемым к ним Покупателем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19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условия поставки оборудования</w:t>
            </w:r>
          </w:p>
        </w:tc>
        <w:tc>
          <w:tcPr>
            <w:tcW w:w="5783" w:type="dxa"/>
            <w:tcBorders>
              <w:top w:val="nil"/>
            </w:tcBorders>
          </w:tcPr>
          <w:p>
            <w:pPr>
              <w:pStyle w:val="Style37"/>
              <w:widowControl w:val="false"/>
              <w:suppressAutoHyphens w:val="true"/>
              <w:bidi w:val="0"/>
              <w:spacing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Транспортировка оборудования осуществляется в упаковке предприятия-изготовителя, исключающей возможность повреждения оборудования при его транспортировке.</w:t>
            </w:r>
          </w:p>
          <w:p>
            <w:pPr>
              <w:pStyle w:val="Style37"/>
              <w:widowControl w:val="false"/>
              <w:suppressAutoHyphens w:val="true"/>
              <w:bidi w:val="0"/>
              <w:spacing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Переход права собственности и риска случайной гибели оборудования происходит в момент передачи оборудования  Покупателю (подписание накладной ТОРГ-12).</w:t>
            </w:r>
          </w:p>
          <w:p>
            <w:pPr>
              <w:pStyle w:val="Style37"/>
              <w:widowControl w:val="false"/>
              <w:suppressAutoHyphens w:val="true"/>
              <w:bidi w:val="0"/>
              <w:spacing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Доставка оборудования осуществляется в рабочее время с 8:00 — 15:00 часов местного времени.</w:t>
            </w:r>
          </w:p>
        </w:tc>
        <w:tc>
          <w:tcPr>
            <w:tcW w:w="416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0"/>
        </w:numPr>
        <w:ind w:hanging="0" w:left="357"/>
        <w:jc w:val="center"/>
        <w:rPr/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b/>
          <w:sz w:val="28"/>
          <w:szCs w:val="28"/>
          <w:highlight w:val="none"/>
          <w:shd w:fill="auto" w:val="clear"/>
        </w:rPr>
      </w:pPr>
      <w:r>
        <w:rPr>
          <w:rFonts w:cs="Times New Roman"/>
          <w:b/>
          <w:sz w:val="28"/>
          <w:szCs w:val="28"/>
          <w:shd w:fill="auto" w:val="clear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decimal"/>
      <w:lvlText w:val="%1.%2.%3.%4.%5.%6.%7.%8.%9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Strong">
    <w:name w:val="Strong"/>
    <w:qFormat/>
    <w:rPr>
      <w:b/>
      <w:bCs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14">
    <w:name w:val="WW8Num14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FEB1-EE9B-4389-AAC3-7FFE8013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7459</TotalTime>
  <Application>AlterOffice/2026.2.0.0$Linux_X86_64 LibreOffice_project/bc4ef1adf80b36c7a6365f8ed6cbf29021361edd</Application>
  <AppVersion>15.0000</AppVersion>
  <Pages>8</Pages>
  <Words>856</Words>
  <Characters>5661</Characters>
  <CharactersWithSpaces>6332</CharactersWithSpaces>
  <Paragraphs>193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bezmaternyheb@corp.gidroogk.com</cp:lastModifiedBy>
  <cp:lastPrinted>2006-07-26T14:04:00Z</cp:lastPrinted>
  <dcterms:modified xsi:type="dcterms:W3CDTF">2026-10-01T16:46:26Z</dcterms:modified>
  <cp:revision>39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