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9.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4.xml" ContentType="application/vnd.openxmlformats-officedocument.wordprocessingml.header+xml"/>
  <Override PartName="/word/fontTable.xml" ContentType="application/vnd.openxmlformats-officedocument.wordprocessingml.fontTable+xml"/>
  <Override PartName="/word/footer5.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center"/>
        <w:rPr>
          <w:b/>
          <w:sz w:val="24"/>
          <w:szCs w:val="24"/>
        </w:rPr>
      </w:pPr>
      <w:r>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z w:val="24"/>
          <w:szCs w:val="24"/>
        </w:rPr>
        <w:t>Акционерное общество «Транспортная компания РусГидро» (АО «ТК РусГидро»),</w:t>
      </w:r>
      <w:r>
        <w:rPr>
          <w:sz w:val="24"/>
          <w:szCs w:val="24"/>
        </w:rPr>
        <w:t xml:space="preserve"> (далее – «Покупатель»), в лице _____________________, действующего на основании ________, с одной стороны, и </w:t>
      </w:r>
    </w:p>
    <w:p>
      <w:pPr>
        <w:pStyle w:val="Normal"/>
        <w:ind w:firstLine="709"/>
        <w:jc w:val="both"/>
        <w:rPr>
          <w:spacing w:val="10"/>
          <w:sz w:val="24"/>
          <w:szCs w:val="24"/>
        </w:rPr>
      </w:pPr>
      <w:r>
        <w:rPr>
          <w:sz w:val="24"/>
          <w:szCs w:val="24"/>
        </w:rPr>
        <w:t>____________________ (далее – «Поставщик»), в лице _________________________, действующего на основании ___________________, с другой стороны, совместно в дальнейшем именуемые «Стороны», а по отдельности – «Сторона», по результатам проведенной Покупателем конкурентной процедуры по лоту № ____________ и на основании протокола __________ от «___» _________ г. №_______, 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false"/>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sectPr>
          <w:headerReference w:type="even" r:id="rId2"/>
          <w:headerReference w:type="default" r:id="rId3"/>
          <w:headerReference w:type="first" r:id="rId4"/>
          <w:type w:val="nextPage"/>
          <w:pgSz w:w="11906" w:h="16838"/>
          <w:pgMar w:left="1560" w:right="851" w:gutter="0" w:header="709" w:top="1135" w:footer="0" w:bottom="1135"/>
          <w:pgNumType w:fmt="decimal"/>
          <w:formProt w:val="false"/>
          <w:titlePg/>
          <w:textDirection w:val="lrTb"/>
          <w:docGrid w:type="default" w:linePitch="360" w:charSpace="16384"/>
        </w:sectPr>
        <w:pStyle w:val="ListParagraph"/>
        <w:shd w:val="clear" w:color="auto" w:fill="FFFFFF"/>
        <w:tabs>
          <w:tab w:val="clear" w:pos="709"/>
          <w:tab w:val="left" w:pos="0" w:leader="none"/>
        </w:tabs>
        <w:overflowPunct w:val="false"/>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rPr>
      </w:pPr>
      <w:r>
        <w:rPr>
          <w:b/>
          <w:sz w:val="24"/>
          <w:szCs w:val="24"/>
          <w:highlight w:val="lightGray"/>
          <w:lang w:eastAsia="en-US"/>
        </w:rPr>
        <w:t xml:space="preserve">«Рабочая документация» </w:t>
      </w:r>
      <w:r>
        <w:rPr>
          <w:sz w:val="24"/>
          <w:szCs w:val="24"/>
          <w:highlight w:val="lightGray"/>
          <w:lang w:eastAsia="en-US"/>
        </w:rPr>
        <w:t>–</w:t>
      </w:r>
      <w:r>
        <w:rPr>
          <w:b/>
          <w:sz w:val="24"/>
          <w:szCs w:val="24"/>
          <w:highlight w:val="lightGray"/>
          <w:lang w:eastAsia="en-US"/>
        </w:rPr>
        <w:t xml:space="preserve"> </w:t>
      </w:r>
      <w:r>
        <w:rPr>
          <w:sz w:val="24"/>
          <w:szCs w:val="24"/>
          <w:highlight w:val="lightGray"/>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pPr>
        <w:pStyle w:val="ListParagraph"/>
        <w:numPr>
          <w:ilvl w:val="0"/>
          <w:numId w:val="12"/>
        </w:numPr>
        <w:tabs>
          <w:tab w:val="clear" w:pos="709"/>
          <w:tab w:val="left" w:pos="567" w:leader="none"/>
          <w:tab w:val="left" w:pos="1134" w:leader="none"/>
        </w:tabs>
        <w:ind w:left="0" w:firstLine="709"/>
        <w:jc w:val="both"/>
        <w:rPr>
          <w:b/>
          <w:lang w:eastAsia="en-US"/>
        </w:rPr>
      </w:pPr>
      <w:r>
        <w:rPr>
          <w:sz w:val="24"/>
          <w:szCs w:val="24"/>
          <w:highlight w:val="lightGray"/>
          <w:lang w:eastAsia="en-US"/>
        </w:rPr>
        <w:t>рабочие чертежи основного комплекта, спецификации оборудования и изделий;</w:t>
      </w:r>
    </w:p>
    <w:p>
      <w:pPr>
        <w:pStyle w:val="ListParagraph"/>
        <w:numPr>
          <w:ilvl w:val="0"/>
          <w:numId w:val="12"/>
        </w:numPr>
        <w:tabs>
          <w:tab w:val="clear" w:pos="709"/>
          <w:tab w:val="left" w:pos="567" w:leader="none"/>
          <w:tab w:val="left" w:pos="1134" w:leader="none"/>
        </w:tabs>
        <w:ind w:left="0" w:firstLine="709"/>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p>
    <w:p>
      <w:pPr>
        <w:pStyle w:val="ListParagraph"/>
        <w:numPr>
          <w:ilvl w:val="0"/>
          <w:numId w:val="12"/>
        </w:numPr>
        <w:tabs>
          <w:tab w:val="clear" w:pos="709"/>
          <w:tab w:val="left" w:pos="567" w:leader="none"/>
          <w:tab w:val="left" w:pos="1134" w:leader="none"/>
        </w:tabs>
        <w:ind w:left="0" w:firstLine="709"/>
        <w:jc w:val="both"/>
        <w:rPr>
          <w:b/>
          <w:lang w:eastAsia="en-US"/>
        </w:rPr>
      </w:pPr>
      <w:r>
        <w:rPr>
          <w:sz w:val="24"/>
          <w:szCs w:val="24"/>
          <w:highlight w:val="lightGray"/>
          <w:lang w:eastAsia="en-US"/>
        </w:rPr>
        <w:t>сметную документацию.</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fals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419" w:leader="none"/>
        </w:tabs>
        <w:ind w:left="0" w:firstLine="709"/>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трактор колесный для нужд Центрального филиала АО "ТК РусГидро</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s>
        <w:ind w:left="0" w:firstLine="709"/>
        <w:jc w:val="both"/>
        <w:rPr>
          <w:bCs/>
          <w:sz w:val="24"/>
          <w:szCs w:val="24"/>
        </w:rPr>
      </w:pPr>
      <w:r>
        <w:rPr>
          <w:bCs/>
          <w:sz w:val="24"/>
          <w:szCs w:val="24"/>
        </w:rPr>
        <w:t>Поставка Товара по Договору осуществляется для нужд Верхневолжского транспортного участка Центрального филиала АО «ТК РусГидро».</w:t>
      </w:r>
    </w:p>
    <w:p>
      <w:pPr>
        <w:pStyle w:val="Normal"/>
        <w:numPr>
          <w:ilvl w:val="1"/>
          <w:numId w:val="2"/>
        </w:numPr>
        <w:shd w:val="clear" w:color="auto" w:fill="FFFFFF"/>
        <w:tabs>
          <w:tab w:val="clear" w:pos="709"/>
          <w:tab w:val="left" w:pos="0" w:leader="none"/>
        </w:tabs>
        <w:ind w:left="0" w:firstLine="709"/>
        <w:jc w:val="both"/>
        <w:rPr>
          <w:bCs/>
          <w:sz w:val="24"/>
          <w:szCs w:val="24"/>
        </w:rPr>
      </w:pPr>
      <w:r>
        <w:rPr>
          <w:bCs/>
          <w:sz w:val="24"/>
          <w:szCs w:val="24"/>
        </w:rPr>
        <w:t xml:space="preserve">Место поставки Товара: Российская Федерация, 152917, Российская Федерация, Ярославская обл., г. Рыбинск, ул. Вяземского д.31. (далее – «Место поставки»). </w:t>
      </w:r>
      <w:r>
        <w:rPr>
          <w:sz w:val="24"/>
          <w:szCs w:val="24"/>
        </w:rPr>
        <w:t>(далее – «Место поставки»).</w:t>
      </w:r>
    </w:p>
    <w:p>
      <w:pPr>
        <w:pStyle w:val="Normal"/>
        <w:numPr>
          <w:ilvl w:val="1"/>
          <w:numId w:val="2"/>
        </w:numPr>
        <w:shd w:val="clear" w:color="auto" w:fill="FFFFFF"/>
        <w:tabs>
          <w:tab w:val="clear" w:pos="709"/>
          <w:tab w:val="left" w:pos="0" w:leader="none"/>
        </w:tabs>
        <w:ind w:left="0" w:firstLine="709"/>
        <w:jc w:val="both"/>
        <w:rPr>
          <w:bCs/>
          <w:sz w:val="24"/>
          <w:szCs w:val="24"/>
        </w:rPr>
      </w:pPr>
      <w:r>
        <w:rPr>
          <w:bCs/>
          <w:sz w:val="24"/>
          <w:szCs w:val="24"/>
        </w:rPr>
        <w:t>Срок поставки Товара: Не позднее 20 (двадцати) календарных дней с даты оплаты авансового платежа.</w:t>
      </w:r>
    </w:p>
    <w:p>
      <w:pPr>
        <w:pStyle w:val="Normal"/>
        <w:shd w:val="clear" w:color="auto" w:fill="FFFFFF"/>
        <w:tabs>
          <w:tab w:val="clear" w:pos="709"/>
          <w:tab w:val="left" w:pos="540" w:leader="none"/>
        </w:tabs>
        <w:ind w:left="1134" w:hanging="0"/>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Производство и / или приобретение Товара.</w:t>
      </w:r>
    </w:p>
    <w:p>
      <w:pPr>
        <w:pStyle w:val="ListParagraph"/>
        <w:numPr>
          <w:ilvl w:val="2"/>
          <w:numId w:val="13"/>
        </w:numPr>
        <w:shd w:val="clear" w:color="auto" w:fill="FFFFFF"/>
        <w:tabs>
          <w:tab w:val="clear" w:pos="709"/>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sz w:val="24"/>
        </w:rPr>
      </w:pPr>
      <w:r>
        <w:rPr>
          <w:sz w:val="24"/>
        </w:rPr>
        <w:t>Авансовый платеж в размере 10 (десяти)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2.5.1, 2.5.4 Договора.</w:t>
      </w:r>
    </w:p>
    <w:p>
      <w:pPr>
        <w:pStyle w:val="ListParagraph"/>
        <w:numPr>
          <w:ilvl w:val="2"/>
          <w:numId w:val="2"/>
        </w:numPr>
        <w:ind w:left="0" w:firstLine="709"/>
        <w:jc w:val="both"/>
        <w:rPr>
          <w:sz w:val="24"/>
        </w:rPr>
      </w:pPr>
      <w:r>
        <w:rPr>
          <w:sz w:val="24"/>
        </w:rPr>
        <w:t xml:space="preserve">Окончательный платеж в размере 90 (девяносто) процентов от стоимости Товара выплачивается Поставщику в течение </w:t>
      </w:r>
      <w:r>
        <w:rPr>
          <w:sz w:val="24"/>
          <w:highlight w:val="lightGray"/>
        </w:rPr>
        <w:t>20 (двадцати) календарных дней</w:t>
      </w:r>
      <w:r>
        <w:rPr>
          <w:rStyle w:val="FootnoteReference"/>
          <w:sz w:val="24"/>
          <w:highlight w:val="lightGray"/>
        </w:rPr>
        <w:footnoteReference w:id="2"/>
      </w:r>
      <w:r>
        <w:rPr>
          <w:sz w:val="24"/>
          <w:highlight w:val="lightGray"/>
        </w:rPr>
        <w:t xml:space="preserve"> / 45 (сорока пяти) календарных дней</w:t>
      </w:r>
      <w:r>
        <w:rPr>
          <w:rStyle w:val="FootnoteReference"/>
          <w:sz w:val="24"/>
          <w:highlight w:val="lightGray"/>
        </w:rPr>
        <w:footnoteReference w:id="3"/>
      </w:r>
      <w:r>
        <w:rPr>
          <w:sz w:val="24"/>
          <w:highlight w:val="lightGray"/>
        </w:rPr>
        <w:t xml:space="preserve"> / 7 (семи) рабочих дней</w:t>
      </w:r>
      <w:r>
        <w:rPr>
          <w:rStyle w:val="FootnoteReference"/>
          <w:sz w:val="24"/>
          <w:highlight w:val="lightGray"/>
        </w:rPr>
        <w:footnoteReference w:id="4"/>
      </w:r>
      <w:r>
        <w:rPr>
          <w:sz w:val="24"/>
        </w:rPr>
        <w:t xml:space="preserve"> с даты подписания Сторонами Накладной ТОРГ-12/УПД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bookmarkStart w:id="2"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2"/>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rPr>
      </w:pPr>
      <w:r>
        <w:rPr>
          <w:sz w:val="24"/>
          <w:szCs w:val="24"/>
        </w:rPr>
        <w:t>сертификат качества в 1</w:t>
      </w:r>
      <w:r>
        <w:rPr>
          <w:sz w:val="24"/>
          <w:szCs w:val="24"/>
          <w:highlight w:val="lightGray"/>
        </w:rPr>
        <w:t>(одном)</w:t>
      </w:r>
      <w:r>
        <w:rPr>
          <w:sz w:val="24"/>
          <w:szCs w:val="24"/>
        </w:rPr>
        <w:t xml:space="preserve"> экз.;</w:t>
      </w:r>
    </w:p>
    <w:p>
      <w:pPr>
        <w:pStyle w:val="Normal"/>
        <w:numPr>
          <w:ilvl w:val="0"/>
          <w:numId w:val="4"/>
        </w:numPr>
        <w:tabs>
          <w:tab w:val="clear" w:pos="709"/>
          <w:tab w:val="left" w:pos="1418" w:leader="none"/>
        </w:tabs>
        <w:ind w:left="0" w:firstLine="709"/>
        <w:jc w:val="both"/>
        <w:rPr>
          <w:sz w:val="24"/>
          <w:szCs w:val="24"/>
        </w:rPr>
      </w:pPr>
      <w:r>
        <w:rPr>
          <w:sz w:val="24"/>
          <w:szCs w:val="24"/>
        </w:rPr>
        <w:t>технический паспорт на русском языке в 1</w:t>
      </w:r>
      <w:r>
        <w:rPr>
          <w:sz w:val="24"/>
          <w:szCs w:val="24"/>
          <w:highlight w:val="lightGray"/>
        </w:rPr>
        <w:t>(одном)</w:t>
      </w:r>
      <w:r>
        <w:rPr>
          <w:sz w:val="24"/>
          <w:szCs w:val="24"/>
        </w:rPr>
        <w:t xml:space="preserve">  экз.;</w:t>
      </w:r>
    </w:p>
    <w:p>
      <w:pPr>
        <w:pStyle w:val="Normal"/>
        <w:numPr>
          <w:ilvl w:val="0"/>
          <w:numId w:val="4"/>
        </w:numPr>
        <w:tabs>
          <w:tab w:val="clear" w:pos="709"/>
          <w:tab w:val="left" w:pos="1418" w:leader="none"/>
        </w:tabs>
        <w:ind w:left="0" w:firstLine="709"/>
        <w:jc w:val="both"/>
        <w:rPr>
          <w:sz w:val="24"/>
          <w:szCs w:val="24"/>
        </w:rPr>
      </w:pPr>
      <w:r>
        <w:rPr>
          <w:sz w:val="24"/>
          <w:szCs w:val="24"/>
        </w:rPr>
        <w:t>инструкция по эксплуатации на русском языке 1</w:t>
      </w:r>
      <w:r>
        <w:rPr>
          <w:sz w:val="24"/>
          <w:szCs w:val="24"/>
          <w:highlight w:val="lightGray"/>
        </w:rPr>
        <w:t>(одном)</w:t>
      </w:r>
      <w:r>
        <w:rPr>
          <w:sz w:val="24"/>
          <w:szCs w:val="24"/>
        </w:rPr>
        <w:t xml:space="preserve"> экз.;</w:t>
      </w:r>
    </w:p>
    <w:p>
      <w:pPr>
        <w:pStyle w:val="Normal"/>
        <w:numPr>
          <w:ilvl w:val="0"/>
          <w:numId w:val="4"/>
        </w:numPr>
        <w:tabs>
          <w:tab w:val="clear" w:pos="709"/>
          <w:tab w:val="left" w:pos="1418" w:leader="none"/>
        </w:tabs>
        <w:ind w:left="0" w:firstLine="709"/>
        <w:jc w:val="both"/>
        <w:rPr>
          <w:sz w:val="24"/>
          <w:szCs w:val="24"/>
        </w:rPr>
      </w:pPr>
      <w:r>
        <w:rPr>
          <w:sz w:val="24"/>
          <w:szCs w:val="24"/>
        </w:rPr>
        <w:t>упаковочный лист в 1</w:t>
      </w:r>
      <w:r>
        <w:rPr>
          <w:sz w:val="24"/>
          <w:szCs w:val="24"/>
          <w:highlight w:val="lightGray"/>
        </w:rPr>
        <w:t>(одном)</w:t>
      </w:r>
      <w:r>
        <w:rPr>
          <w:sz w:val="24"/>
          <w:szCs w:val="24"/>
        </w:rPr>
        <w:t xml:space="preserve">  экз.;</w:t>
      </w:r>
    </w:p>
    <w:p>
      <w:pPr>
        <w:pStyle w:val="Normal"/>
        <w:numPr>
          <w:ilvl w:val="0"/>
          <w:numId w:val="3"/>
        </w:numPr>
        <w:tabs>
          <w:tab w:val="clear" w:pos="709"/>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left="0" w:firstLine="709"/>
        <w:jc w:val="both"/>
        <w:rPr>
          <w:sz w:val="24"/>
          <w:szCs w:val="24"/>
        </w:rPr>
      </w:pPr>
      <w:r>
        <w:rPr>
          <w:sz w:val="24"/>
          <w:szCs w:val="24"/>
        </w:rPr>
        <w:t>товарно-транспортная накладная (для учета товарно-материальных ценностей и расчетов за их перевозки) или транспортная железнодорожная накладная (форма № ГУ-27) в 1</w:t>
      </w:r>
      <w:r>
        <w:rPr>
          <w:sz w:val="24"/>
          <w:szCs w:val="24"/>
          <w:highlight w:val="lightGray"/>
        </w:rPr>
        <w:t>(одном)</w:t>
      </w:r>
      <w:r>
        <w:rPr>
          <w:sz w:val="24"/>
          <w:szCs w:val="24"/>
        </w:rPr>
        <w:t xml:space="preserve">  экз.;</w:t>
      </w:r>
    </w:p>
    <w:p>
      <w:pPr>
        <w:pStyle w:val="Normal"/>
        <w:numPr>
          <w:ilvl w:val="0"/>
          <w:numId w:val="3"/>
        </w:numPr>
        <w:shd w:val="clear" w:color="auto" w:fill="FFFFFF"/>
        <w:tabs>
          <w:tab w:val="clear" w:pos="709"/>
          <w:tab w:val="left" w:pos="1418" w:leader="none"/>
        </w:tabs>
        <w:ind w:left="0" w:firstLine="709"/>
        <w:jc w:val="both"/>
        <w:rPr>
          <w:sz w:val="24"/>
          <w:szCs w:val="24"/>
        </w:rPr>
      </w:pPr>
      <w:r>
        <w:rPr>
          <w:sz w:val="24"/>
          <w:szCs w:val="24"/>
        </w:rPr>
        <w:t xml:space="preserve">Накладная ТОРГ-12/УПД в </w:t>
      </w:r>
      <w:r>
        <w:rPr>
          <w:sz w:val="24"/>
          <w:szCs w:val="24"/>
          <w:highlight w:val="lightGray"/>
        </w:rPr>
        <w:t>2 (двух)</w:t>
      </w:r>
      <w:r>
        <w:rPr>
          <w:sz w:val="24"/>
          <w:szCs w:val="24"/>
        </w:rPr>
        <w:t xml:space="preserve"> экз.</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bookmarkStart w:id="3"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3"/>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bookmarkStart w:id="4" w:name="_Ref361396594"/>
      <w:r>
        <w:rPr>
          <w:sz w:val="24"/>
          <w:szCs w:val="24"/>
        </w:rPr>
        <w:t xml:space="preserve">Датой поставки Товара является дата подписания Сторонами Накладной </w:t>
        <w:br/>
        <w:t>ТОРГ-12/УПД.</w:t>
      </w:r>
      <w:bookmarkEnd w:id="4"/>
      <w:r>
        <w:rPr>
          <w:sz w:val="24"/>
          <w:szCs w:val="24"/>
        </w:rPr>
        <w:t xml:space="preserve">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left="0" w:firstLine="709"/>
        <w:jc w:val="both"/>
        <w:rPr>
          <w:sz w:val="24"/>
          <w:szCs w:val="24"/>
        </w:rPr>
      </w:pPr>
      <w:bookmarkStart w:id="5"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5"/>
      <w:r>
        <w:rPr>
          <w:sz w:val="24"/>
          <w:szCs w:val="24"/>
        </w:rPr>
        <w:t xml:space="preserve">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5 (пяти)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left="0" w:hanging="0"/>
        <w:jc w:val="center"/>
        <w:rPr>
          <w:b/>
          <w:sz w:val="24"/>
          <w:szCs w:val="24"/>
        </w:rPr>
      </w:pPr>
      <w:r>
        <w:rPr>
          <w:b/>
          <w:sz w:val="24"/>
          <w:szCs w:val="24"/>
        </w:rPr>
        <w:t>Гарантийный срок</w:t>
      </w:r>
    </w:p>
    <w:p>
      <w:pPr>
        <w:pStyle w:val="ListParagraph"/>
        <w:numPr>
          <w:ilvl w:val="1"/>
          <w:numId w:val="2"/>
        </w:numPr>
        <w:tabs>
          <w:tab w:val="clear" w:pos="709"/>
        </w:tabs>
        <w:ind w:left="0" w:firstLine="709"/>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12 (месяцев)</w:t>
      </w:r>
      <w:r>
        <w:rPr>
          <w:sz w:val="24"/>
          <w:szCs w:val="24"/>
        </w:rPr>
        <w:t xml:space="preserve"> месяцев или 1 000 м/ч, в зависимости от того, что наступит раньше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6" w:name="OLE_LINK5"/>
      <w:bookmarkStart w:id="7" w:name="OLE_LINK6"/>
      <w:r>
        <w:rPr>
          <w:sz w:val="24"/>
          <w:szCs w:val="24"/>
        </w:rPr>
        <w:t>Покупателем в соответствии с пунктом 4.3 Договора</w:t>
      </w:r>
      <w:bookmarkEnd w:id="6"/>
      <w:bookmarkEnd w:id="7"/>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shd w:val="clear" w:color="auto" w:fill="FFFFFF"/>
        <w:tabs>
          <w:tab w:val="clear" w:pos="709"/>
          <w:tab w:val="left" w:pos="1134" w:leader="none"/>
        </w:tabs>
        <w:ind w:left="709" w:hanging="0"/>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shd w:val="clear" w:color="auto" w:fill="FFFFFF"/>
        <w:tabs>
          <w:tab w:val="clear" w:pos="709"/>
          <w:tab w:val="left" w:pos="1418" w:leader="none"/>
        </w:tabs>
        <w:ind w:left="0" w:firstLine="709"/>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bCs/>
          <w:sz w:val="24"/>
          <w:szCs w:val="24"/>
          <w:shd w:fill="FFFF00" w:val="clear"/>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left="0" w:firstLine="709"/>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left="0" w:firstLine="709"/>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left="0" w:firstLine="709"/>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5"/>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left="0" w:firstLine="709"/>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6"/>
      </w:r>
      <w:r>
        <w:rPr>
          <w:sz w:val="24"/>
          <w:szCs w:val="24"/>
          <w:highlight w:val="lightGray"/>
        </w:rPr>
        <w:t>.</w:t>
      </w:r>
    </w:p>
    <w:p>
      <w:pPr>
        <w:pStyle w:val="ListParagraph"/>
        <w:widowControl/>
        <w:numPr>
          <w:ilvl w:val="1"/>
          <w:numId w:val="2"/>
        </w:numPr>
        <w:shd w:val="clear" w:color="auto" w:fill="FFFFFF"/>
        <w:ind w:left="0" w:firstLine="709"/>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left="1419" w:hanging="0"/>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w:t>
      </w:r>
    </w:p>
    <w:p>
      <w:pPr>
        <w:pStyle w:val="Normal"/>
        <w:widowControl/>
        <w:numPr>
          <w:ilvl w:val="1"/>
          <w:numId w:val="2"/>
        </w:numPr>
        <w:tabs>
          <w:tab w:val="clear" w:pos="709"/>
          <w:tab w:val="left" w:pos="1276" w:leader="none"/>
        </w:tabs>
        <w:ind w:left="0" w:firstLine="709"/>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6"/>
        </w:numPr>
        <w:tabs>
          <w:tab w:val="clear" w:pos="709"/>
          <w:tab w:val="left" w:pos="1276" w:leader="none"/>
        </w:tabs>
        <w:ind w:left="0" w:firstLine="709"/>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6"/>
        </w:numPr>
        <w:ind w:left="0" w:firstLine="709"/>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6"/>
        </w:numPr>
        <w:ind w:left="0" w:firstLine="709"/>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jc w:val="both"/>
        <w:rPr>
          <w:sz w:val="24"/>
          <w:szCs w:val="24"/>
        </w:rPr>
      </w:pPr>
      <w:r>
        <w:rPr>
          <w:rFonts w:eastAsia="Calibri"/>
          <w:bCs/>
          <w:sz w:val="24"/>
          <w:szCs w:val="24"/>
        </w:rPr>
        <w:tab/>
        <w:t xml:space="preserve">6.5.3. 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6"/>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6"/>
        </w:numPr>
        <w:shd w:val="clear" w:color="auto" w:fill="FFFFFF"/>
        <w:tabs>
          <w:tab w:val="clear" w:pos="709"/>
          <w:tab w:val="left" w:pos="1276" w:leader="none"/>
        </w:tabs>
        <w:ind w:left="0" w:firstLine="709"/>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6"/>
        </w:numPr>
        <w:shd w:val="clear" w:color="auto" w:fill="FFFFFF"/>
        <w:ind w:left="0" w:firstLine="709"/>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6"/>
        </w:numPr>
        <w:shd w:val="clear" w:color="auto" w:fill="FFFFFF"/>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6"/>
        </w:numPr>
        <w:shd w:val="clear" w:color="auto" w:fill="FFFFFF"/>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36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8"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8"/>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9"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9"/>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10"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10"/>
    </w:p>
    <w:p>
      <w:pPr>
        <w:pStyle w:val="Normal"/>
        <w:numPr>
          <w:ilvl w:val="1"/>
          <w:numId w:val="2"/>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left="709" w:hanging="0"/>
        <w:jc w:val="both"/>
        <w:rPr>
          <w:sz w:val="24"/>
          <w:szCs w:val="24"/>
        </w:rPr>
      </w:pPr>
      <w:r>
        <w:rPr>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left="0" w:firstLine="709"/>
        <w:jc w:val="both"/>
        <w:rPr>
          <w:bCs/>
          <w:sz w:val="24"/>
          <w:szCs w:val="24"/>
        </w:rPr>
      </w:pPr>
      <w:r>
        <w:rPr>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bCs/>
            <w:sz w:val="24"/>
            <w:szCs w:val="24"/>
          </w:rPr>
          <w:t>№ 18162/09</w:t>
        </w:r>
      </w:hyperlink>
      <w:r>
        <w:rPr>
          <w:bCs/>
          <w:sz w:val="24"/>
          <w:szCs w:val="24"/>
        </w:rPr>
        <w:t xml:space="preserve"> и от 25.05.2010 </w:t>
      </w:r>
      <w:hyperlink r:id="rId6">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36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709" w:hanging="0"/>
        <w:jc w:val="both"/>
        <w:rPr>
          <w:sz w:val="24"/>
          <w:szCs w:val="24"/>
        </w:rPr>
      </w:pPr>
      <w:r>
        <w:rPr>
          <w:sz w:val="24"/>
          <w:szCs w:val="24"/>
        </w:rPr>
      </w:r>
    </w:p>
    <w:p>
      <w:pPr>
        <w:pStyle w:val="ListParagraph"/>
        <w:widowControl/>
        <w:numPr>
          <w:ilvl w:val="0"/>
          <w:numId w:val="2"/>
        </w:numPr>
        <w:shd w:val="clear" w:color="auto" w:fill="FFFFFF"/>
        <w:ind w:left="0" w:hanging="36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left="709" w:hanging="0"/>
        <w:jc w:val="both"/>
        <w:rPr>
          <w:bCs/>
          <w:sz w:val="24"/>
          <w:szCs w:val="24"/>
        </w:rPr>
      </w:pPr>
      <w:r>
        <w:rPr>
          <w:bCs/>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tabs>
          <w:tab w:val="clear" w:pos="709"/>
          <w:tab w:val="left" w:pos="142" w:leader="none"/>
          <w:tab w:val="left" w:pos="1418" w:leader="none"/>
        </w:tabs>
        <w:snapToGrid w:val="false"/>
        <w:ind w:left="0" w:firstLine="709"/>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1"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1"/>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7"/>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2"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2"/>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ListParagraph"/>
        <w:widowControl/>
        <w:numPr>
          <w:ilvl w:val="0"/>
          <w:numId w:val="2"/>
        </w:numPr>
        <w:shd w:val="clear" w:color="auto" w:fill="FFFFFF"/>
        <w:tabs>
          <w:tab w:val="clear" w:pos="709"/>
          <w:tab w:val="left" w:pos="426" w:leader="none"/>
        </w:tabs>
        <w:ind w:left="0" w:hanging="36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360" w:hanging="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49"/>
        <w:gridCol w:w="4637"/>
        <w:gridCol w:w="325"/>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b/>
                <w:sz w:val="24"/>
                <w:szCs w:val="24"/>
              </w:rPr>
            </w:pPr>
            <w:r>
              <w:rPr>
                <w:b/>
                <w:sz w:val="24"/>
                <w:szCs w:val="24"/>
              </w:rPr>
              <w:t>АО «ТК РусГидро»</w:t>
            </w:r>
          </w:p>
          <w:p>
            <w:pPr>
              <w:pStyle w:val="Normal"/>
              <w:widowControl w:val="false"/>
              <w:rPr>
                <w:sz w:val="24"/>
                <w:szCs w:val="24"/>
              </w:rPr>
            </w:pPr>
            <w:r>
              <w:rPr>
                <w:sz w:val="24"/>
                <w:szCs w:val="24"/>
              </w:rPr>
            </w:r>
            <w:bookmarkStart w:id="13" w:name="_GoBack"/>
            <w:bookmarkStart w:id="14" w:name="_GoBack"/>
            <w:bookmarkEnd w:id="14"/>
          </w:p>
          <w:p>
            <w:pPr>
              <w:pStyle w:val="Normal"/>
              <w:widowControl w:val="false"/>
              <w:rPr>
                <w:sz w:val="24"/>
                <w:szCs w:val="24"/>
              </w:rPr>
            </w:pPr>
            <w:r>
              <w:rPr>
                <w:sz w:val="24"/>
                <w:szCs w:val="24"/>
              </w:rPr>
              <w:t>Место нахождения: 655619, Республика Хакасия, г. Саяногорск, рп. Черемушки, стр. № 101</w:t>
            </w:r>
          </w:p>
          <w:p>
            <w:pPr>
              <w:pStyle w:val="Normal"/>
              <w:widowControl w:val="false"/>
              <w:rPr>
                <w:sz w:val="24"/>
                <w:szCs w:val="24"/>
              </w:rPr>
            </w:pPr>
            <w:r>
              <w:rPr>
                <w:sz w:val="24"/>
                <w:szCs w:val="24"/>
              </w:rPr>
              <w:t>Центральный филиал АО «ТК РусГидро»</w:t>
            </w:r>
          </w:p>
          <w:p>
            <w:pPr>
              <w:pStyle w:val="Normal"/>
              <w:widowControl w:val="false"/>
              <w:rPr>
                <w:sz w:val="24"/>
                <w:szCs w:val="24"/>
              </w:rPr>
            </w:pPr>
            <w:r>
              <w:rPr>
                <w:sz w:val="24"/>
                <w:szCs w:val="24"/>
              </w:rPr>
              <w:t xml:space="preserve">Адрес филиала: 141342, Российская Федерация, Московская область, Сергиево-Посадский городской округ, </w:t>
            </w:r>
          </w:p>
          <w:p>
            <w:pPr>
              <w:pStyle w:val="Normal"/>
              <w:widowControl w:val="false"/>
              <w:rPr>
                <w:sz w:val="24"/>
                <w:szCs w:val="24"/>
              </w:rPr>
            </w:pPr>
            <w:r>
              <w:rPr>
                <w:sz w:val="24"/>
                <w:szCs w:val="24"/>
              </w:rPr>
              <w:t>пгт. Богородское, д. 100.</w:t>
            </w:r>
          </w:p>
          <w:p>
            <w:pPr>
              <w:pStyle w:val="Normal"/>
              <w:widowControl w:val="false"/>
              <w:rPr>
                <w:sz w:val="24"/>
                <w:szCs w:val="24"/>
              </w:rPr>
            </w:pPr>
            <w:r>
              <w:rPr>
                <w:sz w:val="24"/>
                <w:szCs w:val="24"/>
              </w:rPr>
              <w:t xml:space="preserve">Почтовый адрес: 141342, Российская Федерация, Московская область, Сергиево-Посадский городской округ, </w:t>
            </w:r>
          </w:p>
          <w:p>
            <w:pPr>
              <w:pStyle w:val="Normal"/>
              <w:widowControl w:val="false"/>
              <w:rPr>
                <w:sz w:val="24"/>
                <w:szCs w:val="24"/>
              </w:rPr>
            </w:pPr>
            <w:r>
              <w:rPr>
                <w:sz w:val="24"/>
                <w:szCs w:val="24"/>
              </w:rPr>
              <w:t>пгт. Богородское, д. 100.</w:t>
            </w:r>
          </w:p>
          <w:p>
            <w:pPr>
              <w:pStyle w:val="Normal"/>
              <w:widowControl w:val="false"/>
              <w:rPr>
                <w:sz w:val="24"/>
                <w:szCs w:val="24"/>
              </w:rPr>
            </w:pPr>
            <w:r>
              <w:rPr>
                <w:sz w:val="24"/>
                <w:szCs w:val="24"/>
              </w:rPr>
              <w:t>Р/с 40702810940020015572</w:t>
            </w:r>
          </w:p>
          <w:p>
            <w:pPr>
              <w:pStyle w:val="Normal"/>
              <w:widowControl w:val="false"/>
              <w:rPr>
                <w:sz w:val="24"/>
                <w:szCs w:val="24"/>
              </w:rPr>
            </w:pPr>
            <w:r>
              <w:rPr>
                <w:sz w:val="24"/>
                <w:szCs w:val="24"/>
              </w:rPr>
              <w:t>в ПАО «Сбербанк России», г. Москва</w:t>
            </w:r>
          </w:p>
          <w:p>
            <w:pPr>
              <w:pStyle w:val="Normal"/>
              <w:widowControl w:val="false"/>
              <w:rPr>
                <w:sz w:val="24"/>
                <w:szCs w:val="24"/>
              </w:rPr>
            </w:pPr>
            <w:r>
              <w:rPr>
                <w:sz w:val="24"/>
                <w:szCs w:val="24"/>
              </w:rPr>
              <w:t>к/с 30101810400000000225</w:t>
            </w:r>
          </w:p>
          <w:p>
            <w:pPr>
              <w:pStyle w:val="Normal"/>
              <w:widowControl w:val="false"/>
              <w:rPr>
                <w:sz w:val="24"/>
                <w:szCs w:val="24"/>
              </w:rPr>
            </w:pPr>
            <w:r>
              <w:rPr>
                <w:sz w:val="24"/>
                <w:szCs w:val="24"/>
              </w:rPr>
              <w:t>БИК 044525225</w:t>
            </w:r>
          </w:p>
          <w:p>
            <w:pPr>
              <w:pStyle w:val="Normal"/>
              <w:widowControl w:val="false"/>
              <w:rPr>
                <w:sz w:val="24"/>
                <w:szCs w:val="24"/>
              </w:rPr>
            </w:pPr>
            <w:r>
              <w:rPr>
                <w:sz w:val="24"/>
                <w:szCs w:val="24"/>
              </w:rPr>
              <w:t>ИНН 1902018248</w:t>
            </w:r>
          </w:p>
          <w:p>
            <w:pPr>
              <w:pStyle w:val="Normal"/>
              <w:widowControl w:val="false"/>
              <w:rPr>
                <w:sz w:val="24"/>
                <w:szCs w:val="24"/>
              </w:rPr>
            </w:pPr>
            <w:r>
              <w:rPr>
                <w:sz w:val="24"/>
                <w:szCs w:val="24"/>
              </w:rPr>
              <w:t>КПП 504 243 001</w:t>
            </w:r>
          </w:p>
          <w:p>
            <w:pPr>
              <w:pStyle w:val="Normal"/>
              <w:widowControl w:val="false"/>
              <w:rPr>
                <w:sz w:val="24"/>
                <w:szCs w:val="24"/>
              </w:rPr>
            </w:pPr>
            <w:r>
              <w:rPr>
                <w:sz w:val="24"/>
                <w:szCs w:val="24"/>
              </w:rPr>
              <w:t>ОГРН 1031900676356</w:t>
            </w:r>
          </w:p>
          <w:p>
            <w:pPr>
              <w:pStyle w:val="Normal"/>
              <w:widowControl w:val="false"/>
              <w:rPr>
                <w:sz w:val="24"/>
                <w:szCs w:val="24"/>
              </w:rPr>
            </w:pPr>
            <w:r>
              <w:rPr>
                <w:sz w:val="24"/>
                <w:szCs w:val="24"/>
              </w:rPr>
              <w:t>Телефон: 8 (496) 545 31 62</w:t>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9"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5" w:type="dxa"/>
            <w:tcBorders/>
          </w:tcPr>
          <w:p>
            <w:pPr>
              <w:pStyle w:val="Normal"/>
              <w:widowControl w:val="false"/>
              <w:rPr/>
            </w:pPr>
            <w:r>
              <w:rPr/>
            </w:r>
          </w:p>
        </w:tc>
      </w:tr>
    </w:tbl>
    <w:p>
      <w:pPr>
        <w:sectPr>
          <w:headerReference w:type="even" r:id="rId8"/>
          <w:headerReference w:type="default" r:id="rId9"/>
          <w:headerReference w:type="first" r:id="rId10"/>
          <w:footerReference w:type="even" r:id="rId11"/>
          <w:footerReference w:type="default" r:id="rId12"/>
          <w:footnotePr>
            <w:numFmt w:val="decimal"/>
          </w:footnotePr>
          <w:type w:val="nextPage"/>
          <w:pgSz w:w="11906" w:h="16838"/>
          <w:pgMar w:left="1560" w:right="851" w:gutter="0" w:header="709" w:top="1134" w:footer="709" w:bottom="1135"/>
          <w:pgNumType w:fmt="decimal"/>
          <w:formProt w:val="false"/>
          <w:textDirection w:val="lrTb"/>
          <w:docGrid w:type="default" w:linePitch="360" w:charSpace="16384"/>
        </w:sectPr>
      </w:pPr>
    </w:p>
    <w:p>
      <w:pPr>
        <w:pStyle w:val="Normal"/>
        <w:ind w:left="5103" w:right="96" w:hanging="0"/>
        <w:rPr>
          <w:sz w:val="22"/>
          <w:szCs w:val="22"/>
        </w:rPr>
      </w:pPr>
      <w:r>
        <w:rPr>
          <w:sz w:val="22"/>
          <w:szCs w:val="22"/>
        </w:rPr>
        <w:t>Приложение № 1</w:t>
      </w:r>
    </w:p>
    <w:p>
      <w:pPr>
        <w:pStyle w:val="Normal"/>
        <w:ind w:left="5103" w:right="96" w:hanging="0"/>
        <w:rPr>
          <w:sz w:val="22"/>
          <w:szCs w:val="22"/>
        </w:rPr>
      </w:pPr>
      <w:r>
        <w:rPr>
          <w:sz w:val="22"/>
          <w:szCs w:val="22"/>
        </w:rPr>
        <w:t>к Договору поставки</w:t>
      </w:r>
    </w:p>
    <w:p>
      <w:pPr>
        <w:pStyle w:val="Normal"/>
        <w:ind w:left="5103" w:right="96" w:hanging="0"/>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5"/>
        <w:gridCol w:w="636"/>
        <w:gridCol w:w="637"/>
        <w:gridCol w:w="798"/>
        <w:gridCol w:w="767"/>
        <w:gridCol w:w="643"/>
        <w:gridCol w:w="762"/>
        <w:gridCol w:w="720"/>
        <w:gridCol w:w="380"/>
        <w:gridCol w:w="153"/>
        <w:gridCol w:w="669"/>
        <w:gridCol w:w="579"/>
        <w:gridCol w:w="532"/>
        <w:gridCol w:w="744"/>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8"/>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9"/>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5"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2"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ind w:left="-737" w:right="680" w:hanging="0"/>
        <w:jc w:val="both"/>
        <w:rPr>
          <w:i/>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737" w:right="680" w:hanging="0"/>
        <w:jc w:val="both"/>
        <w:rPr>
          <w:i/>
          <w:i/>
          <w:iCs/>
        </w:rPr>
      </w:pPr>
      <w:r>
        <w:rPr>
          <w:i/>
          <w:iCs/>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ind w:right="96" w:firstLine="5103"/>
        <w:rPr>
          <w:sz w:val="22"/>
          <w:szCs w:val="22"/>
        </w:rPr>
      </w:pPr>
      <w:r>
        <w:rPr>
          <w:sz w:val="22"/>
          <w:szCs w:val="22"/>
        </w:rPr>
        <w:t>Приложение № 2</w:t>
      </w:r>
    </w:p>
    <w:p>
      <w:pPr>
        <w:pStyle w:val="Normal"/>
        <w:ind w:right="96" w:firstLine="5103"/>
        <w:rPr>
          <w:sz w:val="22"/>
          <w:szCs w:val="22"/>
        </w:rPr>
      </w:pPr>
      <w:r>
        <w:rPr>
          <w:sz w:val="22"/>
          <w:szCs w:val="22"/>
        </w:rPr>
        <w:t xml:space="preserve">к Договору поставки </w:t>
      </w:r>
    </w:p>
    <w:p>
      <w:pPr>
        <w:pStyle w:val="Normal"/>
        <w:ind w:right="96" w:firstLine="5103"/>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hanging="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right="96" w:firstLine="6237"/>
        <w:rPr>
          <w:sz w:val="24"/>
          <w:szCs w:val="24"/>
        </w:rPr>
      </w:pPr>
      <w:r>
        <w:rPr>
          <w:sz w:val="24"/>
          <w:szCs w:val="24"/>
        </w:rPr>
      </w:r>
    </w:p>
    <w:p>
      <w:pPr>
        <w:pStyle w:val="Normal"/>
        <w:widowControl/>
        <w:rPr>
          <w:sz w:val="24"/>
          <w:szCs w:val="24"/>
        </w:rPr>
      </w:pPr>
      <w:r>
        <w:rPr>
          <w:sz w:val="24"/>
          <w:szCs w:val="24"/>
        </w:rPr>
      </w:r>
      <w:r>
        <w:br w:type="page"/>
      </w:r>
    </w:p>
    <w:p>
      <w:pPr>
        <w:pStyle w:val="Normal"/>
        <w:ind w:right="96" w:firstLine="5529"/>
        <w:rPr>
          <w:sz w:val="22"/>
          <w:szCs w:val="22"/>
        </w:rPr>
      </w:pPr>
      <w:r>
        <w:rPr>
          <w:sz w:val="22"/>
          <w:szCs w:val="22"/>
        </w:rPr>
        <w:t>Приложение № 3</w:t>
      </w:r>
    </w:p>
    <w:p>
      <w:pPr>
        <w:pStyle w:val="Normal"/>
        <w:ind w:right="96" w:firstLine="5529"/>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0"/>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lang w:val="en-GB"/>
        </w:rPr>
        <w:footnoteReference w:id="11"/>
      </w:r>
      <w:r>
        <w:rPr>
          <w:sz w:val="24"/>
          <w:szCs w:val="24"/>
        </w:rPr>
        <w:t>, а также соответствовать следующим критериям:</w:t>
      </w:r>
    </w:p>
    <w:p>
      <w:pPr>
        <w:pStyle w:val="Normal"/>
        <w:widowControl/>
        <w:numPr>
          <w:ilvl w:val="1"/>
          <w:numId w:val="14"/>
        </w:numPr>
        <w:tabs>
          <w:tab w:val="clear" w:pos="709"/>
          <w:tab w:val="left" w:pos="1134" w:leader="none"/>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4"/>
        </w:numPr>
        <w:tabs>
          <w:tab w:val="clear" w:pos="709"/>
          <w:tab w:val="left" w:pos="1134" w:leader="none"/>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4"/>
        </w:numPr>
        <w:tabs>
          <w:tab w:val="clear" w:pos="709"/>
          <w:tab w:val="left" w:pos="1134" w:leader="none"/>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3">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widowControl/>
        <w:numPr>
          <w:ilvl w:val="1"/>
          <w:numId w:val="14"/>
        </w:numPr>
        <w:tabs>
          <w:tab w:val="clear" w:pos="709"/>
          <w:tab w:val="left" w:pos="1134" w:leader="none"/>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lang w:val="en-GB"/>
        </w:rPr>
        <w:footnoteReference w:id="12"/>
      </w:r>
      <w:r>
        <w:rPr>
          <w:sz w:val="24"/>
          <w:szCs w:val="24"/>
        </w:rPr>
        <w:t xml:space="preserve">. </w:t>
      </w:r>
    </w:p>
    <w:p>
      <w:pPr>
        <w:pStyle w:val="Normal"/>
        <w:widowControl/>
        <w:numPr>
          <w:ilvl w:val="1"/>
          <w:numId w:val="14"/>
        </w:numPr>
        <w:tabs>
          <w:tab w:val="clear" w:pos="709"/>
          <w:tab w:val="left" w:pos="1134" w:leader="none"/>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lang w:val="en-GB"/>
        </w:rPr>
        <w:footnoteReference w:id="13"/>
      </w:r>
      <w:r>
        <w:rPr>
          <w:sz w:val="24"/>
          <w:szCs w:val="24"/>
        </w:rPr>
        <w:t>.</w:t>
      </w:r>
    </w:p>
    <w:p>
      <w:pPr>
        <w:pStyle w:val="Normal"/>
        <w:widowControl/>
        <w:numPr>
          <w:ilvl w:val="1"/>
          <w:numId w:val="14"/>
        </w:numPr>
        <w:tabs>
          <w:tab w:val="clear" w:pos="709"/>
          <w:tab w:val="left" w:pos="1134" w:leader="none"/>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4"/>
        </w:numPr>
        <w:tabs>
          <w:tab w:val="clear" w:pos="709"/>
          <w:tab w:val="left" w:pos="1134" w:leader="none"/>
        </w:tabs>
        <w:ind w:left="0" w:firstLine="71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4"/>
        </w:numPr>
        <w:tabs>
          <w:tab w:val="clear" w:pos="709"/>
          <w:tab w:val="left" w:pos="1134" w:leader="none"/>
        </w:tabs>
        <w:ind w:left="0" w:firstLine="71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lang w:val="en-GB"/>
        </w:rPr>
        <w:footnoteReference w:id="14"/>
      </w:r>
      <w:r>
        <w:rPr>
          <w:sz w:val="24"/>
          <w:szCs w:val="24"/>
        </w:rPr>
        <w:t>.</w:t>
      </w:r>
    </w:p>
    <w:p>
      <w:pPr>
        <w:pStyle w:val="Normal"/>
        <w:widowControl/>
        <w:numPr>
          <w:ilvl w:val="1"/>
          <w:numId w:val="14"/>
        </w:numPr>
        <w:tabs>
          <w:tab w:val="clear" w:pos="709"/>
          <w:tab w:val="left" w:pos="1134" w:leader="none"/>
        </w:tabs>
        <w:ind w:left="0" w:firstLine="71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5"/>
        </w:numPr>
        <w:tabs>
          <w:tab w:val="clear" w:pos="709"/>
          <w:tab w:val="left" w:pos="1134" w:leader="none"/>
        </w:tabs>
        <w:ind w:left="0" w:firstLine="709"/>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5"/>
        </w:numPr>
        <w:tabs>
          <w:tab w:val="clear" w:pos="709"/>
          <w:tab w:val="left" w:pos="1134" w:leader="none"/>
        </w:tabs>
        <w:ind w:left="0" w:firstLine="709"/>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5"/>
        </w:numPr>
        <w:tabs>
          <w:tab w:val="clear" w:pos="709"/>
          <w:tab w:val="left" w:pos="1134" w:leader="none"/>
        </w:tabs>
        <w:ind w:left="0" w:firstLine="709"/>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5"/>
        </w:numPr>
        <w:tabs>
          <w:tab w:val="clear" w:pos="709"/>
          <w:tab w:val="left" w:pos="1134" w:leader="none"/>
        </w:tabs>
        <w:ind w:left="0" w:firstLine="709"/>
        <w:jc w:val="both"/>
        <w:rPr>
          <w:sz w:val="24"/>
          <w:szCs w:val="24"/>
          <w:lang w:val="en-GB"/>
        </w:rPr>
      </w:pPr>
      <w:r>
        <w:rPr>
          <w:sz w:val="24"/>
          <w:szCs w:val="24"/>
        </w:rPr>
        <w:t xml:space="preserve"> </w:t>
      </w:r>
      <w:r>
        <w:rPr>
          <w:sz w:val="24"/>
          <w:szCs w:val="24"/>
          <w:lang w:val="en-GB"/>
        </w:rPr>
        <w:t>ВЭБ.РФ.</w:t>
      </w:r>
    </w:p>
    <w:p>
      <w:pPr>
        <w:pStyle w:val="Normal"/>
        <w:numPr>
          <w:ilvl w:val="1"/>
          <w:numId w:val="15"/>
        </w:numPr>
        <w:tabs>
          <w:tab w:val="clear" w:pos="709"/>
          <w:tab w:val="left" w:pos="1134" w:leader="none"/>
        </w:tabs>
        <w:ind w:left="0" w:firstLine="709"/>
        <w:rPr>
          <w:sz w:val="24"/>
          <w:szCs w:val="24"/>
        </w:rPr>
      </w:pPr>
      <w:r>
        <w:rPr>
          <w:sz w:val="24"/>
          <w:szCs w:val="24"/>
          <w:lang w:val="en-GB"/>
        </w:rPr>
        <w:t>Нерезидентов Российской Федерации.</w:t>
      </w:r>
    </w:p>
    <w:p>
      <w:pPr>
        <w:pStyle w:val="Normal"/>
        <w:widowControl/>
        <w:numPr>
          <w:ilvl w:val="1"/>
          <w:numId w:val="14"/>
        </w:numPr>
        <w:tabs>
          <w:tab w:val="clear" w:pos="709"/>
          <w:tab w:val="left" w:pos="1134" w:leader="none"/>
        </w:tabs>
        <w:ind w:left="0" w:firstLine="71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rPr>
      </w:pPr>
      <w:r>
        <w:rPr>
          <w:sz w:val="24"/>
          <w:szCs w:val="24"/>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ind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ind w:left="-75" w:right="-108" w:firstLine="567"/>
              <w:rPr>
                <w:color w:val="000000"/>
                <w:sz w:val="24"/>
                <w:szCs w:val="24"/>
              </w:rPr>
            </w:pPr>
            <w:r>
              <w:rPr>
                <w:sz w:val="24"/>
                <w:szCs w:val="24"/>
              </w:rPr>
              <w:t>Лимит риска для i-ой кредитной организации</w:t>
            </w:r>
            <w:r>
              <w:rPr>
                <w:rStyle w:val="FootnoteReference"/>
                <w:sz w:val="24"/>
                <w:szCs w:val="24"/>
              </w:rPr>
              <w:footnoteReference w:id="15"/>
            </w:r>
            <w:r>
              <w:rPr>
                <w:sz w:val="24"/>
                <w:szCs w:val="24"/>
              </w:rPr>
              <w:t>.</w:t>
            </w:r>
          </w:p>
        </w:tc>
      </w:tr>
      <w:tr>
        <w:trPr>
          <w:trHeight w:val="280" w:hRule="atLeast"/>
        </w:trPr>
        <w:tc>
          <w:tcPr>
            <w:tcW w:w="817" w:type="dxa"/>
            <w:tcBorders/>
            <w:shd w:color="auto" w:fill="auto" w:val="clear"/>
          </w:tcPr>
          <w:p>
            <w:pPr>
              <w:pStyle w:val="Normal"/>
              <w:widowControl w:val="false"/>
              <w:ind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ind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ind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ind w:left="-75" w:right="-108" w:firstLine="567"/>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4">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ind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ind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overflowPunct w:val="false"/>
              <w:ind w:left="680" w:hanging="0"/>
              <w:jc w:val="both"/>
              <w:rPr/>
            </w:pPr>
            <w:r>
              <w:rPr>
                <w:sz w:val="24"/>
                <w:szCs w:val="24"/>
              </w:rPr>
              <w:t>рейтинговый коэффициент</w:t>
            </w:r>
            <w:r>
              <w:rPr>
                <w:rStyle w:val="FootnoteReference"/>
                <w:sz w:val="24"/>
                <w:szCs w:val="24"/>
              </w:rPr>
              <w:footnoteReference w:id="16"/>
            </w:r>
            <w:r>
              <w:rPr>
                <w:sz w:val="24"/>
                <w:szCs w:val="24"/>
              </w:rPr>
              <w:t xml:space="preserve"> для i-ой кредитной организации, равный:</w:t>
            </w:r>
          </w:p>
          <w:p>
            <w:pPr>
              <w:pStyle w:val="Normal"/>
              <w:widowControl w:val="false"/>
              <w:tabs>
                <w:tab w:val="left" w:pos="709" w:leader="none"/>
                <w:tab w:val="left" w:pos="851" w:leader="none"/>
              </w:tabs>
              <w:ind w:right="-108" w:firstLine="709"/>
              <w:jc w:val="both"/>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left" w:pos="709" w:leader="none"/>
                <w:tab w:val="left" w:pos="851" w:leader="none"/>
              </w:tabs>
              <w:ind w:right="-108" w:firstLine="709"/>
              <w:jc w:val="both"/>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9"/>
                <w:tab w:val="left" w:pos="7130" w:leader="none"/>
              </w:tabs>
              <w:ind w:right="-108" w:firstLine="567"/>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rPr>
      </w:pPr>
      <w:r>
        <w:rPr>
          <w:sz w:val="24"/>
          <w:szCs w:val="24"/>
        </w:rPr>
      </w:r>
    </w:p>
    <w:p>
      <w:pPr>
        <w:pStyle w:val="Normal"/>
        <w:widowControl/>
        <w:tabs>
          <w:tab w:val="clear" w:pos="709"/>
          <w:tab w:val="left" w:pos="1134" w:leader="none"/>
        </w:tabs>
        <w:ind w:firstLine="709"/>
        <w:jc w:val="center"/>
        <w:rPr>
          <w:sz w:val="24"/>
          <w:szCs w:val="24"/>
        </w:rPr>
      </w:pPr>
      <w:r>
        <w:rPr>
          <w:sz w:val="24"/>
          <w:szCs w:val="24"/>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ind w:right="96" w:firstLine="6237"/>
        <w:rPr>
          <w:sz w:val="24"/>
          <w:szCs w:val="24"/>
        </w:rPr>
      </w:pPr>
      <w:r>
        <w:rPr>
          <w:sz w:val="24"/>
          <w:szCs w:val="24"/>
        </w:rPr>
      </w:r>
    </w:p>
    <w:p>
      <w:pPr>
        <w:pStyle w:val="Normal"/>
        <w:widowControl/>
        <w:rPr>
          <w:sz w:val="24"/>
          <w:szCs w:val="24"/>
        </w:rPr>
      </w:pPr>
      <w:r>
        <w:rPr>
          <w:sz w:val="24"/>
          <w:szCs w:val="24"/>
        </w:rPr>
      </w:r>
      <w:r>
        <w:br w:type="page"/>
      </w:r>
    </w:p>
    <w:p>
      <w:pPr>
        <w:pStyle w:val="Normal"/>
        <w:ind w:right="96" w:firstLine="5529"/>
        <w:rPr>
          <w:sz w:val="22"/>
          <w:szCs w:val="22"/>
        </w:rPr>
      </w:pPr>
      <w:r>
        <w:rPr>
          <w:sz w:val="22"/>
          <w:szCs w:val="22"/>
        </w:rPr>
        <w:t>Приложение № 4</w:t>
      </w:r>
    </w:p>
    <w:p>
      <w:pPr>
        <w:pStyle w:val="Normal"/>
        <w:ind w:right="96" w:firstLine="5529"/>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left="5103" w:hanging="0"/>
        <w:rPr>
          <w:sz w:val="24"/>
          <w:szCs w:val="24"/>
        </w:rPr>
      </w:pPr>
      <w:r>
        <w:rPr>
          <w:sz w:val="24"/>
          <w:szCs w:val="24"/>
        </w:rPr>
      </w:r>
    </w:p>
    <w:p>
      <w:pPr>
        <w:pStyle w:val="Normal"/>
        <w:ind w:left="5103" w:hanging="0"/>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hanging="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left="5103" w:hanging="0"/>
        <w:rPr>
          <w:b/>
          <w:bCs/>
          <w:sz w:val="24"/>
          <w:szCs w:val="24"/>
        </w:rPr>
      </w:pPr>
      <w:r>
        <w:rPr/>
      </w:r>
    </w:p>
    <w:sectPr>
      <w:headerReference w:type="even" r:id="rId15"/>
      <w:headerReference w:type="default" r:id="rId16"/>
      <w:headerReference w:type="first" r:id="rId17"/>
      <w:footerReference w:type="even" r:id="rId18"/>
      <w:footerReference w:type="default" r:id="rId19"/>
      <w:footerReference w:type="first" r:id="rId20"/>
      <w:footnotePr>
        <w:numFmt w:val="decimal"/>
      </w:footnotePr>
      <w:type w:val="nextPage"/>
      <w:pgSz w:w="11906" w:h="16838"/>
      <w:pgMar w:left="1418" w:right="851" w:gutter="0" w:header="567" w:top="1134" w:footer="314"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Заказчика.</w:t>
      </w:r>
    </w:p>
  </w:footnote>
  <w:footnote w:id="3">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4">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6">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7">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8">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9">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5" w:name="_GoBack_Копия_1_Копия_1_Копия_1_Копия_1_"/>
      <w:bookmarkEnd w:id="15"/>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0">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1">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12">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13">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14">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15">
    <w:p>
      <w:pPr>
        <w:pStyle w:val="FootnoteText"/>
        <w:jc w:val="both"/>
        <w:rPr/>
      </w:pPr>
      <w:r>
        <w:rPr>
          <w:rStyle w:val="Style14"/>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16">
    <w:p>
      <w:pPr>
        <w:pStyle w:val="FootnoteText"/>
        <w:jc w:val="both"/>
        <w:rPr/>
      </w:pPr>
      <w:r>
        <w:rPr>
          <w:rStyle w:val="Style14"/>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b w:val="false"/>
        <w:bCs w:val="false"/>
        <w:sz w:val="20"/>
        <w:szCs w:val="20"/>
      </w:rPr>
    </w:pPr>
    <w:r>
      <w:rPr>
        <w:b w:val="false"/>
        <w:bCs w:val="false"/>
        <w:sz w:val="20"/>
        <w:szCs w:val="20"/>
      </w:rPr>
      <w:t>Приложение №2 к документации по аукциону</w:t>
    </w:r>
  </w:p>
  <w:p>
    <w:pPr>
      <w:pStyle w:val="Normal"/>
      <w:jc w:val="right"/>
      <w:rPr/>
    </w:pPr>
    <w:bookmarkStart w:id="0" w:name="_GoBack_Копия_1_Копия_1"/>
    <w:bookmarkStart w:id="1" w:name="_GoBack_Копия_1_Копия_1_Копия_1"/>
    <w:bookmarkEnd w:id="0"/>
    <w:bookmarkEnd w:id="1"/>
    <w:r>
      <w:rPr>
        <w:b w:val="false"/>
        <w:bCs w:val="false"/>
        <w:sz w:val="20"/>
        <w:szCs w:val="20"/>
        <w:lang w:val="ru-RU"/>
      </w:rPr>
      <w:t xml:space="preserve">в электронной форме лот № </w:t>
    </w:r>
    <w:r>
      <w:rPr>
        <w:rFonts w:eastAsia="Times New Roman" w:cs="Times New Roman"/>
        <w:b w:val="false"/>
        <w:bCs w:val="false"/>
        <w:color w:val="auto"/>
        <w:kern w:val="0"/>
        <w:sz w:val="20"/>
        <w:szCs w:val="20"/>
        <w:lang w:val="ru-RU" w:eastAsia="ru-RU" w:bidi="ar-SA"/>
      </w:rPr>
      <w:t>1026-ТПИР ОНМ-2026-ТК_Центр_фил</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left="8364" w:hanging="426"/>
      <w:rPr>
        <w:i/>
        <w:i/>
      </w:rPr>
    </w:pPr>
    <w:r>
      <w:rPr/>
      <w:t xml:space="preserve">ТФД № </w:t>
    </w:r>
    <w:r>
      <w:rPr>
        <w:lang w:val="en-US"/>
      </w:rPr>
      <w:t>2</w:t>
    </w:r>
    <w:r>
      <w:rPr/>
      <w:t>.2.3.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left="8364" w:hanging="426"/>
      <w:rPr>
        <w:i/>
        <w:i/>
      </w:rPr>
    </w:pPr>
    <w:r>
      <w:rPr/>
      <w:t xml:space="preserve">ТФД № </w:t>
    </w:r>
    <w:r>
      <w:rPr>
        <w:lang w:val="en-US"/>
      </w:rPr>
      <w:t>2</w:t>
    </w:r>
    <w:r>
      <w:rPr/>
      <w:t>.2.3.</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5">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6">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567"/>
        </w:tabs>
        <w:ind w:left="2705"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10"/>
  <w:defaultTabStop w:val="709"/>
  <w:autoHyphenation w:val="true"/>
  <w:evenAndOddHeaders/>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left="720" w:hanging="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www.cbr.ru/" TargetMode="External"/><Relationship Id="rId14" Type="http://schemas.openxmlformats.org/officeDocument/2006/relationships/hyperlink" Target="http://www.cbr.ru/" TargetMode="Externa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3.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Relationship Id="rId27" Type="http://schemas.openxmlformats.org/officeDocument/2006/relationships/customXml" Target="../customXml/item2.xml"/><Relationship Id="rId28" Type="http://schemas.openxmlformats.org/officeDocument/2006/relationships/customXml" Target="../customXml/item3.xml"/><Relationship Id="rId29"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65B2A2-ACFB-4F8A-9BA3-40ED531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AlterOffice/3.4.0.9$Linux_X86_64 LibreOffice_project/b8daf9e823b1a5463a2f48435ddc2e8696e7d4fc</Application>
  <AppVersion>15.0000</AppVersion>
  <Pages>26</Pages>
  <Words>9413</Words>
  <Characters>67407</Characters>
  <CharactersWithSpaces>76521</CharactersWithSpaces>
  <Paragraphs>431</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2026-09-03T12:10:00Z</dcterms:created>
  <dc:creator>tsypilev_ag</dc:creator>
  <dc:description/>
  <dc:language>ru-RU</dc:language>
  <cp:lastModifiedBy/>
  <cp:lastPrinted>2018-05-22T09:46:00Z</cp:lastPrinted>
  <dcterms:modified xsi:type="dcterms:W3CDTF">2026-09-04T10:44:53Z</dcterms:modified>
  <cp:revision>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