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header8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9.xml" ContentType="application/vnd.openxmlformats-officedocument.wordprocessingml.header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  <w:sz w:val="24"/>
          <w:szCs w:val="24"/>
        </w:rPr>
      </w:pPr>
      <w:bookmarkStart w:id="0" w:name="_Toc124336829"/>
      <w:r>
        <w:rPr>
          <w:b/>
          <w:sz w:val="24"/>
          <w:szCs w:val="24"/>
        </w:rPr>
        <w:t>ТЕХНИЧЕСКИЕ ТРЕБОВАНИЯ</w:t>
      </w:r>
      <w:bookmarkEnd w:id="0"/>
      <w:r>
        <w:rPr>
          <w:b/>
          <w:sz w:val="24"/>
          <w:szCs w:val="24"/>
        </w:rPr>
        <w:t xml:space="preserve"> НА ПОСТАВКУ МТР</w:t>
        <w:tab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right="-227" w:hanging="0"/>
        <w:jc w:val="center"/>
        <w:rPr/>
      </w:pPr>
      <w:r>
        <w:rPr>
          <w:rFonts w:eastAsia="Calibri"/>
          <w:b/>
        </w:rPr>
        <w:t xml:space="preserve">ОКПД2 28.30.23.110 Поставка трактора колесного </w:t>
      </w:r>
    </w:p>
    <w:p>
      <w:pPr>
        <w:pStyle w:val="Normal"/>
        <w:ind w:right="-227" w:hanging="0"/>
        <w:jc w:val="center"/>
        <w:rPr/>
      </w:pPr>
      <w:r>
        <w:rPr>
          <w:rFonts w:eastAsia="Calibri"/>
          <w:b/>
        </w:rPr>
        <w:t>для нужд Центрального филиала АО "ТК РусГидро"</w:t>
      </w:r>
    </w:p>
    <w:p>
      <w:pPr>
        <w:pStyle w:val="Normal"/>
        <w:jc w:val="center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ЛОТ: 1026-ТПИР ОНМ-2026-ТК_Центр_фил</w:t>
      </w:r>
    </w:p>
    <w:p>
      <w:pPr>
        <w:pStyle w:val="Normal"/>
        <w:keepNext w:val="true"/>
        <w:keepLines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50225_2708347841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0227_2708347841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0229_2708347841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0231_2708347841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50233_2708347841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50235_2708347841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2.1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50237_2708347841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50239_2708347841">
            <w:r>
              <w:rPr>
                <w:webHidden/>
                <w:rStyle w:val="Style14"/>
                <w:vanish w:val="false"/>
              </w:rPr>
              <w:t>Таблица 1.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50241_2708347841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продукции.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50243_2708347841">
            <w:r>
              <w:rPr>
                <w:webHidden/>
                <w:rStyle w:val="Style14"/>
                <w:vanish w:val="false"/>
              </w:rPr>
              <w:t>Таблица 2. Требования по срокам поставки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50245_2708347841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50249_2708347841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качеству продукции Наименование услуг/этапа услуг</w:t>
            </w:r>
          </w:hyperlink>
          <w:hyperlink w:anchor="__RefHeading___Toc50249_2708347841">
            <w:r>
              <w:rPr>
                <w:webHidden/>
                <w:rStyle w:val="Style14"/>
                <w:vanish w:val="false"/>
              </w:rPr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50255_2708347841">
            <w:r>
              <w:rPr>
                <w:webHidden/>
                <w:rStyle w:val="Style14"/>
                <w:vanish w:val="false"/>
              </w:rPr>
              <w:t>3.Требования к документации по ценообразованию на этапе закупки</w:t>
              <w:tab/>
              <w:t>12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0600_2252160145">
            <w:r>
              <w:rPr>
                <w:webHidden/>
                <w:rStyle w:val="Style14"/>
                <w:vanish w:val="false"/>
              </w:rPr>
              <w:t>4.  Приложения:</w:t>
              <w:tab/>
              <w:t>13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851" w:hanging="851"/>
        <w:rPr>
          <w:rFonts w:ascii="Times New Roman" w:hAnsi="Times New Roman"/>
          <w:sz w:val="24"/>
          <w:szCs w:val="24"/>
        </w:rPr>
      </w:pPr>
      <w:bookmarkStart w:id="1" w:name="__RefHeading___Toc50225_2708347841"/>
      <w:bookmarkStart w:id="2" w:name="_Toc51339692"/>
      <w:bookmarkStart w:id="3" w:name="_Toc146782761"/>
      <w:bookmarkEnd w:id="1"/>
      <w:r>
        <w:rPr>
          <w:sz w:val="24"/>
          <w:szCs w:val="24"/>
        </w:rPr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ind w:left="851" w:hanging="851"/>
        <w:rPr>
          <w:rFonts w:ascii="Times New Roman" w:hAnsi="Times New Roman"/>
          <w:sz w:val="24"/>
          <w:szCs w:val="24"/>
        </w:rPr>
      </w:pPr>
      <w:bookmarkStart w:id="4" w:name="__RefHeading___Toc50227_2708347841"/>
      <w:bookmarkStart w:id="5" w:name="_Toc46743505"/>
      <w:bookmarkStart w:id="6" w:name="_Toc146782762"/>
      <w:bookmarkEnd w:id="4"/>
      <w:r>
        <w:rPr>
          <w:sz w:val="24"/>
          <w:szCs w:val="24"/>
        </w:rPr>
        <w:t>Обозначения и сокращения</w:t>
      </w:r>
      <w:bookmarkEnd w:id="5"/>
      <w:bookmarkEnd w:id="6"/>
    </w:p>
    <w:p>
      <w:pPr>
        <w:pStyle w:val="Normal"/>
        <w:rPr>
          <w:rFonts w:ascii="Times New Roman" w:hAnsi="Times New Roman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8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644"/>
        <w:gridCol w:w="7206"/>
      </w:tblGrid>
      <w:tr>
        <w:trPr>
          <w:trHeight w:val="358" w:hRule="atLeast"/>
          <w:cantSplit w:val="true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АО «ТК РусГидро»</w:t>
            </w:r>
          </w:p>
        </w:tc>
        <w:tc>
          <w:tcPr>
            <w:tcW w:w="7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«Транспортная компания РусГидро»</w:t>
            </w:r>
          </w:p>
        </w:tc>
      </w:tr>
      <w:tr>
        <w:trPr>
          <w:cantSplit w:val="true"/>
        </w:trPr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ПСМ</w:t>
            </w:r>
          </w:p>
        </w:tc>
        <w:tc>
          <w:tcPr>
            <w:tcW w:w="7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самоходной машины</w:t>
            </w:r>
          </w:p>
        </w:tc>
      </w:tr>
      <w:tr>
        <w:trPr>
          <w:cantSplit w:val="true"/>
        </w:trPr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2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ОТТС</w:t>
            </w:r>
          </w:p>
        </w:tc>
        <w:tc>
          <w:tcPr>
            <w:tcW w:w="7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Одобрение типа транспортного средства</w:t>
            </w:r>
          </w:p>
        </w:tc>
      </w:tr>
    </w:tbl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left="851" w:hanging="851"/>
        <w:rPr>
          <w:rFonts w:ascii="Times New Roman" w:hAnsi="Times New Roman"/>
          <w:sz w:val="24"/>
          <w:szCs w:val="24"/>
        </w:rPr>
      </w:pPr>
      <w:bookmarkStart w:id="7" w:name="__RefHeading___Toc50229_2708347841"/>
      <w:bookmarkStart w:id="8" w:name="_Toc146782763"/>
      <w:bookmarkEnd w:id="7"/>
      <w:r>
        <w:rPr>
          <w:sz w:val="24"/>
          <w:szCs w:val="24"/>
        </w:rPr>
        <w:t>Наименование закупаемой продукции</w:t>
      </w:r>
      <w:bookmarkEnd w:id="8"/>
    </w:p>
    <w:p>
      <w:pPr>
        <w:pStyle w:val="Normal"/>
        <w:jc w:val="both"/>
        <w:rPr/>
      </w:pP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</w:rPr>
        <w:t>ОКПД2 28.30.23.110 Поставка трактора колесного для нужд Центрального филиала АО "ТК РусГидро"</w:t>
      </w:r>
    </w:p>
    <w:p>
      <w:pPr>
        <w:pStyle w:val="Heading4"/>
        <w:numPr>
          <w:ilvl w:val="1"/>
          <w:numId w:val="3"/>
        </w:numPr>
        <w:ind w:left="851" w:hanging="851"/>
        <w:rPr>
          <w:rFonts w:ascii="Times New Roman" w:hAnsi="Times New Roman"/>
          <w:sz w:val="24"/>
          <w:szCs w:val="24"/>
        </w:rPr>
      </w:pPr>
      <w:bookmarkStart w:id="9" w:name="__RefHeading___Toc50231_2708347841"/>
      <w:bookmarkStart w:id="10" w:name="_Toc146782764"/>
      <w:bookmarkStart w:id="11" w:name="_Toc46743507"/>
      <w:bookmarkEnd w:id="9"/>
      <w:r>
        <w:rPr>
          <w:sz w:val="24"/>
          <w:szCs w:val="24"/>
        </w:rPr>
        <w:t xml:space="preserve">Цель </w:t>
      </w:r>
      <w:bookmarkEnd w:id="11"/>
      <w:r>
        <w:rPr>
          <w:sz w:val="24"/>
          <w:szCs w:val="24"/>
        </w:rPr>
        <w:t>использования закупаемой продукции</w:t>
      </w:r>
      <w:bookmarkEnd w:id="10"/>
      <w:r>
        <w:rPr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4"/>
          <w:szCs w:val="24"/>
        </w:rPr>
        <w:t>В целях исполнения взятых на себя обязательств по своевременному и качественному оказанию услуг по доходным договорам, заключенным между ПАО «РусГидро» и АО «ТК РусГидро».</w:t>
      </w:r>
    </w:p>
    <w:p>
      <w:pPr>
        <w:pStyle w:val="Heading1"/>
        <w:numPr>
          <w:ilvl w:val="0"/>
          <w:numId w:val="3"/>
        </w:numPr>
        <w:spacing w:lineRule="auto" w:line="240"/>
        <w:ind w:left="0" w:hanging="0"/>
        <w:rPr>
          <w:rFonts w:ascii="Times New Roman" w:hAnsi="Times New Roman"/>
          <w:sz w:val="24"/>
          <w:szCs w:val="24"/>
        </w:rPr>
      </w:pPr>
      <w:bookmarkStart w:id="12" w:name="__RefHeading___Toc50233_2708347841"/>
      <w:bookmarkStart w:id="13" w:name="_Toc146782765"/>
      <w:bookmarkStart w:id="14" w:name="_Toc51339693"/>
      <w:bookmarkStart w:id="15" w:name="_Toc124170681"/>
      <w:bookmarkEnd w:id="12"/>
      <w:r>
        <w:rPr>
          <w:sz w:val="24"/>
          <w:szCs w:val="24"/>
        </w:rPr>
        <w:t>Требования к продукции</w:t>
      </w:r>
      <w:bookmarkEnd w:id="13"/>
      <w:bookmarkEnd w:id="14"/>
      <w:bookmarkEnd w:id="15"/>
    </w:p>
    <w:p>
      <w:pPr>
        <w:pStyle w:val="Heading4"/>
        <w:tabs>
          <w:tab w:val="clear" w:pos="0"/>
          <w:tab w:val="left" w:pos="851" w:leader="none"/>
        </w:tabs>
        <w:spacing w:lineRule="auto" w:line="240"/>
        <w:ind w:left="-425" w:hanging="0"/>
        <w:rPr>
          <w:rFonts w:ascii="Times New Roman" w:hAnsi="Times New Roman"/>
          <w:sz w:val="24"/>
          <w:szCs w:val="24"/>
        </w:rPr>
      </w:pPr>
      <w:bookmarkStart w:id="16" w:name="__RefHeading___Toc50235_2708347841"/>
      <w:bookmarkEnd w:id="16"/>
      <w:r>
        <w:rPr>
          <w:sz w:val="24"/>
          <w:szCs w:val="24"/>
          <w:lang w:val="ru-RU"/>
        </w:rPr>
        <w:t xml:space="preserve">       </w:t>
      </w:r>
      <w:bookmarkStart w:id="17" w:name="_Toc146782766"/>
      <w:r>
        <w:rPr>
          <w:sz w:val="24"/>
          <w:szCs w:val="24"/>
          <w:lang w:val="ru-RU"/>
        </w:rPr>
        <w:t xml:space="preserve">2.1      </w:t>
      </w:r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17"/>
    </w:p>
    <w:p>
      <w:pPr>
        <w:pStyle w:val="Heading3"/>
        <w:numPr>
          <w:ilvl w:val="2"/>
          <w:numId w:val="3"/>
        </w:numPr>
        <w:spacing w:lineRule="auto" w:line="240"/>
        <w:ind w:left="851" w:hanging="851"/>
        <w:rPr>
          <w:rFonts w:ascii="Times New Roman" w:hAnsi="Times New Roman"/>
          <w:sz w:val="24"/>
          <w:szCs w:val="24"/>
        </w:rPr>
      </w:pPr>
      <w:bookmarkStart w:id="18" w:name="__RefHeading___Toc50237_2708347841"/>
      <w:bookmarkStart w:id="19" w:name="_Toc146782767"/>
      <w:bookmarkEnd w:id="18"/>
      <w:r>
        <w:rPr>
          <w:sz w:val="24"/>
          <w:szCs w:val="24"/>
        </w:rPr>
        <w:t>Перечень и объем закупаемой продукции</w:t>
      </w:r>
      <w:bookmarkEnd w:id="19"/>
    </w:p>
    <w:p>
      <w:pPr>
        <w:pStyle w:val="Heading1"/>
        <w:tabs>
          <w:tab w:val="clear" w:pos="0"/>
        </w:tabs>
        <w:spacing w:lineRule="auto" w:line="240"/>
        <w:ind w:left="0" w:hanging="0"/>
        <w:rPr>
          <w:rFonts w:ascii="Times New Roman" w:hAnsi="Times New Roman"/>
          <w:sz w:val="24"/>
          <w:szCs w:val="24"/>
        </w:rPr>
      </w:pPr>
      <w:bookmarkStart w:id="20" w:name="__RefHeading___Toc50239_2708347841"/>
      <w:bookmarkStart w:id="21" w:name="_Toc146782768"/>
      <w:bookmarkStart w:id="22" w:name="_Toc51339695"/>
      <w:bookmarkEnd w:id="20"/>
      <w:r>
        <w:rPr>
          <w:sz w:val="24"/>
          <w:szCs w:val="24"/>
        </w:rPr>
        <w:t xml:space="preserve">Таблица 1. Перечень </w:t>
      </w:r>
      <w:bookmarkEnd w:id="22"/>
      <w:r>
        <w:rPr>
          <w:sz w:val="24"/>
          <w:szCs w:val="24"/>
        </w:rPr>
        <w:t>и объем закупаемой продукции</w:t>
      </w:r>
      <w:bookmarkEnd w:id="21"/>
    </w:p>
    <w:tbl>
      <w:tblPr>
        <w:tblW w:w="10150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5"/>
        <w:gridCol w:w="3175"/>
        <w:gridCol w:w="3913"/>
        <w:gridCol w:w="1237"/>
        <w:gridCol w:w="1150"/>
      </w:tblGrid>
      <w:tr>
        <w:trPr>
          <w:tblHeader w:val="true"/>
          <w:trHeight w:val="675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Тип, марка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34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5</w:t>
            </w:r>
          </w:p>
        </w:tc>
      </w:tr>
      <w:tr>
        <w:trPr>
          <w:trHeight w:val="34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57" w:right="0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Трактор колесный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Беларус 82.1 или эквивалент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41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right="-22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Фронтальный навесной погрузчик </w:t>
            </w:r>
          </w:p>
        </w:tc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7" w:right="283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«Universal Standard» </w:t>
            </w:r>
            <w:r>
              <w:rPr>
                <w:sz w:val="24"/>
                <w:szCs w:val="24"/>
              </w:rPr>
              <w:t>или эквивалент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left="57"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5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4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ind w:right="-22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Коммунальный отвал </w:t>
            </w:r>
            <w:r>
              <w:rPr>
                <w:sz w:val="24"/>
                <w:szCs w:val="24"/>
              </w:rPr>
              <w:t>на погрузчик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7" w:right="227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Совместимость </w:t>
            </w:r>
            <w:r>
              <w:rPr>
                <w:sz w:val="24"/>
                <w:szCs w:val="24"/>
              </w:rPr>
              <w:t xml:space="preserve">с фронтальным навесным </w:t>
            </w: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огрузчик</w:t>
            </w:r>
            <w:r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Universal Standart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left="57"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4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right="-22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Ковш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фронтальный погрузчик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7" w:right="113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 с фронтальным навесным погрузчиком Universal Standart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left="57"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4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right="-227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Щеточное оборудование 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7" w:right="113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МК-4.1 или эквивалент. </w:t>
            </w:r>
            <w:r>
              <w:rPr>
                <w:sz w:val="24"/>
                <w:szCs w:val="24"/>
              </w:rPr>
              <w:t>Совместимость с Беларус 82.1 или эквивалент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left="57"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41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7" w:right="113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навесного фронтального погрузчика</w:t>
            </w:r>
          </w:p>
        </w:tc>
        <w:tc>
          <w:tcPr>
            <w:tcW w:w="39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57" w:right="113"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left="57" w:right="5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усл.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ind w:left="851" w:hanging="851"/>
        <w:rPr>
          <w:rFonts w:ascii="Times New Roman" w:hAnsi="Times New Roman"/>
          <w:sz w:val="24"/>
          <w:szCs w:val="24"/>
        </w:rPr>
      </w:pPr>
      <w:bookmarkStart w:id="23" w:name="__RefHeading___Toc50241_2708347841"/>
      <w:bookmarkStart w:id="24" w:name="_Toc51339696"/>
      <w:bookmarkStart w:id="25" w:name="_Toc146782769"/>
      <w:bookmarkEnd w:id="23"/>
      <w:r>
        <w:rPr>
          <w:sz w:val="24"/>
          <w:szCs w:val="24"/>
        </w:rPr>
        <w:t xml:space="preserve">Требования </w:t>
      </w:r>
      <w:bookmarkEnd w:id="24"/>
      <w:r>
        <w:rPr>
          <w:sz w:val="24"/>
          <w:szCs w:val="24"/>
        </w:rPr>
        <w:t>к срокам поставки продукции</w:t>
      </w:r>
      <w:bookmarkEnd w:id="25"/>
      <w:r>
        <w:rPr>
          <w:sz w:val="24"/>
          <w:szCs w:val="24"/>
        </w:rPr>
        <w:t>.</w:t>
      </w:r>
    </w:p>
    <w:p>
      <w:pPr>
        <w:pStyle w:val="Heading1"/>
        <w:tabs>
          <w:tab w:val="clear" w:pos="0"/>
        </w:tabs>
        <w:ind w:left="0" w:hanging="0"/>
        <w:rPr>
          <w:rFonts w:ascii="Times New Roman" w:hAnsi="Times New Roman"/>
          <w:sz w:val="24"/>
          <w:szCs w:val="24"/>
        </w:rPr>
      </w:pPr>
      <w:bookmarkStart w:id="26" w:name="__RefHeading___Toc50243_2708347841"/>
      <w:bookmarkStart w:id="27" w:name="_Toc146782770"/>
      <w:bookmarkStart w:id="28" w:name="_Toc51339697"/>
      <w:bookmarkStart w:id="29" w:name="_Toc50125127"/>
      <w:bookmarkStart w:id="30" w:name="_Toc501251261"/>
      <w:bookmarkEnd w:id="26"/>
      <w:bookmarkEnd w:id="30"/>
      <w:r>
        <w:rPr>
          <w:sz w:val="24"/>
          <w:szCs w:val="24"/>
        </w:rPr>
        <w:t xml:space="preserve">Таблица 2. 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</w:rPr>
        <w:t>поставки продукции</w:t>
      </w:r>
      <w:bookmarkEnd w:id="27"/>
      <w:r>
        <w:rPr>
          <w:sz w:val="24"/>
          <w:szCs w:val="24"/>
        </w:rPr>
        <w:t xml:space="preserve"> </w:t>
      </w:r>
    </w:p>
    <w:tbl>
      <w:tblPr>
        <w:tblW w:w="10159" w:type="dxa"/>
        <w:jc w:val="left"/>
        <w:tblInd w:w="-2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35"/>
        <w:gridCol w:w="3384"/>
        <w:gridCol w:w="2794"/>
        <w:gridCol w:w="3245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ОКПД2 28.30.23.110 Поставка трактора колесного для нужд Центрального филиала АО "ТК РусГидро"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выплаты авансового платежа.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20 календарны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 дней с даты получения авансового платежа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bookmarkStart w:id="34" w:name="__RefHeading___Toc50245_2708347841"/>
      <w:bookmarkStart w:id="35" w:name="_Toc46743511_Копия_2"/>
      <w:bookmarkStart w:id="36" w:name="_Toc146782771_Копия_1"/>
      <w:bookmarkEnd w:id="34"/>
      <w:r>
        <w:rPr>
          <w:sz w:val="24"/>
          <w:szCs w:val="24"/>
        </w:rPr>
        <w:t xml:space="preserve">Требования </w:t>
      </w:r>
      <w:bookmarkEnd w:id="35"/>
      <w:bookmarkEnd w:id="36"/>
      <w:r>
        <w:rPr>
          <w:sz w:val="24"/>
          <w:szCs w:val="24"/>
        </w:rPr>
        <w:t xml:space="preserve">к </w:t>
      </w:r>
      <w:r>
        <w:rPr>
          <w:sz w:val="24"/>
          <w:szCs w:val="24"/>
          <w:lang w:val="ru-RU"/>
        </w:rPr>
        <w:t>качеству продукции</w:t>
      </w:r>
    </w:p>
    <w:p>
      <w:pPr>
        <w:pStyle w:val="Heading1"/>
        <w:tabs>
          <w:tab w:val="clear" w:pos="0"/>
        </w:tabs>
        <w:ind w:left="0" w:hanging="0"/>
        <w:rPr>
          <w:rFonts w:ascii="Times New Roman" w:hAnsi="Times New Roman"/>
          <w:sz w:val="24"/>
          <w:szCs w:val="24"/>
        </w:rPr>
      </w:pPr>
      <w:bookmarkStart w:id="37" w:name="__RefHeading___Toc50249_2708347841"/>
      <w:bookmarkStart w:id="38" w:name="_Toc128412774"/>
      <w:bookmarkStart w:id="39" w:name="_Toc146782772"/>
      <w:bookmarkEnd w:id="37"/>
      <w:r>
        <w:rPr>
          <w:sz w:val="24"/>
          <w:szCs w:val="24"/>
        </w:rPr>
        <w:t xml:space="preserve">Таблица 3.1. </w:t>
      </w:r>
      <w:bookmarkEnd w:id="38"/>
      <w:bookmarkEnd w:id="39"/>
      <w:r>
        <w:rPr>
          <w:sz w:val="24"/>
          <w:szCs w:val="24"/>
          <w:lang w:val="ru-RU"/>
        </w:rPr>
        <w:t xml:space="preserve">Требования к качеству продукции </w:t>
        <w:br/>
      </w:r>
      <w:r>
        <w:rPr>
          <w:bCs/>
          <w:sz w:val="24"/>
          <w:szCs w:val="24"/>
          <w:lang w:val="ru-RU"/>
        </w:rPr>
        <w:t xml:space="preserve">Наименование услуг/этапа услуг (позиция </w:t>
      </w:r>
      <w:r>
        <w:rPr>
          <w:bCs/>
          <w:color w:val="000000"/>
          <w:sz w:val="24"/>
          <w:szCs w:val="24"/>
          <w:lang w:val="ru-RU"/>
        </w:rPr>
        <w:t>№ 1 Таб</w:t>
      </w:r>
      <w:r>
        <w:rPr>
          <w:bCs/>
          <w:sz w:val="24"/>
          <w:szCs w:val="24"/>
          <w:lang w:val="ru-RU"/>
        </w:rPr>
        <w:t xml:space="preserve">лицы 1.): </w:t>
      </w:r>
      <w:r>
        <w:rPr>
          <w:b/>
          <w:bCs/>
          <w:sz w:val="24"/>
          <w:szCs w:val="24"/>
          <w:lang w:val="ru-RU"/>
        </w:rPr>
        <w:t>Трактор колесный. Беларус 82.1 или эквивалент.</w:t>
      </w:r>
    </w:p>
    <w:p>
      <w:pPr>
        <w:pStyle w:val="Heading1"/>
        <w:tabs>
          <w:tab w:val="clear" w:pos="0"/>
        </w:tabs>
        <w:ind w:left="0" w:hanging="0"/>
        <w:rPr>
          <w:rFonts w:ascii="Times New Roman" w:hAnsi="Times New Roman"/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1487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51"/>
        <w:gridCol w:w="2930"/>
        <w:gridCol w:w="7"/>
        <w:gridCol w:w="4104"/>
        <w:gridCol w:w="2975"/>
        <w:gridCol w:w="2268"/>
        <w:gridCol w:w="1843"/>
      </w:tblGrid>
      <w:tr>
        <w:trPr>
          <w:trHeight w:val="628" w:hRule="atLeast"/>
        </w:trPr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параметра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Требования заказчика*</w:t>
            </w:r>
          </w:p>
        </w:tc>
        <w:tc>
          <w:tcPr>
            <w:tcW w:w="5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28" w:hRule="atLeast"/>
        </w:trPr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9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628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>
          <w:trHeight w:val="628" w:hRule="atLeast"/>
        </w:trPr>
        <w:tc>
          <w:tcPr>
            <w:tcW w:w="7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>
          <w:trHeight w:val="628" w:hRule="atLeast"/>
        </w:trPr>
        <w:tc>
          <w:tcPr>
            <w:tcW w:w="7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Марка, модель и модификация предлагаемого транспортного средства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280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7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Размеры и вес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Длина, мм 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 3900 до 4000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en-US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Ширина 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 1960 до 2000 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en-US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Высота по кабине,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От 2750 до 2850 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en-US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Эксплуатационная масса, кг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От 3900 до 4100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en-US"/>
              </w:rPr>
              <w:t>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База трактора, мм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 2400 до 2500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en-US"/>
              </w:rPr>
              <w:t>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1.1.6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Дорожный просвет,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465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  <w:lang w:eastAsia="en-US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51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7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Двигатель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Максимальная мощность, кВт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81</w:t>
            </w:r>
            <w:r>
              <w:rPr>
                <w:rFonts w:eastAsia="Calibri"/>
                <w:sz w:val="24"/>
                <w:szCs w:val="24"/>
                <w:lang w:eastAsia="en-US"/>
              </w:rPr>
              <w:t>,</w:t>
            </w:r>
            <w:r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1.2.2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Рабочий объем двигателя, см</w:t>
            </w:r>
            <w:r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4700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1.2.3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Тип двигателя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Дизельный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1.2.4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Экологический класс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Не ниже Stage </w:t>
            </w: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1.2.5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цилиндров, шт.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Потребление топлива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1.3.1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Вид топлива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Дизельное </w:t>
            </w:r>
            <w:r>
              <w:rPr>
                <w:rFonts w:eastAsia="Calibri"/>
                <w:sz w:val="24"/>
                <w:szCs w:val="24"/>
                <w:lang w:eastAsia="en-US"/>
              </w:rPr>
              <w:t>топливо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1.3.2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Емкость топливных баков, л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130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Трансмиссия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1.4.1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Тип коробки передач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Механическая с понижающим редуктором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1.4.2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Колесная формула/привод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4х4 / полный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привод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1.4.3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Число передач КПП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18-ти передач вперед и 4-х передач назад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Рулевое управление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1.5.1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Тип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 гидроусилителем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Гидронавесная система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1.6.1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Тип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Универсальная, раздельно-агрегатная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1.6.2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Емкость бака гидросистемы, л.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25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1.6.3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Объемная подача насоса при номинальной частоте вращения коленвала, л/мин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45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Вал отбора мощности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1.7.1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Задний ВОМ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Наличие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1.7.2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Тип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  <w:lang w:eastAsia="en-US"/>
              </w:rPr>
              <w:t>Независимый двухскоростной с гидромеханической системой управления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1.8</w:t>
            </w:r>
          </w:p>
        </w:tc>
        <w:tc>
          <w:tcPr>
            <w:tcW w:w="7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Колеса и шины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1.8.1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Размер шин передних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shd w:fill="FFFFFF" w:val="clear"/>
              </w:rPr>
              <w:t>1</w:t>
            </w:r>
            <w:r>
              <w:rPr>
                <w:rFonts w:eastAsia="Calibri"/>
                <w:sz w:val="24"/>
                <w:szCs w:val="24"/>
                <w:shd w:fill="FFFFFF" w:val="clear"/>
                <w:lang w:eastAsia="en-US"/>
              </w:rPr>
              <w:t>1,2R20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trike/>
                <w:sz w:val="24"/>
                <w:szCs w:val="24"/>
                <w:lang w:eastAsia="en-US"/>
              </w:rPr>
            </w:pPr>
            <w:r>
              <w:rPr>
                <w:rFonts w:eastAsia="Calibri"/>
                <w:strike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1.8.2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Размер шин задних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fill="FFFFFF" w:val="clear"/>
                <w:lang w:eastAsia="en-US"/>
              </w:rPr>
              <w:t>15,5R38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7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Скорость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374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1.9.1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Скорость вперед, км/ч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менее 20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479" w:hRule="atLeast"/>
        </w:trPr>
        <w:tc>
          <w:tcPr>
            <w:tcW w:w="7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120"/>
              <w:rPr>
                <w:rFonts w:ascii="Times New Roman" w:hAnsi="Times New Roman"/>
                <w:sz w:val="24"/>
                <w:szCs w:val="24"/>
              </w:rPr>
            </w:pPr>
            <w:bookmarkStart w:id="40" w:name="__RefHeading___Toc50253_2708347841"/>
            <w:bookmarkEnd w:id="40"/>
            <w:r>
              <w:rPr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  <w:lang w:eastAsia="en-US"/>
              </w:rPr>
              <w:t xml:space="preserve">2. </w:t>
            </w:r>
            <w:bookmarkStart w:id="41" w:name="_Toc146782774"/>
            <w:r>
              <w:rPr>
                <w:b/>
                <w:bCs/>
                <w:iCs/>
                <w:sz w:val="24"/>
                <w:szCs w:val="24"/>
                <w:lang w:eastAsia="en-US"/>
              </w:rPr>
              <w:t>Требования к безопасности</w:t>
            </w:r>
            <w:bookmarkEnd w:id="41"/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7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Поставляем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  <w:t>ый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  <w:t>т</w:t>
            </w:r>
            <w:r>
              <w:rPr>
                <w:rFonts w:eastAsia="Calibri"/>
                <w:iCs/>
                <w:sz w:val="24"/>
                <w:szCs w:val="24"/>
                <w:lang w:eastAsia="en-US"/>
              </w:rPr>
              <w:t>рактор должен иметь действующий сертификат соответствия требованиям технического регламента Таможенного союза ТР ТС 031/2012 „О безопасности сельскохозяйственных и лесохозяйственных тракторов и прицепов к ним“. Сертификат должен быть выдан аккредитованным органом по сертификации, включённым в Единый реестр органов по оценке соответствия Евразийского экономического союза, на срок действия не менее срока службы трактора. В комплекте документов на поставку должен быть представлен оригинал сертификата соответствия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Участник должен предоставить в составе заявки действующий сертификат/декларацию, выдан</w:t>
            </w:r>
            <w:r>
              <w:rPr>
                <w:rFonts w:eastAsia="Calibri" w:cs="Times New Roman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ый</w:t>
            </w:r>
            <w:r>
              <w:rPr>
                <w:rFonts w:eastAsia="Calibri" w:cs="Times New Roman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 аккредитованным органом по сертификации, включённым в Единый реестр органов по оценке соответствия Евразийского экономического союза PortableDocumentFormat (*.pdf)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7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конструкции, изготовлению и материалам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459" w:hRule="atLeast"/>
        </w:trPr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2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поставки на ТС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Паспорт самоходной машины ПСМ (выписка ЭПСМ)</w:t>
            </w:r>
          </w:p>
        </w:tc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705" w:hRule="atLeast"/>
        </w:trPr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Инструкция по эксплуатации, сервисная книжка.</w:t>
            </w:r>
          </w:p>
        </w:tc>
        <w:tc>
          <w:tcPr>
            <w:tcW w:w="29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404" w:hRule="atLeast"/>
        </w:trPr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Знак аварийной остановки.</w:t>
            </w:r>
          </w:p>
        </w:tc>
        <w:tc>
          <w:tcPr>
            <w:tcW w:w="29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34" w:leader="none"/>
              </w:tabs>
              <w:ind w:lef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Медицинская автоаптечка (в соответствии с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0"/>
                <w:sz w:val="24"/>
                <w:szCs w:val="24"/>
                <w:u w:val="none"/>
                <w:em w:val="none"/>
              </w:rPr>
              <w:t>Приказом Министерства здравоохранения Российской федерации от 24 мая 2024 года № 260н «Об утверждении к комплектации аптечки для оказания первой помощи с применением медицинских изделий пострадавшим в дорожно-транспортных происшествиях (автомобильной)» (в действующей редакции).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63" w:leader="none"/>
                <w:tab w:val="left" w:pos="884" w:leader="none"/>
                <w:tab w:val="left" w:pos="1323" w:leader="none"/>
                <w:tab w:val="left" w:pos="176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Огнетушитель (регламентированного образца согласно ГОСТ Р 59641-2021 «Средства противопожарной защиты зданий и сооружений. Средства первичные пожаротушения. Руководство по размещению, техническому обслуживанию и ремонту. Методы испытаний на работоспособность», утвержденный Приказом Федерального агентства по техническому регулированию и метрологии от 24 августа 2021 г. N 794-ст)( в действующей редакции) — 1 шт. (ОП-2).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317" w:leader="none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lang w:eastAsia="en-US"/>
              </w:rPr>
              <w:t>Комплект запчастей, инструментов, принадлежностей и расходных материалов (ЗИП) в соответствии с комплектовочными ведомостями (или упаковочными листами) завода-изготовителя.</w:t>
            </w:r>
          </w:p>
        </w:tc>
        <w:tc>
          <w:tcPr>
            <w:tcW w:w="29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51"/>
              <w:widowControl w:val="false"/>
              <w:numPr>
                <w:ilvl w:val="0"/>
                <w:numId w:val="0"/>
              </w:numPr>
              <w:snapToGrid w:val="false"/>
              <w:ind w:left="0" w:right="0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7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4.1.</w:t>
            </w:r>
          </w:p>
        </w:tc>
        <w:tc>
          <w:tcPr>
            <w:tcW w:w="293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Климатические условия эксплуатации и прочие требования к продукции</w:t>
            </w:r>
          </w:p>
        </w:tc>
        <w:tc>
          <w:tcPr>
            <w:tcW w:w="4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ТС</w:t>
            </w:r>
            <w:r>
              <w:rPr>
                <w:sz w:val="24"/>
                <w:szCs w:val="24"/>
              </w:rPr>
              <w:t xml:space="preserve"> должно быть рассчитано на эксплуатацию при рабочих температурах окружающего воздуха от - 40 до + 40 °С.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5. 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Место</w:t>
            </w:r>
            <w:r>
              <w:rPr>
                <w:rFonts w:eastAsia="Calibri"/>
                <w:sz w:val="24"/>
                <w:szCs w:val="24"/>
                <w:lang w:val="x-none" w:eastAsia="en-US"/>
              </w:rPr>
              <w:t xml:space="preserve"> поставки продукции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152917, Российская Федерация, Ярославская обл., г. Рыбинск, ул. Вяземского д.31.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Способ доставки до места поставки (получения)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Доставка осуществляется силами Поставщика:</w:t>
            </w:r>
          </w:p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1) Способом, исключающим движение ТС своим ходом.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2) При поступлении ТС на склад Покупателя,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наработка счетчике моточасов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не долж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на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превышать 50 м/ч.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Требования к предпродажной подготовке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Поставщику необходимо выполнить предпродажную подготовку (протяжка, проверка всех уровней жидкостей). Подтверждается отметкой в сервисной книжке либо заказ-нарядом, актом выполненных работ по предпродажному обслуживанию на любом авторизованном техническом центре.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6. 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эксплуатации, обеспечению и утилизации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Продукция должна быть новой и ранее не использовавшейся.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Год изготовления товара – не ранее 2026.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Срок гарантии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Гарантийный срок на Товар, поставленный по Договору, составляет </w:t>
            </w:r>
            <w:r>
              <w:rPr>
                <w:rFonts w:eastAsia="Calibri"/>
                <w:sz w:val="24"/>
                <w:szCs w:val="24"/>
                <w:highlight w:val="lightGray"/>
                <w:lang w:eastAsia="en-US"/>
              </w:rPr>
              <w:t>12 (месяцев)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месяцев или 1 000 м/ч, в зависимости от того, что наступит раньше и начинает течь с даты подписания Сторонами Накладной ТОРГ-12/УПД. Гарантийный срок может быть продлен в соответствии с условиями Договора.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70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color w:val="2C2D2E"/>
                <w:sz w:val="24"/>
                <w:szCs w:val="24"/>
              </w:rPr>
              <w:t>Прочие (дополнительные) требования к продукции)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839" w:hRule="atLeast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color w:val="2C2D2E"/>
                <w:sz w:val="24"/>
                <w:szCs w:val="24"/>
              </w:rPr>
              <w:t>Подтверждение происхождения товаров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Национальный режим предоставляется.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Поставка по лоту 1026-ТПИР ОНМ-2026-ТК_Центр_фил, включена в допустимый диапазон в размере 50 % закупок, не входящих в объем минимальной обязательной доли закупок товаров российского происхождения (50%) по ОКПД 2 28.30.23.110 согласно приложения № 3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Heading1"/>
        <w:tabs>
          <w:tab w:val="clear" w:pos="0"/>
        </w:tabs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  <w:lang w:val="ru-RU"/>
        </w:rPr>
        <w:t xml:space="preserve">* </w:t>
      </w:r>
      <w:r>
        <w:rPr>
          <w:b w:val="false"/>
          <w:bCs w:val="false"/>
          <w:sz w:val="24"/>
          <w:szCs w:val="24"/>
          <w:lang w:val="ru-RU"/>
        </w:rPr>
        <w:t>Указанные в настоящем ТТ ссылки на ТУ, марку (тип) продукции носят описательный, а не обязательный характер.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Heading1"/>
        <w:tabs>
          <w:tab w:val="clear" w:pos="0"/>
        </w:tabs>
        <w:ind w:left="0" w:hanging="0"/>
        <w:rPr>
          <w:rFonts w:ascii="Times New Roman" w:hAnsi="Times New Roman"/>
          <w:sz w:val="24"/>
          <w:szCs w:val="24"/>
        </w:rPr>
      </w:pPr>
      <w:bookmarkStart w:id="42" w:name="_Toc128412774_Копия_1"/>
      <w:bookmarkStart w:id="43" w:name="_Toc146782772_Копия_1"/>
      <w:r>
        <w:rPr>
          <w:sz w:val="24"/>
          <w:szCs w:val="24"/>
          <w:lang w:val="ru-RU"/>
        </w:rPr>
        <w:t xml:space="preserve">Таблица 3.2. </w:t>
      </w:r>
      <w:bookmarkEnd w:id="42"/>
      <w:bookmarkEnd w:id="43"/>
      <w:r>
        <w:rPr>
          <w:sz w:val="24"/>
          <w:szCs w:val="24"/>
          <w:lang w:val="ru-RU"/>
        </w:rPr>
        <w:t xml:space="preserve">Требования к качеству продукции </w:t>
        <w:br/>
      </w:r>
      <w:r>
        <w:rPr>
          <w:bCs/>
          <w:sz w:val="24"/>
          <w:szCs w:val="24"/>
          <w:lang w:val="ru-RU"/>
        </w:rPr>
        <w:t xml:space="preserve">Наименование услуг/этапа услуг (позиция </w:t>
      </w:r>
      <w:r>
        <w:rPr>
          <w:bCs/>
          <w:color w:val="000000"/>
          <w:sz w:val="24"/>
          <w:szCs w:val="24"/>
          <w:lang w:val="ru-RU"/>
        </w:rPr>
        <w:t>№ 2 Таб</w:t>
      </w:r>
      <w:r>
        <w:rPr>
          <w:bCs/>
          <w:sz w:val="24"/>
          <w:szCs w:val="24"/>
          <w:lang w:val="ru-RU"/>
        </w:rPr>
        <w:t xml:space="preserve">лицы 1.): Фронтальный навесной погрузчик </w:t>
      </w:r>
    </w:p>
    <w:p>
      <w:pPr>
        <w:pStyle w:val="Normal"/>
        <w:tabs>
          <w:tab w:val="clear" w:pos="708"/>
        </w:tabs>
        <w:ind w:left="0" w:hanging="0"/>
        <w:rPr>
          <w:rFonts w:ascii="Times New Roman" w:hAnsi="Times New Roman"/>
          <w:sz w:val="24"/>
          <w:szCs w:val="24"/>
        </w:rPr>
      </w:pPr>
      <w:r>
        <w:rPr/>
      </w:r>
    </w:p>
    <w:tbl>
      <w:tblPr>
        <w:tblW w:w="1487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10"/>
        <w:gridCol w:w="2771"/>
        <w:gridCol w:w="7"/>
        <w:gridCol w:w="4104"/>
        <w:gridCol w:w="3260"/>
        <w:gridCol w:w="1983"/>
        <w:gridCol w:w="1844"/>
      </w:tblGrid>
      <w:tr>
        <w:trPr>
          <w:trHeight w:val="628" w:hRule="atLeast"/>
        </w:trPr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параметра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Требования заказчика</w:t>
            </w:r>
          </w:p>
        </w:tc>
        <w:tc>
          <w:tcPr>
            <w:tcW w:w="5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28" w:hRule="atLeast"/>
        </w:trPr>
        <w:tc>
          <w:tcPr>
            <w:tcW w:w="9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628" w:hRule="atLeast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>
          <w:trHeight w:val="840" w:hRule="atLeast"/>
        </w:trPr>
        <w:tc>
          <w:tcPr>
            <w:tcW w:w="7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 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>
          <w:trHeight w:val="386" w:hRule="atLeast"/>
        </w:trPr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rFonts w:ascii="Times New Roman" w:hAnsi="Times New Roman"/>
                <w:sz w:val="24"/>
                <w:szCs w:val="24"/>
              </w:rPr>
            </w:pPr>
            <w:bookmarkStart w:id="44" w:name="__RefHeading___Toc50251_2708347841_Копия"/>
            <w:bookmarkStart w:id="45" w:name="_Toc146782773_Копия_1_Копия_1_Копия_1_Ко"/>
            <w:bookmarkEnd w:id="44"/>
            <w:r>
              <w:rPr>
                <w:b/>
                <w:bCs/>
                <w:sz w:val="24"/>
                <w:szCs w:val="24"/>
              </w:rPr>
              <w:t>1.1. Общие технические данные</w:t>
            </w:r>
            <w:bookmarkEnd w:id="45"/>
          </w:p>
        </w:tc>
      </w:tr>
      <w:tr>
        <w:trPr>
          <w:trHeight w:val="280" w:hRule="atLeast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Тип базового трактора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МТЗ 82.1 или  эквивалент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1.1.2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«Universal Standard» или эквивалент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Привод 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Гидравлический привод </w:t>
            </w:r>
            <w:r>
              <w:rPr>
                <w:iCs/>
                <w:sz w:val="24"/>
                <w:szCs w:val="24"/>
              </w:rPr>
              <w:t xml:space="preserve">от </w:t>
            </w:r>
            <w:r>
              <w:rPr>
                <w:iCs/>
                <w:sz w:val="24"/>
                <w:szCs w:val="24"/>
              </w:rPr>
              <w:t>трактора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Грузоподъемность, кг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Не менее </w:t>
            </w:r>
            <w:r>
              <w:rPr>
                <w:iCs/>
                <w:sz w:val="24"/>
                <w:szCs w:val="24"/>
              </w:rPr>
              <w:t>1200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1.1.6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асса, кг 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Не </w:t>
            </w:r>
            <w:r>
              <w:rPr>
                <w:iCs/>
                <w:sz w:val="24"/>
                <w:szCs w:val="24"/>
              </w:rPr>
              <w:t>менее 620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требованиями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1.1.7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ранспортная скорость, км/ч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20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конструкции, изготовлению и материалам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7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поставки оборудования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 </w:t>
            </w:r>
          </w:p>
        </w:tc>
        <w:tc>
          <w:tcPr>
            <w:tcW w:w="32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Руководство по эксплуатации на русском языке</w:t>
            </w:r>
          </w:p>
        </w:tc>
        <w:tc>
          <w:tcPr>
            <w:tcW w:w="3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317" w:leader="none"/>
              </w:tabs>
              <w:ind w:left="0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Комплект запчастей, инструментов, принадлежностей (ЗИП) в соответствии с комплектовочными ведомостями (или упаковочными листами) завода-изготовителя</w:t>
            </w:r>
          </w:p>
        </w:tc>
        <w:tc>
          <w:tcPr>
            <w:tcW w:w="32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1"/>
              <w:widowControl w:val="false"/>
              <w:numPr>
                <w:ilvl w:val="0"/>
                <w:numId w:val="0"/>
              </w:numPr>
              <w:snapToGrid w:val="false"/>
              <w:ind w:left="0" w:right="0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1"/>
              <w:widowControl w:val="false"/>
              <w:numPr>
                <w:ilvl w:val="0"/>
                <w:numId w:val="0"/>
              </w:numPr>
              <w:snapToGrid w:val="false"/>
              <w:ind w:left="-117" w:right="0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3.1.</w:t>
            </w:r>
          </w:p>
        </w:tc>
        <w:tc>
          <w:tcPr>
            <w:tcW w:w="27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Климатические условия эксплуатации и прочие требования к продукции</w:t>
            </w:r>
          </w:p>
        </w:tc>
        <w:tc>
          <w:tcPr>
            <w:tcW w:w="4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Оборудование должно быть рассчитано на эксплуатацию при рабочих температурах окружающего воздуха от - 40 до + 40 °С.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Место</w:t>
            </w:r>
            <w:r>
              <w:rPr>
                <w:rFonts w:eastAsia="Calibri"/>
                <w:sz w:val="24"/>
                <w:szCs w:val="24"/>
                <w:lang w:val="x-none" w:eastAsia="en-US"/>
              </w:rPr>
              <w:t xml:space="preserve"> поставки продукции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152917, Российская Федерация, Ярославская обл., г. Рыбинск, ул. Вяземского д.31.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Способ доставки до места поставки (получения)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Доставка осуществляется силами Поставщика </w:t>
            </w:r>
            <w:r>
              <w:rPr>
                <w:bCs/>
                <w:sz w:val="24"/>
                <w:szCs w:val="24"/>
              </w:rPr>
              <w:t>в установленном виде на трактор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Гарантия при условии соблюдения требований руководства по эксплуатации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6 (шести) месяцев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</w:tabs>
        <w:ind w:left="0" w:hanging="0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tabs>
          <w:tab w:val="clear" w:pos="708"/>
        </w:tabs>
        <w:ind w:left="0" w:hanging="0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tabs>
          <w:tab w:val="clear" w:pos="708"/>
        </w:tabs>
        <w:ind w:left="0" w:hanging="0"/>
        <w:rPr>
          <w:b/>
          <w:bCs/>
        </w:rPr>
      </w:pPr>
      <w:r>
        <w:rPr>
          <w:b/>
          <w:bCs/>
          <w:sz w:val="24"/>
          <w:szCs w:val="24"/>
          <w:lang w:val="ru-RU"/>
        </w:rPr>
        <w:t>Таблица 3.</w:t>
      </w:r>
      <w:r>
        <w:rPr>
          <w:b/>
          <w:bCs/>
          <w:sz w:val="24"/>
          <w:szCs w:val="24"/>
          <w:lang w:val="ru-RU"/>
        </w:rPr>
        <w:t>3</w:t>
      </w:r>
      <w:r>
        <w:rPr>
          <w:b/>
          <w:bCs/>
          <w:sz w:val="24"/>
          <w:szCs w:val="24"/>
          <w:lang w:val="ru-RU"/>
        </w:rPr>
        <w:t xml:space="preserve">. Требования к качеству продукции </w:t>
      </w:r>
    </w:p>
    <w:p>
      <w:pPr>
        <w:pStyle w:val="Normal"/>
        <w:tabs>
          <w:tab w:val="clear" w:pos="708"/>
        </w:tabs>
        <w:ind w:left="0" w:hanging="0"/>
        <w:rPr>
          <w:b/>
          <w:bCs/>
        </w:rPr>
      </w:pPr>
      <w:r>
        <w:rPr>
          <w:b/>
          <w:bCs/>
          <w:sz w:val="24"/>
          <w:szCs w:val="24"/>
          <w:lang w:val="ru-RU"/>
        </w:rPr>
        <w:t xml:space="preserve">Наименование услуг/этапа услуг (позиция № </w:t>
      </w:r>
      <w:r>
        <w:rPr>
          <w:b/>
          <w:bCs/>
          <w:sz w:val="24"/>
          <w:szCs w:val="24"/>
          <w:lang w:val="ru-RU"/>
        </w:rPr>
        <w:t>3</w:t>
      </w:r>
      <w:r>
        <w:rPr>
          <w:b/>
          <w:bCs/>
          <w:sz w:val="24"/>
          <w:szCs w:val="24"/>
          <w:lang w:val="ru-RU"/>
        </w:rPr>
        <w:t xml:space="preserve"> Таблицы 1.): Коммунальный отвал на погрузчик</w:t>
      </w:r>
    </w:p>
    <w:p>
      <w:pPr>
        <w:pStyle w:val="Normal"/>
        <w:tabs>
          <w:tab w:val="clear" w:pos="708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1487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10"/>
        <w:gridCol w:w="2771"/>
        <w:gridCol w:w="7"/>
        <w:gridCol w:w="4104"/>
        <w:gridCol w:w="2975"/>
        <w:gridCol w:w="2268"/>
        <w:gridCol w:w="1843"/>
      </w:tblGrid>
      <w:tr>
        <w:trPr>
          <w:trHeight w:val="628" w:hRule="atLeast"/>
        </w:trPr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параметра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Требования заказчика*</w:t>
            </w:r>
          </w:p>
        </w:tc>
        <w:tc>
          <w:tcPr>
            <w:tcW w:w="5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28" w:hRule="atLeast"/>
        </w:trPr>
        <w:tc>
          <w:tcPr>
            <w:tcW w:w="9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628" w:hRule="atLeast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>
          <w:trHeight w:val="840" w:hRule="atLeast"/>
        </w:trPr>
        <w:tc>
          <w:tcPr>
            <w:tcW w:w="7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 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-//-</w:t>
            </w:r>
          </w:p>
        </w:tc>
      </w:tr>
      <w:tr>
        <w:trPr>
          <w:trHeight w:val="386" w:hRule="atLeast"/>
        </w:trPr>
        <w:tc>
          <w:tcPr>
            <w:tcW w:w="148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rFonts w:ascii="Times New Roman" w:hAnsi="Times New Roman"/>
                <w:sz w:val="24"/>
                <w:szCs w:val="24"/>
              </w:rPr>
            </w:pPr>
            <w:bookmarkStart w:id="46" w:name="_Toc146782773_Копия_1"/>
            <w:r>
              <w:rPr>
                <w:b/>
                <w:bCs/>
                <w:sz w:val="24"/>
                <w:szCs w:val="24"/>
              </w:rPr>
              <w:t>1.1. Общие технические данные</w:t>
            </w:r>
            <w:bookmarkEnd w:id="46"/>
          </w:p>
        </w:tc>
      </w:tr>
      <w:tr>
        <w:trPr>
          <w:trHeight w:val="280" w:hRule="atLeast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Совместимость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iCs/>
                <w:sz w:val="24"/>
                <w:szCs w:val="24"/>
                <w:shd w:fill="auto" w:val="clear"/>
              </w:rPr>
              <w:t>Погрузчик Universal Standart или эквивалент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отвала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гидроповоротный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Гидравлическое (от погрузчика)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отвала,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2400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отвала,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7</w:t>
            </w:r>
            <w:r>
              <w:rPr>
                <w:iCs/>
                <w:sz w:val="24"/>
                <w:szCs w:val="24"/>
              </w:rPr>
              <w:t>25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1.1.6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оборудования, кг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2</w:t>
            </w:r>
            <w:r>
              <w:rPr>
                <w:iCs/>
                <w:sz w:val="24"/>
                <w:szCs w:val="24"/>
              </w:rPr>
              <w:t>75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1.1.7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угол поворота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iCs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±26°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1.1.8.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Конструкция оборудования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Две рабочие поверхности: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1. Армированный резиновый нож;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333333"/>
                <w:spacing w:val="0"/>
                <w:sz w:val="24"/>
                <w:szCs w:val="24"/>
              </w:rPr>
              <w:t>2. Съемный стальной нож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rFonts w:eastAsia="Calibri"/>
                <w:sz w:val="24"/>
                <w:szCs w:val="24"/>
                <w:shd w:fill="auto" w:val="clear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конструкции, изготовлению и материалам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7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поставки оборудования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Руководство по эксплуатации на русском языке</w:t>
            </w:r>
          </w:p>
        </w:tc>
        <w:tc>
          <w:tcPr>
            <w:tcW w:w="29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317" w:leader="none"/>
              </w:tabs>
              <w:ind w:left="0" w:hanging="0"/>
              <w:jc w:val="both"/>
              <w:rPr/>
            </w:pPr>
            <w:r>
              <w:rPr>
                <w:rFonts w:eastAsia="Calibri"/>
                <w:color w:val="000000"/>
                <w:lang w:eastAsia="en-US"/>
              </w:rPr>
              <w:t>Комплект запчастей, инструментов, принадлежностей (ЗИП) в соответствии с комплектовочными ведомостями (или упаковочными листами) завода-изготовителя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3.1</w:t>
            </w:r>
          </w:p>
        </w:tc>
        <w:tc>
          <w:tcPr>
            <w:tcW w:w="27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Климатические условия эксплуатации и прочие требования к продукции</w:t>
            </w:r>
          </w:p>
        </w:tc>
        <w:tc>
          <w:tcPr>
            <w:tcW w:w="4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Оборудование должно быть рассчитано на эксплуатацию при рабочих температурах окружающего воздуха от - 40 до + 40 °С.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Место</w:t>
            </w:r>
            <w:r>
              <w:rPr>
                <w:rFonts w:eastAsia="Calibri"/>
                <w:sz w:val="24"/>
                <w:szCs w:val="24"/>
                <w:lang w:val="x-none" w:eastAsia="en-US"/>
              </w:rPr>
              <w:t xml:space="preserve"> поставки продукции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152917, Российская Федерация, Ярославская обл., г. Рыбинск, ул. Вяземского д.31.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Способ доставки до места поставки (получения)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Доставка осуществляется силами Поставщика</w:t>
            </w:r>
          </w:p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Срок гарантии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12 (двенадцати) месяцев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Heading1"/>
        <w:tabs>
          <w:tab w:val="clear" w:pos="0"/>
        </w:tabs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bCs w:val="false"/>
          <w:sz w:val="24"/>
          <w:szCs w:val="24"/>
          <w:lang w:val="ru-RU"/>
        </w:rPr>
        <w:t>*</w:t>
      </w:r>
      <w:r>
        <w:rPr>
          <w:b/>
          <w:bCs/>
          <w:sz w:val="24"/>
          <w:szCs w:val="24"/>
          <w:lang w:val="ru-RU"/>
        </w:rPr>
        <w:t xml:space="preserve"> </w:t>
      </w:r>
      <w:r>
        <w:rPr>
          <w:b w:val="false"/>
          <w:bCs w:val="false"/>
          <w:sz w:val="24"/>
          <w:szCs w:val="24"/>
          <w:lang w:val="ru-RU"/>
        </w:rPr>
        <w:t>Указанные в настоящем ТТ ссылки на ТУ, марку (тип) продукции носят описательный, а не обязательный характер.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tabs>
          <w:tab w:val="clear" w:pos="708"/>
        </w:tabs>
        <w:ind w:left="0" w:hanging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Heading1"/>
        <w:tabs>
          <w:tab w:val="clear" w:pos="0"/>
        </w:tabs>
        <w:ind w:left="0" w:hanging="0"/>
        <w:rPr>
          <w:rFonts w:ascii="Times New Roman" w:hAnsi="Times New Roman"/>
          <w:sz w:val="24"/>
          <w:szCs w:val="24"/>
        </w:rPr>
      </w:pPr>
      <w:bookmarkStart w:id="47" w:name="_Toc128412774_Копия_1_Копия_2_Копия_1"/>
      <w:bookmarkStart w:id="48" w:name="_Toc146782772_Копия_1_Копия_2_Копия_1"/>
      <w:r>
        <w:rPr>
          <w:sz w:val="24"/>
          <w:szCs w:val="24"/>
          <w:lang w:val="ru-RU"/>
        </w:rPr>
        <w:t>Таблица 3.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  <w:lang w:val="ru-RU"/>
        </w:rPr>
        <w:t xml:space="preserve">. </w:t>
      </w:r>
      <w:bookmarkEnd w:id="47"/>
      <w:bookmarkEnd w:id="48"/>
      <w:r>
        <w:rPr>
          <w:sz w:val="24"/>
          <w:szCs w:val="24"/>
          <w:lang w:val="ru-RU"/>
        </w:rPr>
        <w:t xml:space="preserve">Требования к качеству продукции </w:t>
        <w:br/>
      </w:r>
      <w:r>
        <w:rPr>
          <w:bCs/>
          <w:sz w:val="24"/>
          <w:szCs w:val="24"/>
          <w:lang w:val="ru-RU"/>
        </w:rPr>
        <w:t xml:space="preserve">Наименование услуг/этапа услуг (позиция </w:t>
      </w:r>
      <w:r>
        <w:rPr>
          <w:bCs/>
          <w:color w:val="000000"/>
          <w:sz w:val="24"/>
          <w:szCs w:val="24"/>
          <w:lang w:val="ru-RU"/>
        </w:rPr>
        <w:t xml:space="preserve">№ </w:t>
      </w:r>
      <w:r>
        <w:rPr>
          <w:bCs/>
          <w:color w:val="000000"/>
          <w:sz w:val="24"/>
          <w:szCs w:val="24"/>
          <w:lang w:val="ru-RU"/>
        </w:rPr>
        <w:t>4</w:t>
      </w:r>
      <w:r>
        <w:rPr>
          <w:bCs/>
          <w:color w:val="000000"/>
          <w:sz w:val="24"/>
          <w:szCs w:val="24"/>
          <w:lang w:val="ru-RU"/>
        </w:rPr>
        <w:t xml:space="preserve"> Таб</w:t>
      </w:r>
      <w:r>
        <w:rPr>
          <w:bCs/>
          <w:sz w:val="24"/>
          <w:szCs w:val="24"/>
          <w:lang w:val="ru-RU"/>
        </w:rPr>
        <w:t>лицы 1.): Ковш на фронтальный погрузчик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1487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10"/>
        <w:gridCol w:w="2771"/>
        <w:gridCol w:w="7"/>
        <w:gridCol w:w="4104"/>
        <w:gridCol w:w="2975"/>
        <w:gridCol w:w="2268"/>
        <w:gridCol w:w="1843"/>
      </w:tblGrid>
      <w:tr>
        <w:trPr>
          <w:trHeight w:val="628" w:hRule="atLeast"/>
        </w:trPr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параметра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Требования заказчика*</w:t>
            </w:r>
          </w:p>
        </w:tc>
        <w:tc>
          <w:tcPr>
            <w:tcW w:w="5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28" w:hRule="atLeast"/>
        </w:trPr>
        <w:tc>
          <w:tcPr>
            <w:tcW w:w="9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628" w:hRule="atLeast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>
          <w:trHeight w:val="840" w:hRule="atLeast"/>
        </w:trPr>
        <w:tc>
          <w:tcPr>
            <w:tcW w:w="7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 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>
          <w:trHeight w:val="386" w:hRule="atLeast"/>
        </w:trPr>
        <w:tc>
          <w:tcPr>
            <w:tcW w:w="148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rFonts w:ascii="Times New Roman" w:hAnsi="Times New Roman"/>
                <w:sz w:val="24"/>
                <w:szCs w:val="24"/>
              </w:rPr>
            </w:pPr>
            <w:bookmarkStart w:id="49" w:name="_Toc146782773_Копия_1_Копия_1_Копия_1_Ко"/>
            <w:r>
              <w:rPr>
                <w:b/>
                <w:bCs/>
                <w:sz w:val="24"/>
                <w:szCs w:val="24"/>
              </w:rPr>
              <w:t>1.1. Общие технические данные</w:t>
            </w:r>
            <w:bookmarkEnd w:id="49"/>
          </w:p>
        </w:tc>
      </w:tr>
      <w:tr>
        <w:trPr>
          <w:trHeight w:val="280" w:hRule="atLeast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 xml:space="preserve">Совместимость 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iCs/>
                <w:sz w:val="24"/>
                <w:szCs w:val="24"/>
                <w:shd w:fill="auto" w:val="clear"/>
              </w:rPr>
              <w:t>Погрузчик Universal Standart или эквивалент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Объем, м3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0,8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850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2000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1.1.6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680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1.1.7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Масса, кг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200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конструкции, изготовлению и материалам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7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поставки оборудования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Паспорт </w:t>
            </w:r>
            <w:r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 оборудования</w:t>
            </w:r>
          </w:p>
        </w:tc>
        <w:tc>
          <w:tcPr>
            <w:tcW w:w="29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Руководство по эксплуатации на русском языке.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317" w:leader="none"/>
              </w:tabs>
              <w:ind w:left="0" w:hanging="0"/>
              <w:jc w:val="both"/>
              <w:rPr/>
            </w:pPr>
            <w:r>
              <w:rPr>
                <w:rFonts w:eastAsia="Calibri"/>
                <w:color w:val="000000"/>
                <w:lang w:eastAsia="en-US"/>
              </w:rPr>
              <w:t>Комплект запчастей, инструментов, принадлежностей (ЗИП) в соответствии с комплектовочными ведомостями (или упаковочными листами) завода-изготовителя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1"/>
              <w:widowControl w:val="false"/>
              <w:numPr>
                <w:ilvl w:val="0"/>
                <w:numId w:val="0"/>
              </w:numPr>
              <w:snapToGrid w:val="false"/>
              <w:ind w:left="0" w:right="0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1"/>
              <w:widowControl w:val="false"/>
              <w:numPr>
                <w:ilvl w:val="0"/>
                <w:numId w:val="0"/>
              </w:numPr>
              <w:snapToGrid w:val="false"/>
              <w:ind w:left="0" w:right="0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3.1</w:t>
            </w:r>
          </w:p>
        </w:tc>
        <w:tc>
          <w:tcPr>
            <w:tcW w:w="27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Климатические условия эксплуатации и прочие требования к продукции</w:t>
            </w:r>
          </w:p>
        </w:tc>
        <w:tc>
          <w:tcPr>
            <w:tcW w:w="4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ТС</w:t>
            </w:r>
            <w:r>
              <w:rPr>
                <w:sz w:val="24"/>
                <w:szCs w:val="24"/>
              </w:rPr>
              <w:t xml:space="preserve"> должно быть рассчитано на эксплуатацию при рабочих температурах окружающего воздуха от - 40 до + 40 °С.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Место</w:t>
            </w:r>
            <w:r>
              <w:rPr>
                <w:rFonts w:eastAsia="Calibri"/>
                <w:sz w:val="24"/>
                <w:szCs w:val="24"/>
                <w:lang w:val="x-none" w:eastAsia="en-US"/>
              </w:rPr>
              <w:t xml:space="preserve"> поставки продукции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152917, Российская Федерация, Ярославская обл., г. Рыбинск, ул. Вяземского д.31.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Способ доставки до места поставки (получения)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Доставка осуществляется силами Поставщика</w:t>
            </w:r>
          </w:p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Гарантия при условии соблюдения требований руководства по эксплуатации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6 (шести) месяцев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Heading1"/>
        <w:tabs>
          <w:tab w:val="clear" w:pos="0"/>
        </w:tabs>
        <w:ind w:left="0" w:hanging="0"/>
        <w:jc w:val="both"/>
        <w:rPr>
          <w:b w:val="false"/>
          <w:bCs w:val="false"/>
        </w:rPr>
      </w:pPr>
      <w:r>
        <w:rPr>
          <w:b w:val="false"/>
          <w:bCs w:val="false"/>
          <w:lang w:val="ru-RU"/>
        </w:rPr>
        <w:t>* Указанные в настоящем ТТ ссылки на ТУ, марку (тип) продукции носят описательный, а не обязательный характер.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tabs>
          <w:tab w:val="clear" w:pos="708"/>
        </w:tabs>
        <w:ind w:left="0" w:hanging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Heading1"/>
        <w:tabs>
          <w:tab w:val="clear" w:pos="0"/>
        </w:tabs>
        <w:ind w:left="0" w:hanging="0"/>
        <w:rPr>
          <w:rFonts w:ascii="Times New Roman" w:hAnsi="Times New Roman"/>
          <w:sz w:val="24"/>
          <w:szCs w:val="24"/>
        </w:rPr>
      </w:pPr>
      <w:bookmarkStart w:id="50" w:name="_Toc128412774_Копия_1_Копия_2"/>
      <w:bookmarkStart w:id="51" w:name="_Toc146782772_Копия_1_Копия_2"/>
      <w:r>
        <w:rPr>
          <w:sz w:val="24"/>
          <w:szCs w:val="24"/>
          <w:lang w:val="ru-RU"/>
        </w:rPr>
        <w:t>Таблица 3.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  <w:lang w:val="ru-RU"/>
        </w:rPr>
        <w:t xml:space="preserve">. </w:t>
      </w:r>
      <w:bookmarkEnd w:id="50"/>
      <w:bookmarkEnd w:id="51"/>
      <w:r>
        <w:rPr>
          <w:sz w:val="24"/>
          <w:szCs w:val="24"/>
          <w:lang w:val="ru-RU"/>
        </w:rPr>
        <w:t xml:space="preserve">Требования к качеству продукции </w:t>
        <w:br/>
      </w:r>
      <w:r>
        <w:rPr>
          <w:bCs/>
          <w:sz w:val="24"/>
          <w:szCs w:val="24"/>
          <w:lang w:val="ru-RU"/>
        </w:rPr>
        <w:t xml:space="preserve">Наименование услуг/этапа услуг (позиция </w:t>
      </w:r>
      <w:r>
        <w:rPr>
          <w:bCs/>
          <w:color w:val="000000"/>
          <w:sz w:val="24"/>
          <w:szCs w:val="24"/>
          <w:lang w:val="ru-RU"/>
        </w:rPr>
        <w:t>№ 3 Таб</w:t>
      </w:r>
      <w:r>
        <w:rPr>
          <w:bCs/>
          <w:sz w:val="24"/>
          <w:szCs w:val="24"/>
          <w:lang w:val="ru-RU"/>
        </w:rPr>
        <w:t>лицы 1.): Щеточное оборудование МК-4.1 или эквивалент.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1487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910"/>
        <w:gridCol w:w="2771"/>
        <w:gridCol w:w="7"/>
        <w:gridCol w:w="4104"/>
        <w:gridCol w:w="2975"/>
        <w:gridCol w:w="2268"/>
        <w:gridCol w:w="1843"/>
      </w:tblGrid>
      <w:tr>
        <w:trPr>
          <w:trHeight w:val="628" w:hRule="atLeast"/>
        </w:trPr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параметра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Требования заказчика*</w:t>
            </w:r>
          </w:p>
        </w:tc>
        <w:tc>
          <w:tcPr>
            <w:tcW w:w="5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28" w:hRule="atLeast"/>
        </w:trPr>
        <w:tc>
          <w:tcPr>
            <w:tcW w:w="9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7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</w:tr>
      <w:tr>
        <w:trPr>
          <w:trHeight w:val="628" w:hRule="atLeast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>
          <w:trHeight w:val="840" w:hRule="atLeast"/>
        </w:trPr>
        <w:tc>
          <w:tcPr>
            <w:tcW w:w="7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 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-//-</w:t>
            </w:r>
          </w:p>
        </w:tc>
      </w:tr>
      <w:tr>
        <w:trPr>
          <w:trHeight w:val="386" w:hRule="atLeast"/>
        </w:trPr>
        <w:tc>
          <w:tcPr>
            <w:tcW w:w="148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rFonts w:ascii="Times New Roman" w:hAnsi="Times New Roman"/>
                <w:sz w:val="24"/>
                <w:szCs w:val="24"/>
              </w:rPr>
            </w:pPr>
            <w:bookmarkStart w:id="52" w:name="_Toc146782773_Копия_1_Копия_1_Копия_1"/>
            <w:r>
              <w:rPr>
                <w:b/>
                <w:bCs/>
                <w:sz w:val="24"/>
                <w:szCs w:val="24"/>
              </w:rPr>
              <w:t>1.1. Общие технические данные</w:t>
            </w:r>
            <w:bookmarkEnd w:id="52"/>
          </w:p>
        </w:tc>
      </w:tr>
      <w:tr>
        <w:trPr>
          <w:trHeight w:val="280" w:hRule="atLeast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Тип базового трактора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МТЗ 82.1 или  эквивалент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Привод щетки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От заднего ВОМ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 подъемом/ опусканием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Гидравлическое из кабины трактора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захвата,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1800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1.1.6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 установки щетки к продольной оси машины, градусы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Не менее 60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1.1.7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оборудования, кг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более 360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1.1.8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Редуктор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Сварной прямой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1.1.9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скорость движения, км/ч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более 13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1.1.10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щётки по ворсу,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менее 550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1.1.11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щетки по ворсу, мм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Не менее </w:t>
            </w:r>
            <w:r>
              <w:rPr>
                <w:iCs/>
                <w:sz w:val="24"/>
                <w:szCs w:val="24"/>
              </w:rPr>
              <w:t>1800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конструкции, изготовлению и материалам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77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 поставки оборудования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на щеточное  оборудования</w:t>
            </w:r>
          </w:p>
        </w:tc>
        <w:tc>
          <w:tcPr>
            <w:tcW w:w="29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Руководство по эксплуатации на русском языке.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9"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317" w:leader="none"/>
              </w:tabs>
              <w:ind w:left="0" w:hanging="0"/>
              <w:jc w:val="both"/>
              <w:rPr/>
            </w:pPr>
            <w:r>
              <w:rPr>
                <w:rFonts w:eastAsia="Calibri"/>
                <w:color w:val="000000"/>
                <w:lang w:eastAsia="en-US"/>
              </w:rPr>
              <w:t>Комплект запчастей, инструментов, принадлежностей (ЗИП) в соответствии с комплектовочными ведомостями (или упаковочными листами) завода-изготовителя</w:t>
            </w:r>
          </w:p>
        </w:tc>
        <w:tc>
          <w:tcPr>
            <w:tcW w:w="297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1"/>
              <w:widowControl w:val="false"/>
              <w:numPr>
                <w:ilvl w:val="0"/>
                <w:numId w:val="0"/>
              </w:numPr>
              <w:snapToGrid w:val="false"/>
              <w:ind w:left="0" w:right="0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51"/>
              <w:widowControl w:val="false"/>
              <w:numPr>
                <w:ilvl w:val="0"/>
                <w:numId w:val="0"/>
              </w:numPr>
              <w:snapToGrid w:val="false"/>
              <w:ind w:left="0" w:right="0" w:hang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3.1</w:t>
            </w:r>
          </w:p>
        </w:tc>
        <w:tc>
          <w:tcPr>
            <w:tcW w:w="27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Климатические условия эксплуатации и прочие требования к продукции</w:t>
            </w:r>
          </w:p>
        </w:tc>
        <w:tc>
          <w:tcPr>
            <w:tcW w:w="4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ТС</w:t>
            </w:r>
            <w:r>
              <w:rPr>
                <w:sz w:val="24"/>
                <w:szCs w:val="24"/>
              </w:rPr>
              <w:t xml:space="preserve"> должно быть рассчитано на эксплуатацию при рабочих температурах окружающего воздуха от - 40 до + 40 °С.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zh-CN" w:bidi="ar-SA"/>
              </w:rPr>
              <w:t>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4. 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Место</w:t>
            </w:r>
            <w:r>
              <w:rPr>
                <w:rFonts w:eastAsia="Calibri"/>
                <w:sz w:val="24"/>
                <w:szCs w:val="24"/>
                <w:lang w:val="x-none" w:eastAsia="en-US"/>
              </w:rPr>
              <w:t xml:space="preserve"> поставки продукции</w:t>
            </w:r>
          </w:p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152917, Российская Федерация, Ярославская обл., г. Рыбинск, ул. Вяземского д.31.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Способ доставки до места поставки (получения)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Доставка осуществляется силами Поставщика</w:t>
            </w:r>
          </w:p>
          <w:p>
            <w:pPr>
              <w:pStyle w:val="BodyText"/>
              <w:widowControl w:val="false"/>
              <w:spacing w:before="0" w:after="0"/>
              <w:ind w:left="4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88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-//-</w:t>
            </w:r>
          </w:p>
        </w:tc>
      </w:tr>
      <w:tr>
        <w:trPr>
          <w:trHeight w:val="280" w:hRule="atLeast"/>
        </w:trPr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27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Гарантия при условии соблюдения требований руководства по эксплуатации</w:t>
            </w:r>
          </w:p>
        </w:tc>
        <w:tc>
          <w:tcPr>
            <w:tcW w:w="4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менее 6 (шести) месяцев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59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Heading1"/>
        <w:tabs>
          <w:tab w:val="clear" w:pos="0"/>
        </w:tabs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bCs w:val="false"/>
          <w:sz w:val="24"/>
          <w:szCs w:val="24"/>
          <w:lang w:val="ru-RU"/>
        </w:rPr>
        <w:t>*</w:t>
      </w:r>
      <w:r>
        <w:rPr>
          <w:b/>
          <w:bCs/>
          <w:sz w:val="24"/>
          <w:szCs w:val="24"/>
          <w:lang w:val="ru-RU"/>
        </w:rPr>
        <w:t xml:space="preserve"> </w:t>
      </w:r>
      <w:r>
        <w:rPr>
          <w:b w:val="false"/>
          <w:bCs w:val="false"/>
          <w:sz w:val="24"/>
          <w:szCs w:val="24"/>
          <w:lang w:val="ru-RU"/>
        </w:rPr>
        <w:t>Указанные в настоящем ТТ ссылки на ТУ, марку (тип) продукции носят описательный, а не обязательный характер.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эквивалентности».</w:t>
      </w:r>
    </w:p>
    <w:p>
      <w:pPr>
        <w:pStyle w:val="Heading1"/>
        <w:tabs>
          <w:tab w:val="clear" w:pos="0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x-none" w:bidi="ar-SA"/>
        </w:rPr>
      </w:r>
    </w:p>
    <w:p>
      <w:pPr>
        <w:pStyle w:val="Normal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ab/>
        <w:t>2.2.1. В составе заявки необходимо предоставить</w:t>
      </w:r>
      <w:r>
        <w:rPr>
          <w:sz w:val="24"/>
          <w:szCs w:val="24"/>
        </w:rPr>
        <w:t>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>1. Техническое предложение, подготовленное в соответствии с настоящими техническими требованиями, по форме, предоставленной в Документации о закупке.</w:t>
      </w:r>
    </w:p>
    <w:p>
      <w:pPr>
        <w:sectPr>
          <w:headerReference w:type="even" r:id="rId5"/>
          <w:headerReference w:type="default" r:id="rId6"/>
          <w:headerReference w:type="first" r:id="rId7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>
        <w:rPr>
          <w:sz w:val="24"/>
          <w:szCs w:val="24"/>
        </w:rPr>
        <w:t>Копию</w:t>
      </w:r>
      <w:r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его</w:t>
      </w:r>
      <w:r>
        <w:rPr>
          <w:sz w:val="24"/>
          <w:szCs w:val="24"/>
        </w:rPr>
        <w:t xml:space="preserve"> сертификат/деклараци</w:t>
      </w:r>
      <w:r>
        <w:rPr>
          <w:sz w:val="24"/>
          <w:szCs w:val="24"/>
        </w:rPr>
        <w:t>и</w:t>
      </w:r>
      <w:r>
        <w:rPr>
          <w:sz w:val="24"/>
          <w:szCs w:val="24"/>
        </w:rPr>
        <w:t>, выданый аккредитованным органом по сертификации, включённым в Единый реестр органов по оценке соответствия Евразийского экономического союза PortableDocumentFormat (*.pdf)</w:t>
      </w:r>
    </w:p>
    <w:p>
      <w:pPr>
        <w:pStyle w:val="Heading1"/>
        <w:tabs>
          <w:tab w:val="clear" w:pos="0"/>
        </w:tabs>
        <w:ind w:left="360" w:firstLine="348"/>
        <w:rPr>
          <w:rFonts w:ascii="Times New Roman" w:hAnsi="Times New Roman"/>
          <w:sz w:val="24"/>
          <w:szCs w:val="24"/>
        </w:rPr>
      </w:pPr>
      <w:bookmarkStart w:id="53" w:name="_Toc146782775"/>
      <w:bookmarkStart w:id="54" w:name="_Toc46743519"/>
      <w:bookmarkEnd w:id="54"/>
      <w:r>
        <w:rPr>
          <w:sz w:val="24"/>
          <w:szCs w:val="24"/>
          <w:lang w:val="ru-RU"/>
        </w:rPr>
        <w:t xml:space="preserve">3. </w:t>
      </w:r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53"/>
    </w:p>
    <w:p>
      <w:pPr>
        <w:pStyle w:val="ListParagraph"/>
        <w:numPr>
          <w:ilvl w:val="1"/>
          <w:numId w:val="6"/>
        </w:numPr>
        <w:tabs>
          <w:tab w:val="clear" w:pos="708"/>
          <w:tab w:val="left" w:pos="0" w:leader="none"/>
        </w:tabs>
        <w:spacing w:before="120" w:after="60"/>
        <w:ind w:left="0" w:right="113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обоснование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стоимости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заявки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предоставляет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Коммерческое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предложение по форме (с учетом прилагаемой к ней инструкции по заполнению),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приведенной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Документации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 закупке.</w:t>
      </w:r>
    </w:p>
    <w:p>
      <w:pPr>
        <w:pStyle w:val="ListParagraph"/>
        <w:numPr>
          <w:ilvl w:val="1"/>
          <w:numId w:val="6"/>
        </w:numPr>
        <w:tabs>
          <w:tab w:val="clear" w:pos="708"/>
          <w:tab w:val="left" w:pos="0" w:leader="none"/>
        </w:tabs>
        <w:spacing w:before="120" w:after="60"/>
        <w:ind w:left="0"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Дополнительные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ценообразованию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состав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заявки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включаются.</w:t>
      </w:r>
    </w:p>
    <w:p>
      <w:pPr>
        <w:pStyle w:val="Heading1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bookmarkStart w:id="55" w:name="__RefHeading___Toc10600_2252160145"/>
      <w:bookmarkEnd w:id="55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Приложения:</w:t>
      </w:r>
    </w:p>
    <w:p>
      <w:pPr>
        <w:pStyle w:val="ListParagraph"/>
        <w:widowControl/>
        <w:tabs>
          <w:tab w:val="clear" w:pos="708"/>
          <w:tab w:val="left" w:pos="0" w:leader="none"/>
        </w:tabs>
        <w:suppressAutoHyphens w:val="true"/>
        <w:bidi w:val="0"/>
        <w:spacing w:before="120" w:after="60"/>
        <w:ind w:left="0" w:right="0" w:firstLine="5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4.1. Приложение №1</w:t>
      </w:r>
      <w:r>
        <w:rPr>
          <w:color w:val="000000"/>
          <w:sz w:val="24"/>
          <w:szCs w:val="24"/>
        </w:rPr>
        <w:t xml:space="preserve"> АКТ ПРИЕМА-ПЕРЕДАЧИ  (Форма) 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  <w:r>
        <w:br w:type="page"/>
      </w:r>
    </w:p>
    <w:p>
      <w:pPr>
        <w:pStyle w:val="Normal"/>
        <w:ind w:left="5103" w:right="96" w:hanging="851"/>
        <w:jc w:val="right"/>
        <w:rPr/>
      </w:pPr>
      <w:r>
        <w:rPr>
          <w:sz w:val="24"/>
        </w:rPr>
        <w:t>Приложение №1</w:t>
      </w:r>
    </w:p>
    <w:p>
      <w:pPr>
        <w:pStyle w:val="Normal"/>
        <w:ind w:left="5103" w:right="96" w:firstLine="5103"/>
        <w:jc w:val="right"/>
        <w:rPr/>
      </w:pPr>
      <w:r>
        <w:rPr/>
      </w:r>
    </w:p>
    <w:p>
      <w:pPr>
        <w:pStyle w:val="Normal"/>
        <w:ind w:left="5103" w:right="96" w:firstLine="5103"/>
        <w:jc w:val="right"/>
        <w:rPr/>
      </w:pPr>
      <w:r>
        <w:rPr/>
      </w:r>
    </w:p>
    <w:p>
      <w:pPr>
        <w:pStyle w:val="Normal"/>
        <w:ind w:left="5103" w:right="96" w:firstLine="5103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-142" w:firstLine="142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АКТ ПРИЕМА-ПЕРЕДАЧИ  (Форма)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к договору поставки </w:t>
      </w:r>
      <w:r>
        <w:rPr>
          <w:b/>
          <w:sz w:val="24"/>
          <w:szCs w:val="24"/>
        </w:rPr>
        <w:t>№ ___________________от __________</w:t>
      </w:r>
      <w:r>
        <w:rPr>
          <w:b/>
          <w:bCs/>
          <w:sz w:val="24"/>
          <w:szCs w:val="24"/>
        </w:rPr>
        <w:t xml:space="preserve"> 2026 года.</w:t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пгт. Богородское                                                                           </w:t>
        <w:tab/>
        <w:tab/>
        <w:t xml:space="preserve">  «    »  ___________ 2026г.</w:t>
      </w:r>
    </w:p>
    <w:p>
      <w:pPr>
        <w:pStyle w:val="Normal"/>
        <w:ind w:left="85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Акционерное общество «Транспортная компания РусГидро» (АО «ТК РусГидро»), (далее - «Покупатель»), в лице _________________________действующего на основании ______________________________, с одной стороны, и _____________________________ (далее - «Поставщик»»), в лице ___________________________,  действующего на основании _________________, с другой стороны, совместно в дальнейшем именуемые «Стороны», а по отдельности – «Сторона», составили настоящий Акт приема-передачи о том, что согласно Договора поставки_№ _____________«Поставщик» передает в собственность транспортное средство:</w:t>
      </w:r>
    </w:p>
    <w:p>
      <w:pPr>
        <w:pStyle w:val="Normal"/>
        <w:ind w:left="851" w:firstLine="56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tbl>
      <w:tblPr>
        <w:tblW w:w="9915" w:type="dxa"/>
        <w:jc w:val="left"/>
        <w:tblInd w:w="-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212"/>
        <w:gridCol w:w="4702"/>
      </w:tblGrid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Марка, модель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(</w:t>
            </w:r>
            <w:r>
              <w:rPr>
                <w:sz w:val="24"/>
                <w:szCs w:val="24"/>
                <w:lang w:val="en-US"/>
              </w:rPr>
              <w:t>VIN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(тип ТС)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Категория ТС 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изготовления ТС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Модель, № двигателя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Шасси (рама) №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Кузов (кабина, прицеп) №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кузова (кабины, прицепа)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ПСМ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ПСМ выдан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82" w:hRule="atLeast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оборудование: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Транспортное средство находится в исправном состоянии.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узлы и агрегаты работают в пределах нормы.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Механические повреждения и нарушения лакокрасочного покрытия отсутствуют. 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Стороны друг к другу претензий не имеют.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left="851" w:right="96" w:firstLine="6237"/>
        <w:rPr>
          <w:sz w:val="24"/>
          <w:szCs w:val="24"/>
        </w:rPr>
      </w:pPr>
      <w:r>
        <w:rPr/>
      </w:r>
    </w:p>
    <w:sectPr>
      <w:headerReference w:type="even" r:id="rId8"/>
      <w:headerReference w:type="default" r:id="rId9"/>
      <w:headerReference w:type="first" r:id="rId10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Calibri Light">
    <w:charset w:val="01"/>
    <w:family w:val="roman"/>
    <w:pitch w:val="variable"/>
  </w:font>
  <w:font w:name="Sylfaen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 CYR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9079265"/>
    </w:sdtPr>
    <w:sdtContent>
      <w:p>
        <w:pPr>
          <w:pStyle w:val="Header"/>
          <w:jc w:val="center"/>
          <w:rPr/>
        </w:pPr>
        <w:r>
          <w:rPr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2322263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b w:val="false"/>
        <w:bCs w:val="false"/>
        <w:sz w:val="20"/>
        <w:szCs w:val="20"/>
      </w:rPr>
    </w:pPr>
    <w:r>
      <w:rPr>
        <w:b w:val="false"/>
        <w:bCs w:val="false"/>
        <w:sz w:val="20"/>
        <w:szCs w:val="20"/>
      </w:rPr>
      <w:t>Приложение №1 к документации по аукциону</w:t>
    </w:r>
  </w:p>
  <w:p>
    <w:pPr>
      <w:pStyle w:val="Normal"/>
      <w:jc w:val="right"/>
      <w:rPr/>
    </w:pPr>
    <w:bookmarkStart w:id="32" w:name="_GoBack_Копия_1_Копия_1"/>
    <w:bookmarkStart w:id="33" w:name="_GoBack_Копия_1_Копия_1_Копия_1"/>
    <w:bookmarkEnd w:id="32"/>
    <w:bookmarkEnd w:id="33"/>
    <w:r>
      <w:rPr>
        <w:b w:val="false"/>
        <w:bCs w:val="false"/>
        <w:sz w:val="20"/>
        <w:szCs w:val="20"/>
        <w:lang w:val="ru-RU"/>
      </w:rPr>
      <w:t xml:space="preserve">в электронной форме лот № </w:t>
    </w:r>
    <w:r>
      <w:rPr>
        <w:rFonts w:eastAsia="Times New Roman" w:cs="Times New Roman"/>
        <w:b w:val="false"/>
        <w:bCs w:val="false"/>
        <w:color w:val="auto"/>
        <w:kern w:val="0"/>
        <w:sz w:val="20"/>
        <w:szCs w:val="20"/>
        <w:lang w:val="ru-RU" w:eastAsia="ru-RU" w:bidi="ar-SA"/>
      </w:rPr>
      <w:t>1026-ТПИР ОНМ-2026-ТК_Центр_фил</w:t>
    </w:r>
  </w:p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7542162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18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3598355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19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35785842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20241173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</w:t>
        </w:r>
        <w:r>
          <w:rPr/>
          <w:fldChar w:fldCharType="end"/>
        </w:r>
      </w:p>
    </w:sdtContent>
  </w:sdt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6177759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</w:t>
        </w:r>
        <w:r>
          <w:rPr/>
          <w:fldChar w:fldCharType="end"/>
        </w:r>
      </w:p>
    </w:sdtContent>
  </w:sdt>
  <w:p>
    <w:pPr>
      <w:pStyle w:val="Header"/>
      <w:jc w:val="cent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21013592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1193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3" w:hanging="420"/>
      </w:pPr>
      <w:rPr/>
    </w:lvl>
    <w:lvl w:ilvl="2">
      <w:start w:val="0"/>
      <w:numFmt w:val="bullet"/>
      <w:lvlText w:val=""/>
      <w:lvlJc w:val="left"/>
      <w:pPr>
        <w:tabs>
          <w:tab w:val="num" w:pos="0"/>
        </w:tabs>
        <w:ind w:left="2247" w:hanging="42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34" w:hanging="42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22" w:hanging="42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09" w:hanging="42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96" w:hanging="42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84" w:hanging="42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1" w:hanging="420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287613"/>
    <w:pPr>
      <w:keepNext w:val="true"/>
      <w:tabs>
        <w:tab w:val="clear" w:pos="708"/>
        <w:tab w:val="left" w:pos="0" w:leader="none"/>
      </w:tabs>
      <w:spacing w:before="120" w:after="60"/>
      <w:ind w:left="851" w:hanging="851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bc3e72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287613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7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6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Strong2">
    <w:name w:val="Strong2"/>
    <w:qFormat/>
    <w:rPr>
      <w:b/>
      <w:bCs/>
    </w:rPr>
  </w:style>
  <w:style w:type="character" w:styleId="Style15">
    <w:name w:val="Символ нумерации"/>
    <w:qFormat/>
    <w:rPr/>
  </w:style>
  <w:style w:type="character" w:styleId="Style16">
    <w:name w:val="Заголовок Знак"/>
    <w:basedOn w:val="DefaultParagraphFont"/>
    <w:qFormat/>
    <w:rPr>
      <w:rFonts w:ascii="Calibri Light" w:hAnsi="Calibri Light" w:eastAsia="Times New Roman" w:cs="Times New Roman"/>
      <w:spacing w:val="-10"/>
      <w:kern w:val="2"/>
      <w:sz w:val="56"/>
      <w:szCs w:val="56"/>
      <w:lang w:eastAsia="en-US"/>
    </w:rPr>
  </w:style>
  <w:style w:type="character" w:styleId="ConsNormal">
    <w:name w:val="ConsNormal Знак"/>
    <w:qFormat/>
    <w:rPr>
      <w:rFonts w:ascii="Arial" w:hAnsi="Arial" w:cs="Arial"/>
    </w:rPr>
  </w:style>
  <w:style w:type="character" w:styleId="Style17">
    <w:name w:val="Основной текст документа"/>
    <w:qFormat/>
    <w:rPr>
      <w:sz w:val="22"/>
    </w:rPr>
  </w:style>
  <w:style w:type="character" w:styleId="Style18">
    <w:name w:val="Пункты Знак"/>
    <w:qFormat/>
    <w:rPr>
      <w:bCs/>
      <w:iCs/>
      <w:color w:val="000000"/>
      <w:sz w:val="24"/>
      <w:szCs w:val="28"/>
      <w:lang w:val="x-none" w:eastAsia="x-none"/>
    </w:rPr>
  </w:style>
  <w:style w:type="character" w:styleId="Style19">
    <w:name w:val="Ариал Таблица Знак"/>
    <w:qFormat/>
    <w:rPr>
      <w:rFonts w:ascii="Arial" w:hAnsi="Arial"/>
      <w:sz w:val="24"/>
      <w:lang w:val="x-none" w:eastAsia="x-none"/>
    </w:rPr>
  </w:style>
  <w:style w:type="character" w:styleId="Style20">
    <w:name w:val="Основной текст с отступом Знак"/>
    <w:basedOn w:val="DefaultParagraphFont"/>
    <w:qFormat/>
    <w:rPr>
      <w:sz w:val="24"/>
      <w:szCs w:val="24"/>
    </w:rPr>
  </w:style>
  <w:style w:type="character" w:styleId="FontStyle25">
    <w:name w:val="Font Style25"/>
    <w:qFormat/>
    <w:rPr>
      <w:rFonts w:ascii="Arial" w:hAnsi="Arial" w:cs="Arial"/>
      <w:sz w:val="18"/>
      <w:szCs w:val="18"/>
    </w:rPr>
  </w:style>
  <w:style w:type="character" w:styleId="FontStyle21">
    <w:name w:val="Font Style21"/>
    <w:qFormat/>
    <w:rPr>
      <w:rFonts w:ascii="Sylfaen" w:hAnsi="Sylfaen" w:cs="Sylfaen"/>
      <w:sz w:val="22"/>
      <w:szCs w:val="22"/>
    </w:rPr>
  </w:style>
  <w:style w:type="character" w:styleId="23">
    <w:name w:val="Основной текст 2 Знак"/>
    <w:basedOn w:val="DefaultParagraphFont"/>
    <w:qFormat/>
    <w:rPr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yle21">
    <w:name w:val="Схема документа Знак"/>
    <w:basedOn w:val="DefaultParagraphFont"/>
    <w:qFormat/>
    <w:rPr>
      <w:rFonts w:ascii="Tahoma" w:hAnsi="Tahoma" w:cs="Tahoma"/>
      <w:sz w:val="16"/>
      <w:szCs w:val="16"/>
    </w:rPr>
  </w:style>
  <w:style w:type="character" w:styleId="FontStyle23">
    <w:name w:val="Font Style23"/>
    <w:qFormat/>
    <w:rPr>
      <w:rFonts w:ascii="Times New Roman" w:hAnsi="Times New Roman" w:cs="Times New Roman"/>
      <w:sz w:val="22"/>
      <w:szCs w:val="22"/>
    </w:rPr>
  </w:style>
  <w:style w:type="character" w:styleId="Style22">
    <w:name w:val="Тема примечания Знак"/>
    <w:basedOn w:val="Style11"/>
    <w:qFormat/>
    <w:rPr>
      <w:b/>
      <w:bCs/>
    </w:rPr>
  </w:style>
  <w:style w:type="character" w:styleId="33">
    <w:name w:val="Основной текст 3 Знак"/>
    <w:basedOn w:val="DefaultParagraphFont"/>
    <w:qFormat/>
    <w:rPr>
      <w:sz w:val="16"/>
      <w:szCs w:val="16"/>
    </w:rPr>
  </w:style>
  <w:style w:type="character" w:styleId="24">
    <w:name w:val="Основной текст с отступом 2 Знак"/>
    <w:basedOn w:val="DefaultParagraphFont"/>
    <w:qFormat/>
    <w:rPr>
      <w:sz w:val="28"/>
      <w:szCs w:val="28"/>
    </w:rPr>
  </w:style>
  <w:style w:type="character" w:styleId="Apple-converted-space">
    <w:name w:val="apple-converted-space"/>
    <w:qFormat/>
    <w:rPr/>
  </w:style>
  <w:style w:type="character" w:styleId="Wmi-callto">
    <w:name w:val="wmi-callto"/>
    <w:qFormat/>
    <w:rPr/>
  </w:style>
  <w:style w:type="character" w:styleId="Style23">
    <w:name w:val="Нижний колонтитул Знак"/>
    <w:basedOn w:val="DefaultParagraphFont"/>
    <w:qFormat/>
    <w:rPr>
      <w:sz w:val="28"/>
      <w:szCs w:val="28"/>
    </w:rPr>
  </w:style>
  <w:style w:type="character" w:styleId="HTML">
    <w:name w:val="Стандартный HTML Знак"/>
    <w:basedOn w:val="DefaultParagraphFont"/>
    <w:qFormat/>
    <w:rPr>
      <w:rFonts w:ascii="Courier New" w:hAnsi="Courier New" w:cs="Courier New"/>
    </w:rPr>
  </w:style>
  <w:style w:type="character" w:styleId="Style24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2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766670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2" w:customStyle="1">
    <w:name w:val="Раздел регламента"/>
    <w:basedOn w:val="Normal"/>
    <w:qFormat/>
    <w:rsid w:val="00e228fa"/>
    <w:pPr/>
    <w:rPr/>
  </w:style>
  <w:style w:type="paragraph" w:styleId="Style3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ind w:left="720" w:hanging="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9" w:customStyle="1">
    <w:name w:val="Подподпункт"/>
    <w:basedOn w:val="Style3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Style4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43" w:customStyle="1">
    <w:name w:val="[РГ] Текст"/>
    <w:basedOn w:val="Normal"/>
    <w:qFormat/>
    <w:rsid w:val="00ff346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Default" w:customStyle="1">
    <w:name w:val="Default"/>
    <w:qFormat/>
    <w:rsid w:val="009a52d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ru-RU" w:eastAsia="en-US" w:bidi="ar-SA"/>
    </w:rPr>
  </w:style>
  <w:style w:type="paragraph" w:styleId="Style44" w:customStyle="1">
    <w:name w:val="Содержимое врезки"/>
    <w:basedOn w:val="Normal"/>
    <w:qFormat/>
    <w:pPr/>
    <w:rPr/>
  </w:style>
  <w:style w:type="paragraph" w:styleId="Style4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6" w:customStyle="1">
    <w:name w:val="Заголовок таблицы"/>
    <w:basedOn w:val="Style45"/>
    <w:qFormat/>
    <w:pPr>
      <w:jc w:val="center"/>
    </w:pPr>
    <w:rPr>
      <w:b/>
      <w:bCs/>
    </w:rPr>
  </w:style>
  <w:style w:type="paragraph" w:styleId="Font8">
    <w:name w:val="font8"/>
    <w:basedOn w:val="Normal"/>
    <w:qFormat/>
    <w:pPr>
      <w:spacing w:before="280" w:after="280"/>
    </w:pPr>
    <w:rPr>
      <w:rFonts w:ascii="Arial" w:hAnsi="Arial" w:cs="Arial"/>
      <w:color w:val="333333"/>
      <w:sz w:val="18"/>
      <w:szCs w:val="18"/>
    </w:rPr>
  </w:style>
  <w:style w:type="paragraph" w:styleId="Xl64">
    <w:name w:val="xl64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color w:val="000000"/>
      <w:sz w:val="20"/>
      <w:szCs w:val="20"/>
    </w:rPr>
  </w:style>
  <w:style w:type="paragraph" w:styleId="Xl63">
    <w:name w:val="xl63"/>
    <w:basedOn w:val="Normal"/>
    <w:qFormat/>
    <w:pPr>
      <w:spacing w:before="280" w:after="280"/>
    </w:pPr>
    <w:rPr>
      <w:color w:val="000000"/>
      <w:sz w:val="20"/>
      <w:szCs w:val="20"/>
    </w:rPr>
  </w:style>
  <w:style w:type="paragraph" w:styleId="Style47">
    <w:name w:val="Пункты"/>
    <w:basedOn w:val="Heading2"/>
    <w:qFormat/>
    <w:pPr>
      <w:numPr>
        <w:ilvl w:val="1"/>
        <w:numId w:val="8"/>
      </w:numPr>
      <w:tabs>
        <w:tab w:val="left" w:pos="0" w:leader="none"/>
        <w:tab w:val="left" w:pos="1134" w:leader="none"/>
      </w:tabs>
      <w:spacing w:before="120" w:after="0"/>
      <w:ind w:left="0" w:right="0" w:firstLine="567"/>
      <w:jc w:val="both"/>
    </w:pPr>
    <w:rPr>
      <w:rFonts w:eastAsia="Times New Roman"/>
      <w:b w:val="false"/>
      <w:iCs/>
      <w:color w:val="000000"/>
      <w:szCs w:val="28"/>
    </w:rPr>
  </w:style>
  <w:style w:type="paragraph" w:styleId="ListBullet3">
    <w:name w:val="List Bullet 3"/>
    <w:basedOn w:val="Normal"/>
    <w:qFormat/>
    <w:pPr>
      <w:spacing w:before="0" w:after="60"/>
      <w:ind w:left="566" w:right="0" w:hanging="283"/>
      <w:jc w:val="both"/>
    </w:pPr>
    <w:rPr>
      <w:sz w:val="24"/>
      <w:szCs w:val="24"/>
    </w:rPr>
  </w:style>
  <w:style w:type="paragraph" w:styleId="Style48">
    <w:name w:val="Ариал Таблица"/>
    <w:basedOn w:val="Normal"/>
    <w:qFormat/>
    <w:pPr>
      <w:widowControl w:val="false"/>
      <w:jc w:val="both"/>
      <w:textAlignment w:val="baseline"/>
    </w:pPr>
    <w:rPr>
      <w:rFonts w:ascii="Arial" w:hAnsi="Arial"/>
      <w:sz w:val="24"/>
      <w:szCs w:val="20"/>
      <w:lang w:val="x-none" w:eastAsia="x-none"/>
    </w:rPr>
  </w:style>
  <w:style w:type="paragraph" w:styleId="Xl39">
    <w:name w:val="xl3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8">
    <w:name w:val="xl3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sz w:val="24"/>
      <w:szCs w:val="24"/>
    </w:rPr>
  </w:style>
  <w:style w:type="paragraph" w:styleId="Xl37">
    <w:name w:val="xl3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eastAsia="Arial Unicode MS"/>
      <w:sz w:val="24"/>
      <w:szCs w:val="24"/>
    </w:rPr>
  </w:style>
  <w:style w:type="paragraph" w:styleId="Xl36">
    <w:name w:val="xl3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eastAsia="Arial Unicode MS"/>
      <w:sz w:val="24"/>
      <w:szCs w:val="24"/>
    </w:rPr>
  </w:style>
  <w:style w:type="paragraph" w:styleId="Xl35">
    <w:name w:val="xl3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eastAsia="Arial Unicode MS"/>
      <w:sz w:val="24"/>
      <w:szCs w:val="24"/>
    </w:rPr>
  </w:style>
  <w:style w:type="paragraph" w:styleId="Xl34">
    <w:name w:val="xl3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99"/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3">
    <w:name w:val="xl3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99"/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2">
    <w:name w:val="xl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99"/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31">
    <w:name w:val="xl3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30">
    <w:name w:val="xl3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9">
    <w:name w:val="xl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8">
    <w:name w:val="xl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color w:val="000000"/>
      <w:sz w:val="24"/>
      <w:szCs w:val="24"/>
    </w:rPr>
  </w:style>
  <w:style w:type="paragraph" w:styleId="Xl27">
    <w:name w:val="xl2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6">
    <w:name w:val="xl2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Xl25">
    <w:name w:val="xl2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eastAsia="Arial Unicode MS" w:cs="Arial"/>
      <w:b/>
      <w:bCs/>
      <w:sz w:val="24"/>
      <w:szCs w:val="24"/>
    </w:rPr>
  </w:style>
  <w:style w:type="paragraph" w:styleId="Style49">
    <w:name w:val="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141">
    <w:name w:val="Style14"/>
    <w:basedOn w:val="Normal"/>
    <w:qFormat/>
    <w:pPr>
      <w:widowControl w:val="false"/>
      <w:spacing w:lineRule="exact" w:line="226"/>
      <w:ind w:left="0" w:right="0" w:firstLine="490"/>
      <w:jc w:val="both"/>
    </w:pPr>
    <w:rPr>
      <w:rFonts w:ascii="Sylfaen" w:hAnsi="Sylfaen"/>
      <w:sz w:val="24"/>
      <w:szCs w:val="24"/>
    </w:rPr>
  </w:style>
  <w:style w:type="paragraph" w:styleId="Style91">
    <w:name w:val="Style9"/>
    <w:basedOn w:val="Normal"/>
    <w:qFormat/>
    <w:pPr>
      <w:widowControl w:val="false"/>
      <w:spacing w:lineRule="exact" w:line="209"/>
      <w:ind w:left="0" w:right="0" w:firstLine="533"/>
    </w:pPr>
    <w:rPr>
      <w:rFonts w:ascii="Sylfaen" w:hAnsi="Sylfaen"/>
      <w:sz w:val="24"/>
      <w:szCs w:val="24"/>
    </w:rPr>
  </w:style>
  <w:style w:type="paragraph" w:styleId="Style410">
    <w:name w:val="Style4"/>
    <w:basedOn w:val="Normal"/>
    <w:qFormat/>
    <w:pPr>
      <w:widowControl w:val="false"/>
    </w:pPr>
    <w:rPr>
      <w:rFonts w:ascii="Sylfaen" w:hAnsi="Sylfaen"/>
      <w:sz w:val="24"/>
      <w:szCs w:val="24"/>
    </w:rPr>
  </w:style>
  <w:style w:type="paragraph" w:styleId="ConsNormal1">
    <w:name w:val="ConsNormal"/>
    <w:qFormat/>
    <w:pPr>
      <w:widowControl w:val="false"/>
      <w:suppressAutoHyphens w:val="true"/>
      <w:overflowPunct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Xl124">
    <w:name w:val="xl124"/>
    <w:basedOn w:val="Normal"/>
    <w:qFormat/>
    <w:pPr>
      <w:pBdr>
        <w:top w:val="single" w:sz="4" w:space="0" w:color="000000"/>
        <w:left w:val="single" w:sz="4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123">
    <w:name w:val="xl123"/>
    <w:basedOn w:val="Normal"/>
    <w:qFormat/>
    <w:pPr>
      <w:pBdr>
        <w:left w:val="single" w:sz="4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122">
    <w:name w:val="xl122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21">
    <w:name w:val="xl1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20">
    <w:name w:val="xl120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19">
    <w:name w:val="xl119"/>
    <w:basedOn w:val="Normal"/>
    <w:qFormat/>
    <w:pPr>
      <w:pBdr>
        <w:left w:val="single" w:sz="4" w:space="0" w:color="000000"/>
        <w:right w:val="single" w:sz="4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118">
    <w:name w:val="xl118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sz w:val="24"/>
      <w:szCs w:val="24"/>
    </w:rPr>
  </w:style>
  <w:style w:type="paragraph" w:styleId="Xl117">
    <w:name w:val="xl117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16">
    <w:name w:val="xl116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15">
    <w:name w:val="xl115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14">
    <w:name w:val="xl11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113">
    <w:name w:val="xl1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112">
    <w:name w:val="xl112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11">
    <w:name w:val="xl111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110">
    <w:name w:val="xl110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109">
    <w:name w:val="xl109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108">
    <w:name w:val="xl108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sz w:val="24"/>
      <w:szCs w:val="24"/>
    </w:rPr>
  </w:style>
  <w:style w:type="paragraph" w:styleId="Xl107">
    <w:name w:val="xl107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/>
      <w:jc w:val="center"/>
    </w:pPr>
    <w:rPr>
      <w:sz w:val="24"/>
      <w:szCs w:val="24"/>
    </w:rPr>
  </w:style>
  <w:style w:type="paragraph" w:styleId="Xl106">
    <w:name w:val="xl106"/>
    <w:basedOn w:val="Normal"/>
    <w:qFormat/>
    <w:pPr>
      <w:pBdr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05">
    <w:name w:val="xl105"/>
    <w:basedOn w:val="Normal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04">
    <w:name w:val="xl10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03">
    <w:name w:val="xl103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102">
    <w:name w:val="xl102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01">
    <w:name w:val="xl101"/>
    <w:basedOn w:val="Normal"/>
    <w:qFormat/>
    <w:pPr>
      <w:pBdr>
        <w:left w:val="single" w:sz="8" w:space="0" w:color="000000"/>
        <w:right w:val="single" w:sz="4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100">
    <w:name w:val="xl100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280" w:after="280"/>
      <w:jc w:val="center"/>
      <w:textAlignment w:val="top"/>
    </w:pPr>
    <w:rPr>
      <w:sz w:val="24"/>
      <w:szCs w:val="24"/>
    </w:rPr>
  </w:style>
  <w:style w:type="paragraph" w:styleId="Xl99">
    <w:name w:val="xl99"/>
    <w:basedOn w:val="Normal"/>
    <w:qFormat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98">
    <w:name w:val="xl98"/>
    <w:basedOn w:val="Normal"/>
    <w:qFormat/>
    <w:pPr>
      <w:pBdr>
        <w:left w:val="single" w:sz="8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97">
    <w:name w:val="xl97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96">
    <w:name w:val="xl96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95">
    <w:name w:val="xl95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sz w:val="24"/>
      <w:szCs w:val="24"/>
    </w:rPr>
  </w:style>
  <w:style w:type="paragraph" w:styleId="Xl94">
    <w:name w:val="xl94"/>
    <w:basedOn w:val="Normal"/>
    <w:qFormat/>
    <w:pPr>
      <w:spacing w:before="280" w:after="280"/>
    </w:pPr>
    <w:rPr>
      <w:b/>
      <w:bCs/>
      <w:sz w:val="24"/>
      <w:szCs w:val="24"/>
    </w:rPr>
  </w:style>
  <w:style w:type="paragraph" w:styleId="Font7">
    <w:name w:val="font7"/>
    <w:basedOn w:val="Normal"/>
    <w:qFormat/>
    <w:pPr>
      <w:spacing w:before="280" w:after="280"/>
    </w:pPr>
    <w:rPr>
      <w:rFonts w:ascii="Arial" w:hAnsi="Arial" w:cs="Arial"/>
      <w:color w:val="494949"/>
      <w:sz w:val="20"/>
      <w:szCs w:val="20"/>
    </w:rPr>
  </w:style>
  <w:style w:type="paragraph" w:styleId="Xl93">
    <w:name w:val="xl93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92">
    <w:name w:val="xl92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91">
    <w:name w:val="xl91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90">
    <w:name w:val="xl90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fill="D9D9D9"/>
      <w:spacing w:before="280" w:after="280"/>
    </w:pPr>
    <w:rPr>
      <w:sz w:val="24"/>
      <w:szCs w:val="24"/>
    </w:rPr>
  </w:style>
  <w:style w:type="paragraph" w:styleId="Xl89">
    <w:name w:val="xl89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fill="D9D9D9"/>
      <w:spacing w:before="280" w:after="280"/>
      <w:textAlignment w:val="center"/>
    </w:pPr>
    <w:rPr>
      <w:b/>
      <w:bCs/>
      <w:sz w:val="24"/>
      <w:szCs w:val="24"/>
    </w:rPr>
  </w:style>
  <w:style w:type="paragraph" w:styleId="Xl88">
    <w:name w:val="xl88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b/>
      <w:bCs/>
      <w:sz w:val="24"/>
      <w:szCs w:val="24"/>
    </w:rPr>
  </w:style>
  <w:style w:type="paragraph" w:styleId="Xl87">
    <w:name w:val="xl87"/>
    <w:basedOn w:val="Normal"/>
    <w:qFormat/>
    <w:pPr>
      <w:pBdr>
        <w:top w:val="single" w:sz="8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86">
    <w:name w:val="xl86"/>
    <w:basedOn w:val="Normal"/>
    <w:qFormat/>
    <w:pPr>
      <w:pBdr>
        <w:top w:val="single" w:sz="8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sz w:val="24"/>
      <w:szCs w:val="24"/>
    </w:rPr>
  </w:style>
  <w:style w:type="paragraph" w:styleId="Xl85">
    <w:name w:val="xl85"/>
    <w:basedOn w:val="Normal"/>
    <w:qFormat/>
    <w:pPr>
      <w:pBdr>
        <w:top w:val="single" w:sz="8" w:space="0" w:color="000000"/>
        <w:bottom w:val="single" w:sz="8" w:space="0" w:color="000000"/>
      </w:pBdr>
      <w:shd w:val="clear" w:fill="D9D9D9"/>
      <w:spacing w:before="280" w:after="280"/>
      <w:textAlignment w:val="center"/>
    </w:pPr>
    <w:rPr>
      <w:b/>
      <w:bCs/>
      <w:sz w:val="24"/>
      <w:szCs w:val="24"/>
    </w:rPr>
  </w:style>
  <w:style w:type="paragraph" w:styleId="Xl84">
    <w:name w:val="xl84"/>
    <w:basedOn w:val="Normal"/>
    <w:qFormat/>
    <w:pPr>
      <w:pBdr>
        <w:top w:val="single" w:sz="8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83">
    <w:name w:val="xl83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fill="D9D9D9"/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82">
    <w:name w:val="xl82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Xl81">
    <w:name w:val="xl81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Xl80">
    <w:name w:val="xl80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9">
    <w:name w:val="xl79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8">
    <w:name w:val="xl78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7">
    <w:name w:val="xl77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Xl76">
    <w:name w:val="xl76"/>
    <w:basedOn w:val="Normal"/>
    <w:qFormat/>
    <w:pPr>
      <w:spacing w:before="280" w:after="280"/>
      <w:jc w:val="center"/>
      <w:textAlignment w:val="center"/>
    </w:pPr>
    <w:rPr>
      <w:b/>
      <w:bCs/>
      <w:sz w:val="24"/>
      <w:szCs w:val="24"/>
    </w:rPr>
  </w:style>
  <w:style w:type="paragraph" w:styleId="Xl75">
    <w:name w:val="xl75"/>
    <w:basedOn w:val="Normal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4">
    <w:name w:val="xl74"/>
    <w:basedOn w:val="Normal"/>
    <w:qFormat/>
    <w:pPr>
      <w:spacing w:before="280" w:after="280"/>
      <w:textAlignment w:val="center"/>
    </w:pPr>
    <w:rPr>
      <w:sz w:val="24"/>
      <w:szCs w:val="24"/>
    </w:rPr>
  </w:style>
  <w:style w:type="paragraph" w:styleId="Xl73">
    <w:name w:val="xl73"/>
    <w:basedOn w:val="Normal"/>
    <w:qFormat/>
    <w:pPr>
      <w:spacing w:before="280" w:after="280"/>
      <w:jc w:val="center"/>
      <w:textAlignment w:val="center"/>
    </w:pPr>
    <w:rPr>
      <w:sz w:val="24"/>
      <w:szCs w:val="24"/>
    </w:rPr>
  </w:style>
  <w:style w:type="paragraph" w:styleId="Xl72">
    <w:name w:val="xl72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1">
    <w:name w:val="xl71"/>
    <w:basedOn w:val="Normal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70">
    <w:name w:val="xl70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9">
    <w:name w:val="xl69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8">
    <w:name w:val="xl68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Xl67">
    <w:name w:val="xl67"/>
    <w:basedOn w:val="Normal"/>
    <w:qFormat/>
    <w:pPr>
      <w:pBdr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6">
    <w:name w:val="xl66"/>
    <w:basedOn w:val="Normal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center"/>
    </w:pPr>
    <w:rPr>
      <w:sz w:val="24"/>
      <w:szCs w:val="24"/>
    </w:rPr>
  </w:style>
  <w:style w:type="paragraph" w:styleId="Xl65">
    <w:name w:val="xl65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  <w:textAlignment w:val="center"/>
    </w:pPr>
    <w:rPr>
      <w:sz w:val="24"/>
      <w:szCs w:val="24"/>
    </w:rPr>
  </w:style>
  <w:style w:type="paragraph" w:styleId="Font6">
    <w:name w:val="font6"/>
    <w:basedOn w:val="Normal"/>
    <w:qFormat/>
    <w:pPr>
      <w:spacing w:before="280" w:after="280"/>
    </w:pPr>
    <w:rPr>
      <w:rFonts w:ascii="Calibri" w:hAnsi="Calibri"/>
      <w:color w:val="000000"/>
      <w:sz w:val="20"/>
      <w:szCs w:val="20"/>
    </w:rPr>
  </w:style>
  <w:style w:type="paragraph" w:styleId="Font5">
    <w:name w:val="font5"/>
    <w:basedOn w:val="Normal"/>
    <w:qFormat/>
    <w:pPr>
      <w:spacing w:before="280" w:after="280"/>
    </w:pPr>
    <w:rPr>
      <w:color w:val="000000"/>
      <w:sz w:val="24"/>
      <w:szCs w:val="24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38">
    <w:name w:val="Подзаголовок_3"/>
    <w:basedOn w:val="Normal"/>
    <w:qFormat/>
    <w:pPr>
      <w:keepNext w:val="true"/>
      <w:numPr>
        <w:ilvl w:val="2"/>
        <w:numId w:val="7"/>
      </w:numPr>
      <w:spacing w:before="240" w:after="120"/>
      <w:jc w:val="both"/>
      <w:outlineLvl w:val="2"/>
    </w:pPr>
    <w:rPr>
      <w:b/>
    </w:rPr>
  </w:style>
  <w:style w:type="paragraph" w:styleId="51">
    <w:name w:val="Пункт_5"/>
    <w:basedOn w:val="Normal"/>
    <w:qFormat/>
    <w:pPr>
      <w:numPr>
        <w:ilvl w:val="4"/>
        <w:numId w:val="7"/>
      </w:numPr>
      <w:jc w:val="both"/>
    </w:pPr>
    <w:rPr>
      <w:szCs w:val="24"/>
    </w:rPr>
  </w:style>
  <w:style w:type="paragraph" w:styleId="42">
    <w:name w:val="Пункт_4"/>
    <w:basedOn w:val="Normal"/>
    <w:qFormat/>
    <w:pPr>
      <w:numPr>
        <w:ilvl w:val="3"/>
        <w:numId w:val="7"/>
      </w:numPr>
      <w:jc w:val="both"/>
    </w:pPr>
    <w:rPr/>
  </w:style>
  <w:style w:type="paragraph" w:styleId="Style81">
    <w:name w:val="Style8"/>
    <w:basedOn w:val="Normal"/>
    <w:qFormat/>
    <w:pPr>
      <w:widowControl w:val="false"/>
      <w:spacing w:lineRule="exact" w:line="326"/>
      <w:ind w:left="0" w:right="0" w:firstLine="706"/>
      <w:jc w:val="both"/>
    </w:pPr>
    <w:rPr>
      <w:sz w:val="24"/>
      <w:szCs w:val="24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ru-RU" w:bidi="ar-SA"/>
    </w:rPr>
  </w:style>
  <w:style w:type="paragraph" w:styleId="AHeader">
    <w:name w:val="a_Header"/>
    <w:basedOn w:val="Normal"/>
    <w:qFormat/>
    <w:pPr>
      <w:tabs>
        <w:tab w:val="clear" w:pos="708"/>
        <w:tab w:val="left" w:pos="1985" w:leader="none"/>
      </w:tabs>
      <w:spacing w:before="0" w:after="60"/>
      <w:jc w:val="center"/>
      <w:textAlignment w:val="baseline"/>
    </w:pPr>
    <w:rPr>
      <w:rFonts w:ascii="Courier New CYR" w:hAnsi="Courier New CYR"/>
      <w:sz w:val="24"/>
      <w:szCs w:val="24"/>
    </w:rPr>
  </w:style>
  <w:style w:type="paragraph" w:styleId="HTMLPreformatted">
    <w:name w:val="HTML Preformatted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50">
    <w:name w:val="......."/>
    <w:basedOn w:val="Default"/>
    <w:next w:val="Default"/>
    <w:qFormat/>
    <w:pPr>
      <w:widowControl/>
      <w:suppressAutoHyphens w:val="false"/>
    </w:pPr>
    <w:rPr>
      <w:color w:val="auto"/>
      <w:kern w:val="0"/>
    </w:rPr>
  </w:style>
  <w:style w:type="paragraph" w:styleId="31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Style51">
    <w:name w:val="Абзац списка"/>
    <w:basedOn w:val="Normal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numbering" w:styleId="WW8Num4" w:customStyle="1">
    <w:name w:val="WW8Num4"/>
    <w:qFormat/>
  </w:style>
  <w:style w:type="numbering" w:styleId="111">
    <w:name w:val="Нет списка1"/>
    <w:qFormat/>
  </w:style>
  <w:style w:type="numbering" w:styleId="112">
    <w:name w:val="Нет списка11"/>
    <w:qFormat/>
  </w:style>
  <w:style w:type="numbering" w:styleId="212">
    <w:name w:val="Нет списка2"/>
    <w:qFormat/>
  </w:style>
  <w:style w:type="numbering" w:styleId="121">
    <w:name w:val="Нет списка12"/>
    <w:qFormat/>
  </w:style>
  <w:style w:type="numbering" w:styleId="39">
    <w:name w:val="Нет списка3"/>
    <w:qFormat/>
  </w:style>
  <w:style w:type="numbering" w:styleId="131">
    <w:name w:val="Нет списка13"/>
    <w:qFormat/>
  </w:style>
  <w:style w:type="numbering" w:styleId="1111">
    <w:name w:val="Нет списка111"/>
    <w:qFormat/>
  </w:style>
  <w:style w:type="numbering" w:styleId="213">
    <w:name w:val="Нет списка21"/>
    <w:qFormat/>
  </w:style>
  <w:style w:type="numbering" w:styleId="1211">
    <w:name w:val="Нет списка121"/>
    <w:qFormat/>
  </w:style>
  <w:style w:type="numbering" w:styleId="11111">
    <w:name w:val="Нет списка1111"/>
    <w:qFormat/>
  </w:style>
  <w:style w:type="numbering" w:styleId="312">
    <w:name w:val="Нет списка31"/>
    <w:qFormat/>
  </w:style>
  <w:style w:type="numbering" w:styleId="1311">
    <w:name w:val="Нет списка131"/>
    <w:qFormat/>
  </w:style>
  <w:style w:type="numbering" w:styleId="1121">
    <w:name w:val="Нет списка112"/>
    <w:qFormat/>
  </w:style>
  <w:style w:type="numbering" w:styleId="111111">
    <w:name w:val="Нет списка11111"/>
    <w:qFormat/>
  </w:style>
  <w:style w:type="numbering" w:styleId="2111">
    <w:name w:val="Нет списка211"/>
    <w:qFormat/>
  </w:style>
  <w:style w:type="numbering" w:styleId="12111">
    <w:name w:val="Нет списка1211"/>
    <w:qFormat/>
  </w:style>
  <w:style w:type="numbering" w:styleId="3111">
    <w:name w:val="Нет списка311"/>
    <w:qFormat/>
  </w:style>
  <w:style w:type="numbering" w:styleId="13111">
    <w:name w:val="Нет списка1311"/>
    <w:qFormat/>
  </w:style>
  <w:style w:type="numbering" w:styleId="11211">
    <w:name w:val="Нет списка1121"/>
    <w:qFormat/>
  </w:style>
  <w:style w:type="numbering" w:styleId="21111">
    <w:name w:val="Нет списка2111"/>
    <w:qFormat/>
  </w:style>
  <w:style w:type="numbering" w:styleId="121111">
    <w:name w:val="Нет списка12111"/>
    <w:qFormat/>
  </w:style>
  <w:style w:type="numbering" w:styleId="43">
    <w:name w:val="Нет списка4"/>
    <w:qFormat/>
  </w:style>
  <w:style w:type="numbering" w:styleId="141">
    <w:name w:val="Нет списка14"/>
    <w:qFormat/>
  </w:style>
  <w:style w:type="numbering" w:styleId="113">
    <w:name w:val="Нет списка113"/>
    <w:qFormat/>
  </w:style>
  <w:style w:type="numbering" w:styleId="221">
    <w:name w:val="Нет списка22"/>
    <w:qFormat/>
  </w:style>
  <w:style w:type="numbering" w:styleId="122">
    <w:name w:val="Нет списка122"/>
    <w:qFormat/>
  </w:style>
  <w:style w:type="numbering" w:styleId="52">
    <w:name w:val="Нет списка5"/>
    <w:qFormat/>
  </w:style>
  <w:style w:type="numbering" w:styleId="151">
    <w:name w:val="Нет списка15"/>
    <w:qFormat/>
  </w:style>
  <w:style w:type="numbering" w:styleId="114">
    <w:name w:val="Нет списка114"/>
    <w:qFormat/>
  </w:style>
  <w:style w:type="numbering" w:styleId="231">
    <w:name w:val="Нет списка23"/>
    <w:qFormat/>
  </w:style>
  <w:style w:type="numbering" w:styleId="123">
    <w:name w:val="Нет списка123"/>
    <w:qFormat/>
  </w:style>
  <w:style w:type="numbering" w:styleId="61">
    <w:name w:val="Нет списка6"/>
    <w:qFormat/>
  </w:style>
  <w:style w:type="numbering" w:styleId="161">
    <w:name w:val="Нет списка16"/>
    <w:qFormat/>
  </w:style>
  <w:style w:type="numbering" w:styleId="115">
    <w:name w:val="Нет списка115"/>
    <w:qFormat/>
  </w:style>
  <w:style w:type="numbering" w:styleId="241">
    <w:name w:val="Нет списка24"/>
    <w:qFormat/>
  </w:style>
  <w:style w:type="numbering" w:styleId="124">
    <w:name w:val="Нет списка124"/>
    <w:qFormat/>
  </w:style>
  <w:style w:type="numbering" w:styleId="1111111">
    <w:name w:val="Нет списка111111"/>
    <w:qFormat/>
  </w:style>
  <w:style w:type="numbering" w:styleId="71">
    <w:name w:val="Нет списка7"/>
    <w:qFormat/>
  </w:style>
  <w:style w:type="numbering" w:styleId="171">
    <w:name w:val="Нет списка17"/>
    <w:qFormat/>
  </w:style>
  <w:style w:type="numbering" w:styleId="116">
    <w:name w:val="Нет списка116"/>
    <w:qFormat/>
  </w:style>
  <w:style w:type="numbering" w:styleId="251">
    <w:name w:val="Нет списка25"/>
    <w:qFormat/>
  </w:style>
  <w:style w:type="numbering" w:styleId="125">
    <w:name w:val="Нет списка125"/>
    <w:qFormat/>
  </w:style>
  <w:style w:type="numbering" w:styleId="1112">
    <w:name w:val="Нет списка1112"/>
    <w:qFormat/>
  </w:style>
  <w:style w:type="numbering" w:styleId="81">
    <w:name w:val="Нет списка8"/>
    <w:qFormat/>
  </w:style>
  <w:style w:type="numbering" w:styleId="181">
    <w:name w:val="Нет списка18"/>
    <w:qFormat/>
  </w:style>
  <w:style w:type="numbering" w:styleId="117">
    <w:name w:val="Нет списка117"/>
    <w:qFormat/>
  </w:style>
  <w:style w:type="numbering" w:styleId="1113">
    <w:name w:val="Нет списка1113"/>
    <w:qFormat/>
  </w:style>
  <w:style w:type="numbering" w:styleId="261">
    <w:name w:val="Нет списка26"/>
    <w:qFormat/>
  </w:style>
  <w:style w:type="numbering" w:styleId="126">
    <w:name w:val="Нет списка126"/>
    <w:qFormat/>
  </w:style>
  <w:style w:type="numbering" w:styleId="321">
    <w:name w:val="Нет списка32"/>
    <w:qFormat/>
  </w:style>
  <w:style w:type="numbering" w:styleId="132">
    <w:name w:val="Нет списка132"/>
    <w:qFormat/>
  </w:style>
  <w:style w:type="numbering" w:styleId="1122">
    <w:name w:val="Нет списка1122"/>
    <w:qFormat/>
  </w:style>
  <w:style w:type="numbering" w:styleId="2121">
    <w:name w:val="Нет списка212"/>
    <w:qFormat/>
  </w:style>
  <w:style w:type="numbering" w:styleId="1212">
    <w:name w:val="Нет списка1212"/>
    <w:qFormat/>
  </w:style>
  <w:style w:type="numbering" w:styleId="411">
    <w:name w:val="Нет списка41"/>
    <w:qFormat/>
  </w:style>
  <w:style w:type="numbering" w:styleId="1411">
    <w:name w:val="Нет списка141"/>
    <w:qFormat/>
  </w:style>
  <w:style w:type="numbering" w:styleId="1131">
    <w:name w:val="Нет списка1131"/>
    <w:qFormat/>
  </w:style>
  <w:style w:type="numbering" w:styleId="2211">
    <w:name w:val="Нет списка221"/>
    <w:qFormat/>
  </w:style>
  <w:style w:type="numbering" w:styleId="1221">
    <w:name w:val="Нет списка1221"/>
    <w:qFormat/>
  </w:style>
  <w:style w:type="numbering" w:styleId="511">
    <w:name w:val="Нет списка51"/>
    <w:qFormat/>
  </w:style>
  <w:style w:type="numbering" w:styleId="1511">
    <w:name w:val="Нет списка151"/>
    <w:qFormat/>
  </w:style>
  <w:style w:type="numbering" w:styleId="1141">
    <w:name w:val="Нет списка1141"/>
    <w:qFormat/>
  </w:style>
  <w:style w:type="numbering" w:styleId="2311">
    <w:name w:val="Нет списка231"/>
    <w:qFormat/>
  </w:style>
  <w:style w:type="numbering" w:styleId="1231">
    <w:name w:val="Нет списка1231"/>
    <w:qFormat/>
  </w:style>
  <w:style w:type="numbering" w:styleId="611">
    <w:name w:val="Нет списка61"/>
    <w:qFormat/>
  </w:style>
  <w:style w:type="numbering" w:styleId="1611">
    <w:name w:val="Нет списка161"/>
    <w:qFormat/>
  </w:style>
  <w:style w:type="numbering" w:styleId="1151">
    <w:name w:val="Нет списка1151"/>
    <w:qFormat/>
  </w:style>
  <w:style w:type="numbering" w:styleId="2411">
    <w:name w:val="Нет списка241"/>
    <w:qFormat/>
  </w:style>
  <w:style w:type="numbering" w:styleId="1241">
    <w:name w:val="Нет списка1241"/>
    <w:qFormat/>
  </w:style>
  <w:style w:type="numbering" w:styleId="11112">
    <w:name w:val="Нет списка11112"/>
    <w:qFormat/>
  </w:style>
  <w:style w:type="numbering" w:styleId="711">
    <w:name w:val="Нет списка71"/>
    <w:qFormat/>
  </w:style>
  <w:style w:type="numbering" w:styleId="1711">
    <w:name w:val="Нет списка171"/>
    <w:qFormat/>
  </w:style>
  <w:style w:type="numbering" w:styleId="1161">
    <w:name w:val="Нет списка1161"/>
    <w:qFormat/>
  </w:style>
  <w:style w:type="numbering" w:styleId="2511">
    <w:name w:val="Нет списка251"/>
    <w:qFormat/>
  </w:style>
  <w:style w:type="numbering" w:styleId="1251">
    <w:name w:val="Нет списка1251"/>
    <w:qFormat/>
  </w:style>
  <w:style w:type="numbering" w:styleId="11121">
    <w:name w:val="Нет списка11121"/>
    <w:qFormat/>
  </w:style>
  <w:style w:type="numbering" w:styleId="91">
    <w:name w:val="Нет списка9"/>
    <w:qFormat/>
  </w:style>
  <w:style w:type="numbering" w:styleId="191">
    <w:name w:val="Нет списка19"/>
    <w:qFormat/>
  </w:style>
  <w:style w:type="numbering" w:styleId="118">
    <w:name w:val="Нет списка118"/>
    <w:qFormat/>
  </w:style>
  <w:style w:type="numbering" w:styleId="1114">
    <w:name w:val="Нет списка1114"/>
    <w:qFormat/>
  </w:style>
  <w:style w:type="numbering" w:styleId="271">
    <w:name w:val="Нет списка27"/>
    <w:qFormat/>
  </w:style>
  <w:style w:type="numbering" w:styleId="127">
    <w:name w:val="Нет списка127"/>
    <w:qFormat/>
  </w:style>
  <w:style w:type="numbering" w:styleId="331">
    <w:name w:val="Нет списка33"/>
    <w:qFormat/>
  </w:style>
  <w:style w:type="numbering" w:styleId="133">
    <w:name w:val="Нет списка133"/>
    <w:qFormat/>
  </w:style>
  <w:style w:type="numbering" w:styleId="1123">
    <w:name w:val="Нет списка1123"/>
    <w:qFormat/>
  </w:style>
  <w:style w:type="numbering" w:styleId="2131">
    <w:name w:val="Нет списка213"/>
    <w:qFormat/>
  </w:style>
  <w:style w:type="numbering" w:styleId="1213">
    <w:name w:val="Нет списка1213"/>
    <w:qFormat/>
  </w:style>
  <w:style w:type="numbering" w:styleId="421">
    <w:name w:val="Нет списка42"/>
    <w:qFormat/>
  </w:style>
  <w:style w:type="numbering" w:styleId="142">
    <w:name w:val="Нет списка142"/>
    <w:qFormat/>
  </w:style>
  <w:style w:type="numbering" w:styleId="1132">
    <w:name w:val="Нет списка1132"/>
    <w:qFormat/>
  </w:style>
  <w:style w:type="numbering" w:styleId="222">
    <w:name w:val="Нет списка222"/>
    <w:qFormat/>
  </w:style>
  <w:style w:type="numbering" w:styleId="1222">
    <w:name w:val="Нет списка1222"/>
    <w:qFormat/>
  </w:style>
  <w:style w:type="numbering" w:styleId="521">
    <w:name w:val="Нет списка52"/>
    <w:qFormat/>
  </w:style>
  <w:style w:type="numbering" w:styleId="152">
    <w:name w:val="Нет списка152"/>
    <w:qFormat/>
  </w:style>
  <w:style w:type="numbering" w:styleId="1142">
    <w:name w:val="Нет списка1142"/>
    <w:qFormat/>
  </w:style>
  <w:style w:type="numbering" w:styleId="232">
    <w:name w:val="Нет списка232"/>
    <w:qFormat/>
  </w:style>
  <w:style w:type="numbering" w:styleId="1232">
    <w:name w:val="Нет списка1232"/>
    <w:qFormat/>
  </w:style>
  <w:style w:type="numbering" w:styleId="62">
    <w:name w:val="Нет списка62"/>
    <w:qFormat/>
  </w:style>
  <w:style w:type="numbering" w:styleId="162">
    <w:name w:val="Нет списка162"/>
    <w:qFormat/>
  </w:style>
  <w:style w:type="numbering" w:styleId="1152">
    <w:name w:val="Нет списка1152"/>
    <w:qFormat/>
  </w:style>
  <w:style w:type="numbering" w:styleId="242">
    <w:name w:val="Нет списка242"/>
    <w:qFormat/>
  </w:style>
  <w:style w:type="numbering" w:styleId="1242">
    <w:name w:val="Нет списка1242"/>
    <w:qFormat/>
  </w:style>
  <w:style w:type="numbering" w:styleId="11113">
    <w:name w:val="Нет списка11113"/>
    <w:qFormat/>
  </w:style>
  <w:style w:type="numbering" w:styleId="72">
    <w:name w:val="Нет списка72"/>
    <w:qFormat/>
  </w:style>
  <w:style w:type="numbering" w:styleId="172">
    <w:name w:val="Нет списка172"/>
    <w:qFormat/>
  </w:style>
  <w:style w:type="numbering" w:styleId="1162">
    <w:name w:val="Нет списка1162"/>
    <w:qFormat/>
  </w:style>
  <w:style w:type="numbering" w:styleId="252">
    <w:name w:val="Нет списка252"/>
    <w:qFormat/>
  </w:style>
  <w:style w:type="numbering" w:styleId="1252">
    <w:name w:val="Нет списка1252"/>
    <w:qFormat/>
  </w:style>
  <w:style w:type="numbering" w:styleId="11122">
    <w:name w:val="Нет списка11122"/>
    <w:qFormat/>
  </w:style>
  <w:style w:type="numbering" w:styleId="10">
    <w:name w:val="Нет списка10"/>
    <w:qFormat/>
  </w:style>
  <w:style w:type="numbering" w:styleId="1101">
    <w:name w:val="Нет списка110"/>
    <w:qFormat/>
  </w:style>
  <w:style w:type="numbering" w:styleId="119">
    <w:name w:val="Нет списка119"/>
    <w:qFormat/>
  </w:style>
  <w:style w:type="numbering" w:styleId="1115">
    <w:name w:val="Нет списка1115"/>
    <w:qFormat/>
  </w:style>
  <w:style w:type="numbering" w:styleId="281">
    <w:name w:val="Нет списка28"/>
    <w:qFormat/>
  </w:style>
  <w:style w:type="numbering" w:styleId="128">
    <w:name w:val="Нет списка128"/>
    <w:qFormat/>
  </w:style>
  <w:style w:type="numbering" w:styleId="341">
    <w:name w:val="Нет списка34"/>
    <w:qFormat/>
  </w:style>
  <w:style w:type="numbering" w:styleId="134">
    <w:name w:val="Нет списка134"/>
    <w:qFormat/>
  </w:style>
  <w:style w:type="numbering" w:styleId="1124">
    <w:name w:val="Нет списка1124"/>
    <w:qFormat/>
  </w:style>
  <w:style w:type="numbering" w:styleId="214">
    <w:name w:val="Нет списка214"/>
    <w:qFormat/>
  </w:style>
  <w:style w:type="numbering" w:styleId="1214">
    <w:name w:val="Нет списка1214"/>
    <w:qFormat/>
  </w:style>
  <w:style w:type="numbering" w:styleId="431">
    <w:name w:val="Нет списка43"/>
    <w:qFormat/>
  </w:style>
  <w:style w:type="numbering" w:styleId="143">
    <w:name w:val="Нет списка143"/>
    <w:qFormat/>
  </w:style>
  <w:style w:type="numbering" w:styleId="1133">
    <w:name w:val="Нет списка1133"/>
    <w:qFormat/>
  </w:style>
  <w:style w:type="numbering" w:styleId="223">
    <w:name w:val="Нет списка223"/>
    <w:qFormat/>
  </w:style>
  <w:style w:type="numbering" w:styleId="1223">
    <w:name w:val="Нет списка1223"/>
    <w:qFormat/>
  </w:style>
  <w:style w:type="numbering" w:styleId="53">
    <w:name w:val="Нет списка53"/>
    <w:qFormat/>
  </w:style>
  <w:style w:type="numbering" w:styleId="153">
    <w:name w:val="Нет списка153"/>
    <w:qFormat/>
  </w:style>
  <w:style w:type="numbering" w:styleId="1143">
    <w:name w:val="Нет списка1143"/>
    <w:qFormat/>
  </w:style>
  <w:style w:type="numbering" w:styleId="233">
    <w:name w:val="Нет списка233"/>
    <w:qFormat/>
  </w:style>
  <w:style w:type="numbering" w:styleId="1233">
    <w:name w:val="Нет списка1233"/>
    <w:qFormat/>
  </w:style>
  <w:style w:type="numbering" w:styleId="63">
    <w:name w:val="Нет списка63"/>
    <w:qFormat/>
  </w:style>
  <w:style w:type="numbering" w:styleId="163">
    <w:name w:val="Нет списка163"/>
    <w:qFormat/>
  </w:style>
  <w:style w:type="numbering" w:styleId="1153">
    <w:name w:val="Нет списка1153"/>
    <w:qFormat/>
  </w:style>
  <w:style w:type="numbering" w:styleId="243">
    <w:name w:val="Нет списка243"/>
    <w:qFormat/>
  </w:style>
  <w:style w:type="numbering" w:styleId="1243">
    <w:name w:val="Нет списка1243"/>
    <w:qFormat/>
  </w:style>
  <w:style w:type="numbering" w:styleId="11114">
    <w:name w:val="Нет списка11114"/>
    <w:qFormat/>
  </w:style>
  <w:style w:type="numbering" w:styleId="31111">
    <w:name w:val="Нет списка3111"/>
    <w:qFormat/>
  </w:style>
  <w:style w:type="numbering" w:styleId="131111">
    <w:name w:val="Нет списка13111"/>
    <w:qFormat/>
  </w:style>
  <w:style w:type="numbering" w:styleId="112111">
    <w:name w:val="Нет списка11211"/>
    <w:qFormat/>
  </w:style>
  <w:style w:type="numbering" w:styleId="11111111">
    <w:name w:val="Нет списка1111111"/>
    <w:qFormat/>
  </w:style>
  <w:style w:type="numbering" w:styleId="211111">
    <w:name w:val="Нет списка21111"/>
    <w:qFormat/>
  </w:style>
  <w:style w:type="numbering" w:styleId="1211111">
    <w:name w:val="Нет списка121111"/>
    <w:qFormat/>
  </w:style>
  <w:style w:type="numbering" w:styleId="311111">
    <w:name w:val="Нет списка31111"/>
    <w:qFormat/>
  </w:style>
  <w:style w:type="numbering" w:styleId="1311111">
    <w:name w:val="Нет списка131111"/>
    <w:qFormat/>
  </w:style>
  <w:style w:type="numbering" w:styleId="1121111">
    <w:name w:val="Нет списка112111"/>
    <w:qFormat/>
  </w:style>
  <w:style w:type="numbering" w:styleId="2111111">
    <w:name w:val="Нет списка211111"/>
    <w:qFormat/>
  </w:style>
  <w:style w:type="numbering" w:styleId="12111111">
    <w:name w:val="Нет списка1211111"/>
    <w:qFormat/>
  </w:style>
  <w:style w:type="numbering" w:styleId="4111">
    <w:name w:val="Нет списка411"/>
    <w:qFormat/>
  </w:style>
  <w:style w:type="numbering" w:styleId="14111">
    <w:name w:val="Нет списка1411"/>
    <w:qFormat/>
  </w:style>
  <w:style w:type="numbering" w:styleId="11311">
    <w:name w:val="Нет списка11311"/>
    <w:qFormat/>
  </w:style>
  <w:style w:type="numbering" w:styleId="22111">
    <w:name w:val="Нет списка2211"/>
    <w:qFormat/>
  </w:style>
  <w:style w:type="numbering" w:styleId="12211">
    <w:name w:val="Нет списка12211"/>
    <w:qFormat/>
  </w:style>
  <w:style w:type="numbering" w:styleId="5111">
    <w:name w:val="Нет списка511"/>
    <w:qFormat/>
  </w:style>
  <w:style w:type="numbering" w:styleId="15111">
    <w:name w:val="Нет списка1511"/>
    <w:qFormat/>
  </w:style>
  <w:style w:type="numbering" w:styleId="11411">
    <w:name w:val="Нет списка11411"/>
    <w:qFormat/>
  </w:style>
  <w:style w:type="numbering" w:styleId="23111">
    <w:name w:val="Нет списка2311"/>
    <w:qFormat/>
  </w:style>
  <w:style w:type="numbering" w:styleId="12311">
    <w:name w:val="Нет списка12311"/>
    <w:qFormat/>
  </w:style>
  <w:style w:type="numbering" w:styleId="6111">
    <w:name w:val="Нет списка611"/>
    <w:qFormat/>
  </w:style>
  <w:style w:type="numbering" w:styleId="16111">
    <w:name w:val="Нет списка1611"/>
    <w:qFormat/>
  </w:style>
  <w:style w:type="numbering" w:styleId="11511">
    <w:name w:val="Нет списка11511"/>
    <w:qFormat/>
  </w:style>
  <w:style w:type="numbering" w:styleId="24111">
    <w:name w:val="Нет списка2411"/>
    <w:qFormat/>
  </w:style>
  <w:style w:type="numbering" w:styleId="12411">
    <w:name w:val="Нет списка12411"/>
    <w:qFormat/>
  </w:style>
  <w:style w:type="numbering" w:styleId="111111111">
    <w:name w:val="Нет списка11111111"/>
    <w:qFormat/>
  </w:style>
  <w:style w:type="numbering" w:styleId="73">
    <w:name w:val="Нет списка73"/>
    <w:qFormat/>
  </w:style>
  <w:style w:type="numbering" w:styleId="173">
    <w:name w:val="Нет списка173"/>
    <w:qFormat/>
  </w:style>
  <w:style w:type="numbering" w:styleId="1163">
    <w:name w:val="Нет списка1163"/>
    <w:qFormat/>
  </w:style>
  <w:style w:type="numbering" w:styleId="253">
    <w:name w:val="Нет списка253"/>
    <w:qFormat/>
  </w:style>
  <w:style w:type="numbering" w:styleId="1253">
    <w:name w:val="Нет списка1253"/>
    <w:qFormat/>
  </w:style>
  <w:style w:type="numbering" w:styleId="11123">
    <w:name w:val="Нет списка11123"/>
    <w:qFormat/>
  </w:style>
  <w:style w:type="numbering" w:styleId="811">
    <w:name w:val="Нет списка81"/>
    <w:qFormat/>
  </w:style>
  <w:style w:type="numbering" w:styleId="1811">
    <w:name w:val="Нет списка181"/>
    <w:qFormat/>
  </w:style>
  <w:style w:type="numbering" w:styleId="1171">
    <w:name w:val="Нет списка1171"/>
    <w:qFormat/>
  </w:style>
  <w:style w:type="numbering" w:styleId="11131">
    <w:name w:val="Нет списка11131"/>
    <w:qFormat/>
  </w:style>
  <w:style w:type="numbering" w:styleId="2611">
    <w:name w:val="Нет списка261"/>
    <w:qFormat/>
  </w:style>
  <w:style w:type="numbering" w:styleId="1261">
    <w:name w:val="Нет списка1261"/>
    <w:qFormat/>
  </w:style>
  <w:style w:type="numbering" w:styleId="3211">
    <w:name w:val="Нет списка321"/>
    <w:qFormat/>
  </w:style>
  <w:style w:type="numbering" w:styleId="1321">
    <w:name w:val="Нет списка1321"/>
    <w:qFormat/>
  </w:style>
  <w:style w:type="numbering" w:styleId="11221">
    <w:name w:val="Нет списка11221"/>
    <w:qFormat/>
  </w:style>
  <w:style w:type="numbering" w:styleId="21211">
    <w:name w:val="Нет списка2121"/>
    <w:qFormat/>
  </w:style>
  <w:style w:type="numbering" w:styleId="12121">
    <w:name w:val="Нет списка12121"/>
    <w:qFormat/>
  </w:style>
  <w:style w:type="numbering" w:styleId="41111">
    <w:name w:val="Нет списка4111"/>
    <w:qFormat/>
  </w:style>
  <w:style w:type="numbering" w:styleId="141111">
    <w:name w:val="Нет списка14111"/>
    <w:qFormat/>
  </w:style>
  <w:style w:type="numbering" w:styleId="113111">
    <w:name w:val="Нет списка113111"/>
    <w:qFormat/>
  </w:style>
  <w:style w:type="numbering" w:styleId="221111">
    <w:name w:val="Нет списка22111"/>
    <w:qFormat/>
  </w:style>
  <w:style w:type="numbering" w:styleId="122111">
    <w:name w:val="Нет списка122111"/>
    <w:qFormat/>
  </w:style>
  <w:style w:type="numbering" w:styleId="51111">
    <w:name w:val="Нет списка5111"/>
    <w:qFormat/>
  </w:style>
  <w:style w:type="numbering" w:styleId="151111">
    <w:name w:val="Нет списка15111"/>
    <w:qFormat/>
  </w:style>
  <w:style w:type="numbering" w:styleId="114111">
    <w:name w:val="Нет списка114111"/>
    <w:qFormat/>
  </w:style>
  <w:style w:type="numbering" w:styleId="231111">
    <w:name w:val="Нет списка23111"/>
    <w:qFormat/>
  </w:style>
  <w:style w:type="numbering" w:styleId="123111">
    <w:name w:val="Нет списка123111"/>
    <w:qFormat/>
  </w:style>
  <w:style w:type="numbering" w:styleId="61111">
    <w:name w:val="Нет списка6111"/>
    <w:qFormat/>
  </w:style>
  <w:style w:type="numbering" w:styleId="161111">
    <w:name w:val="Нет списка16111"/>
    <w:qFormat/>
  </w:style>
  <w:style w:type="numbering" w:styleId="115111">
    <w:name w:val="Нет списка115111"/>
    <w:qFormat/>
  </w:style>
  <w:style w:type="numbering" w:styleId="241111">
    <w:name w:val="Нет списка24111"/>
    <w:qFormat/>
  </w:style>
  <w:style w:type="numbering" w:styleId="124111">
    <w:name w:val="Нет списка124111"/>
    <w:qFormat/>
  </w:style>
  <w:style w:type="numbering" w:styleId="111121">
    <w:name w:val="Нет списка111121"/>
    <w:qFormat/>
  </w:style>
  <w:style w:type="numbering" w:styleId="7111">
    <w:name w:val="Нет списка711"/>
    <w:qFormat/>
  </w:style>
  <w:style w:type="numbering" w:styleId="17111">
    <w:name w:val="Нет списка1711"/>
    <w:qFormat/>
  </w:style>
  <w:style w:type="numbering" w:styleId="11611">
    <w:name w:val="Нет списка11611"/>
    <w:qFormat/>
  </w:style>
  <w:style w:type="numbering" w:styleId="25111">
    <w:name w:val="Нет списка2511"/>
    <w:qFormat/>
  </w:style>
  <w:style w:type="numbering" w:styleId="12511">
    <w:name w:val="Нет списка12511"/>
    <w:qFormat/>
  </w:style>
  <w:style w:type="numbering" w:styleId="111211">
    <w:name w:val="Нет списка111211"/>
    <w:qFormat/>
  </w:style>
  <w:style w:type="numbering" w:styleId="911">
    <w:name w:val="Нет списка91"/>
    <w:qFormat/>
  </w:style>
  <w:style w:type="numbering" w:styleId="1911">
    <w:name w:val="Нет списка191"/>
    <w:qFormat/>
  </w:style>
  <w:style w:type="numbering" w:styleId="1181">
    <w:name w:val="Нет списка1181"/>
    <w:qFormat/>
  </w:style>
  <w:style w:type="numbering" w:styleId="11141">
    <w:name w:val="Нет списка11141"/>
    <w:qFormat/>
  </w:style>
  <w:style w:type="numbering" w:styleId="2711">
    <w:name w:val="Нет списка271"/>
    <w:qFormat/>
  </w:style>
  <w:style w:type="numbering" w:styleId="1271">
    <w:name w:val="Нет списка1271"/>
    <w:qFormat/>
  </w:style>
  <w:style w:type="numbering" w:styleId="3311">
    <w:name w:val="Нет списка331"/>
    <w:qFormat/>
  </w:style>
  <w:style w:type="numbering" w:styleId="1331">
    <w:name w:val="Нет списка1331"/>
    <w:qFormat/>
  </w:style>
  <w:style w:type="numbering" w:styleId="11231">
    <w:name w:val="Нет списка11231"/>
    <w:qFormat/>
  </w:style>
  <w:style w:type="numbering" w:styleId="21311">
    <w:name w:val="Нет списка2131"/>
    <w:qFormat/>
  </w:style>
  <w:style w:type="numbering" w:styleId="12131">
    <w:name w:val="Нет списка12131"/>
    <w:qFormat/>
  </w:style>
  <w:style w:type="numbering" w:styleId="4211">
    <w:name w:val="Нет списка421"/>
    <w:qFormat/>
  </w:style>
  <w:style w:type="numbering" w:styleId="1421">
    <w:name w:val="Нет списка1421"/>
    <w:qFormat/>
  </w:style>
  <w:style w:type="numbering" w:styleId="11321">
    <w:name w:val="Нет списка11321"/>
    <w:qFormat/>
  </w:style>
  <w:style w:type="numbering" w:styleId="2221">
    <w:name w:val="Нет списка2221"/>
    <w:qFormat/>
  </w:style>
  <w:style w:type="numbering" w:styleId="12221">
    <w:name w:val="Нет списка12221"/>
    <w:qFormat/>
  </w:style>
  <w:style w:type="numbering" w:styleId="5211">
    <w:name w:val="Нет списка521"/>
    <w:qFormat/>
  </w:style>
  <w:style w:type="numbering" w:styleId="1521">
    <w:name w:val="Нет списка1521"/>
    <w:qFormat/>
  </w:style>
  <w:style w:type="numbering" w:styleId="11421">
    <w:name w:val="Нет списка11421"/>
    <w:qFormat/>
  </w:style>
  <w:style w:type="numbering" w:styleId="2321">
    <w:name w:val="Нет списка2321"/>
    <w:qFormat/>
  </w:style>
  <w:style w:type="numbering" w:styleId="12321">
    <w:name w:val="Нет списка12321"/>
    <w:qFormat/>
  </w:style>
  <w:style w:type="numbering" w:styleId="621">
    <w:name w:val="Нет списка621"/>
    <w:qFormat/>
  </w:style>
  <w:style w:type="numbering" w:styleId="1621">
    <w:name w:val="Нет списка1621"/>
    <w:qFormat/>
  </w:style>
  <w:style w:type="numbering" w:styleId="11521">
    <w:name w:val="Нет списка11521"/>
    <w:qFormat/>
  </w:style>
  <w:style w:type="numbering" w:styleId="2421">
    <w:name w:val="Нет списка2421"/>
    <w:qFormat/>
  </w:style>
  <w:style w:type="numbering" w:styleId="12421">
    <w:name w:val="Нет списка12421"/>
    <w:qFormat/>
  </w:style>
  <w:style w:type="numbering" w:styleId="111131">
    <w:name w:val="Нет списка111131"/>
    <w:qFormat/>
  </w:style>
  <w:style w:type="numbering" w:styleId="721">
    <w:name w:val="Нет списка721"/>
    <w:qFormat/>
  </w:style>
  <w:style w:type="numbering" w:styleId="1721">
    <w:name w:val="Нет списка1721"/>
    <w:qFormat/>
  </w:style>
  <w:style w:type="numbering" w:styleId="11621">
    <w:name w:val="Нет списка11621"/>
    <w:qFormat/>
  </w:style>
  <w:style w:type="numbering" w:styleId="2521">
    <w:name w:val="Нет списка2521"/>
    <w:qFormat/>
  </w:style>
  <w:style w:type="numbering" w:styleId="12521">
    <w:name w:val="Нет списка12521"/>
    <w:qFormat/>
  </w:style>
  <w:style w:type="numbering" w:styleId="111221">
    <w:name w:val="Нет списка111221"/>
    <w:qFormat/>
  </w:style>
  <w:style w:type="numbering" w:styleId="34305100621">
    <w:name w:val="3430510062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F667B-B566-4F41-84CE-E1854D535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5388</TotalTime>
  <Application>AlterOffice/3.4.0.9$Linux_X86_64 LibreOffice_project/b8daf9e823b1a5463a2f48435ddc2e8696e7d4fc</Application>
  <AppVersion>15.0000</AppVersion>
  <Pages>21</Pages>
  <Words>2991</Words>
  <Characters>20236</Characters>
  <CharactersWithSpaces>22636</CharactersWithSpaces>
  <Paragraphs>744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2023-08-31T12:35:00Z</dcterms:created>
  <dc:creator>Быстров Олег Геннадьевич</dc:creator>
  <dc:description/>
  <dc:language>ru-RU</dc:language>
  <cp:lastModifiedBy>tolpyginanv@corp.gidroogk.com</cp:lastModifiedBy>
  <cp:lastPrinted>2026-10-01T10:31:32Z</cp:lastPrinted>
  <dcterms:modified xsi:type="dcterms:W3CDTF">2026-10-01T16:36:02Z</dcterms:modified>
  <cp:revision>169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