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60" w:after="120"/>
        <w:ind w:left="425"/>
        <w:jc w:val="center"/>
        <w:rPr>
          <w:rFonts w:ascii="Times New Roman" w:hAnsi="Times New Roman" w:eastAsia="Calibri"/>
          <w:b/>
          <w:caps/>
          <w:sz w:val="22"/>
          <w:szCs w:val="22"/>
        </w:rPr>
      </w:pPr>
      <w:r>
        <w:rPr>
          <w:rFonts w:eastAsia="Calibri" w:ascii="Times New Roman" w:hAnsi="Times New Roman"/>
          <w:b/>
          <w:caps/>
          <w:sz w:val="22"/>
          <w:szCs w:val="22"/>
        </w:rPr>
        <w:t>ОБОСНОВАНИЕ начальной (максимальной) цены договора</w:t>
      </w:r>
      <w:r>
        <w:rPr>
          <w:rFonts w:eastAsia="Calibri" w:ascii="Times New Roman" w:hAnsi="Times New Roman"/>
          <w:sz w:val="22"/>
          <w:szCs w:val="22"/>
        </w:rPr>
        <w:t xml:space="preserve"> / </w:t>
      </w:r>
      <w:r>
        <w:rPr>
          <w:rFonts w:eastAsia="Calibri" w:ascii="Times New Roman" w:hAnsi="Times New Roman"/>
          <w:b/>
          <w:caps/>
          <w:sz w:val="22"/>
          <w:szCs w:val="22"/>
        </w:rPr>
        <w:t>цены единицы товара, работы, услуги</w:t>
      </w:r>
    </w:p>
    <w:p>
      <w:pPr>
        <w:pStyle w:val="Normal"/>
        <w:numPr>
          <w:ilvl w:val="0"/>
          <w:numId w:val="2"/>
        </w:numPr>
        <w:spacing w:lineRule="exact" w:line="360" w:before="120" w:after="120"/>
        <w:ind w:hanging="357" w:left="714"/>
        <w:jc w:val="both"/>
        <w:rPr>
          <w:rFonts w:ascii="Times New Roman" w:hAnsi="Times New Roman" w:eastAsia="Calibri"/>
          <w:b/>
          <w:sz w:val="22"/>
          <w:szCs w:val="22"/>
        </w:rPr>
      </w:pPr>
      <w:r>
        <w:rPr>
          <w:rFonts w:eastAsia="Calibri" w:ascii="Times New Roman" w:hAnsi="Times New Roman"/>
          <w:b/>
          <w:sz w:val="22"/>
          <w:szCs w:val="22"/>
        </w:rPr>
        <w:t>Общая информация</w:t>
      </w:r>
    </w:p>
    <w:tbl>
      <w:tblPr>
        <w:tblStyle w:val="1"/>
        <w:tblW w:w="9922" w:type="dxa"/>
        <w:jc w:val="left"/>
        <w:tblInd w:w="421" w:type="dxa"/>
        <w:tblLayout w:type="fixed"/>
        <w:tblCellMar>
          <w:top w:w="0" w:type="dxa"/>
          <w:left w:w="108" w:type="dxa"/>
          <w:bottom w:w="0" w:type="dxa"/>
          <w:right w:w="108" w:type="dxa"/>
        </w:tblCellMar>
        <w:tblLook w:val="04a0" w:noHBand="0" w:noVBand="1" w:firstColumn="1" w:lastRow="0" w:lastColumn="0" w:firstRow="1"/>
      </w:tblPr>
      <w:tblGrid>
        <w:gridCol w:w="709"/>
        <w:gridCol w:w="3259"/>
        <w:gridCol w:w="5954"/>
      </w:tblGrid>
      <w:tr>
        <w:trPr>
          <w:trHeight w:val="147" w:hRule="atLeast"/>
        </w:trPr>
        <w:tc>
          <w:tcPr>
            <w:tcW w:w="709"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t>№</w:t>
            </w:r>
          </w:p>
        </w:tc>
        <w:tc>
          <w:tcPr>
            <w:tcW w:w="3259"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t>Наименование</w:t>
            </w:r>
          </w:p>
        </w:tc>
        <w:tc>
          <w:tcPr>
            <w:tcW w:w="5954"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t>Информация по лоту</w:t>
            </w:r>
          </w:p>
        </w:tc>
      </w:tr>
      <w:tr>
        <w:trPr/>
        <w:tc>
          <w:tcPr>
            <w:tcW w:w="709" w:type="dxa"/>
            <w:tcBorders/>
          </w:tcPr>
          <w:p>
            <w:pPr>
              <w:pStyle w:val="Normal"/>
              <w:widowControl/>
              <w:numPr>
                <w:ilvl w:val="1"/>
                <w:numId w:val="2"/>
              </w:numPr>
              <w:spacing w:lineRule="exact" w:line="360" w:before="120" w:after="120"/>
              <w:ind w:hanging="0" w:left="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r>
          </w:p>
        </w:tc>
        <w:tc>
          <w:tcPr>
            <w:tcW w:w="3259"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t>Наименование лота</w:t>
            </w:r>
          </w:p>
        </w:tc>
        <w:tc>
          <w:tcPr>
            <w:tcW w:w="5954"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Calibri" w:cs="Times New Roman" w:ascii="Times New Roman" w:hAnsi="Times New Roman"/>
                <w:kern w:val="0"/>
                <w:szCs w:val="24"/>
                <w:lang w:eastAsia="ru-RU" w:bidi="ar-SA"/>
              </w:rPr>
              <w:t>ОКПД2 64.19.21.000 Привлечение заемных средств</w:t>
            </w:r>
            <w:bookmarkStart w:id="0" w:name="_GoBack"/>
            <w:bookmarkEnd w:id="0"/>
          </w:p>
        </w:tc>
      </w:tr>
      <w:tr>
        <w:trPr/>
        <w:tc>
          <w:tcPr>
            <w:tcW w:w="709" w:type="dxa"/>
            <w:tcBorders/>
          </w:tcPr>
          <w:p>
            <w:pPr>
              <w:pStyle w:val="Normal"/>
              <w:widowControl/>
              <w:numPr>
                <w:ilvl w:val="1"/>
                <w:numId w:val="2"/>
              </w:numPr>
              <w:spacing w:lineRule="exact" w:line="360" w:before="120" w:after="120"/>
              <w:ind w:hanging="0" w:left="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r>
          </w:p>
        </w:tc>
        <w:tc>
          <w:tcPr>
            <w:tcW w:w="3259"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t>Номер лота</w:t>
            </w:r>
          </w:p>
        </w:tc>
        <w:tc>
          <w:tcPr>
            <w:tcW w:w="5954"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Times New Roman" w:cs="Times New Roman" w:ascii="Times New Roman" w:hAnsi="Times New Roman"/>
                <w:kern w:val="0"/>
                <w:szCs w:val="26"/>
                <w:lang w:val="en-US" w:eastAsia="ru-RU" w:bidi="ar-SA"/>
              </w:rPr>
              <w:t xml:space="preserve">№ </w:t>
            </w:r>
            <w:r>
              <w:rPr>
                <w:rFonts w:eastAsia="Times New Roman" w:cs="Times New Roman" w:ascii="Times New Roman" w:hAnsi="Times New Roman"/>
                <w:kern w:val="0"/>
                <w:szCs w:val="26"/>
                <w:lang w:val="en-US" w:eastAsia="ru-RU" w:bidi="ar-SA"/>
              </w:rPr>
              <w:t>4-ДКФ-2026-ИА</w:t>
            </w:r>
          </w:p>
        </w:tc>
      </w:tr>
      <w:tr>
        <w:trPr/>
        <w:tc>
          <w:tcPr>
            <w:tcW w:w="709" w:type="dxa"/>
            <w:tcBorders/>
          </w:tcPr>
          <w:p>
            <w:pPr>
              <w:pStyle w:val="Normal"/>
              <w:widowControl/>
              <w:numPr>
                <w:ilvl w:val="1"/>
                <w:numId w:val="2"/>
              </w:numPr>
              <w:spacing w:lineRule="exact" w:line="360" w:before="120" w:after="120"/>
              <w:ind w:hanging="0" w:left="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r>
          </w:p>
        </w:tc>
        <w:tc>
          <w:tcPr>
            <w:tcW w:w="3259" w:type="dxa"/>
            <w:tcBorders/>
          </w:tcPr>
          <w:p>
            <w:pPr>
              <w:pStyle w:val="Normal"/>
              <w:widowControl/>
              <w:spacing w:lineRule="exact" w:line="360" w:before="120" w:after="0"/>
              <w:contextualSpacing/>
              <w:jc w:val="both"/>
              <w:rPr>
                <w:rFonts w:ascii="Times New Roman" w:hAnsi="Times New Roman" w:eastAsia="Calibri"/>
                <w:sz w:val="22"/>
                <w:szCs w:val="22"/>
              </w:rPr>
            </w:pPr>
            <w:r>
              <w:rPr>
                <w:rFonts w:eastAsia="Calibri" w:cs="Times New Roman" w:ascii="Times New Roman" w:hAnsi="Times New Roman"/>
                <w:kern w:val="0"/>
                <w:sz w:val="22"/>
                <w:szCs w:val="22"/>
                <w:lang w:bidi="ar-SA"/>
              </w:rPr>
              <w:t>НМЦ лота</w:t>
            </w:r>
          </w:p>
        </w:tc>
        <w:tc>
          <w:tcPr>
            <w:tcW w:w="5954" w:type="dxa"/>
            <w:tcBorders/>
          </w:tcPr>
          <w:p>
            <w:pPr>
              <w:pStyle w:val="Normal"/>
              <w:widowControl/>
              <w:spacing w:lineRule="exact" w:line="360" w:before="120" w:after="0"/>
              <w:contextualSpacing/>
              <w:jc w:val="both"/>
              <w:rPr>
                <w:rFonts w:ascii="Times New Roman" w:hAnsi="Times New Roman" w:eastAsia="Calibri"/>
                <w:sz w:val="22"/>
                <w:szCs w:val="22"/>
                <w:lang w:val="en-US"/>
              </w:rPr>
            </w:pPr>
            <w:r>
              <w:rPr>
                <w:rFonts w:eastAsia="Calibri" w:cs="Times New Roman" w:ascii="Times New Roman" w:hAnsi="Times New Roman"/>
                <w:kern w:val="0"/>
                <w:sz w:val="22"/>
                <w:szCs w:val="22"/>
                <w:lang w:val="en-US" w:bidi="ar-SA"/>
              </w:rPr>
              <w:t>182</w:t>
            </w:r>
            <w:r>
              <w:rPr>
                <w:rFonts w:eastAsia="Calibri" w:cs="Times New Roman" w:ascii="Times New Roman" w:hAnsi="Times New Roman"/>
                <w:kern w:val="0"/>
                <w:sz w:val="22"/>
                <w:szCs w:val="22"/>
                <w:lang w:bidi="ar-SA"/>
              </w:rPr>
              <w:t> </w:t>
            </w:r>
            <w:r>
              <w:rPr>
                <w:rFonts w:eastAsia="Calibri" w:cs="Times New Roman" w:ascii="Times New Roman" w:hAnsi="Times New Roman"/>
                <w:kern w:val="0"/>
                <w:sz w:val="22"/>
                <w:szCs w:val="22"/>
                <w:lang w:val="en-US" w:bidi="ar-SA"/>
              </w:rPr>
              <w:t>5</w:t>
            </w:r>
            <w:r>
              <w:rPr>
                <w:rFonts w:eastAsia="Calibri" w:cs="Times New Roman" w:ascii="Times New Roman" w:hAnsi="Times New Roman"/>
                <w:kern w:val="0"/>
                <w:sz w:val="22"/>
                <w:szCs w:val="22"/>
                <w:lang w:bidi="ar-SA"/>
              </w:rPr>
              <w:t>00 000 000,00 рублей без учета НДС</w:t>
            </w:r>
          </w:p>
        </w:tc>
      </w:tr>
    </w:tbl>
    <w:p>
      <w:pPr>
        <w:pStyle w:val="Normal"/>
        <w:spacing w:before="0" w:after="120"/>
        <w:jc w:val="both"/>
        <w:rPr>
          <w:rFonts w:ascii="Times New Roman" w:hAnsi="Times New Roman" w:eastAsia="Calibri"/>
          <w:sz w:val="22"/>
          <w:szCs w:val="22"/>
        </w:rPr>
      </w:pPr>
      <w:r>
        <w:rPr>
          <w:rFonts w:eastAsia="Calibri" w:ascii="Times New Roman" w:hAnsi="Times New Roman"/>
          <w:sz w:val="22"/>
          <w:szCs w:val="22"/>
        </w:rPr>
      </w:r>
    </w:p>
    <w:p>
      <w:pPr>
        <w:pStyle w:val="Normal"/>
        <w:numPr>
          <w:ilvl w:val="0"/>
          <w:numId w:val="2"/>
        </w:numPr>
        <w:spacing w:lineRule="exact" w:line="360" w:before="120" w:after="120"/>
        <w:jc w:val="both"/>
        <w:rPr>
          <w:rFonts w:ascii="Times New Roman" w:hAnsi="Times New Roman" w:eastAsia="Calibri"/>
          <w:b/>
          <w:sz w:val="22"/>
          <w:szCs w:val="22"/>
        </w:rPr>
      </w:pPr>
      <w:r>
        <w:rPr>
          <w:rFonts w:eastAsia="Calibri" w:ascii="Times New Roman" w:hAnsi="Times New Roman"/>
          <w:b/>
          <w:sz w:val="22"/>
          <w:szCs w:val="22"/>
        </w:rPr>
        <w:t>Используемый метод расчета НМЦ</w:t>
      </w:r>
    </w:p>
    <w:p>
      <w:pPr>
        <w:pStyle w:val="ListParagraph"/>
        <w:numPr>
          <w:ilvl w:val="1"/>
          <w:numId w:val="2"/>
        </w:numPr>
        <w:spacing w:before="0" w:after="120"/>
        <w:contextualSpacing/>
        <w:jc w:val="both"/>
        <w:rPr>
          <w:rFonts w:ascii="Times New Roman" w:hAnsi="Times New Roman" w:eastAsia="Calibri"/>
          <w:sz w:val="22"/>
          <w:szCs w:val="22"/>
        </w:rPr>
      </w:pPr>
      <w:r>
        <w:rPr>
          <w:rFonts w:eastAsia="Calibri" w:ascii="Times New Roman" w:hAnsi="Times New Roman"/>
          <w:sz w:val="22"/>
          <w:szCs w:val="22"/>
        </w:rPr>
        <w:t xml:space="preserve">Метод мониторинга рынка. </w:t>
      </w:r>
    </w:p>
    <w:p>
      <w:pPr>
        <w:pStyle w:val="Normal"/>
        <w:spacing w:before="0" w:after="120"/>
        <w:ind w:left="426"/>
        <w:jc w:val="both"/>
        <w:rPr>
          <w:rFonts w:ascii="Times New Roman" w:hAnsi="Times New Roman" w:eastAsia="Calibri"/>
          <w:sz w:val="22"/>
          <w:szCs w:val="22"/>
        </w:rPr>
      </w:pPr>
      <w:r>
        <w:rPr>
          <w:rFonts w:eastAsia="Calibri" w:ascii="Times New Roman" w:hAnsi="Times New Roman"/>
          <w:sz w:val="22"/>
          <w:szCs w:val="22"/>
        </w:rPr>
        <w:t xml:space="preserve">Механизмом реализации сделки является заключение рамочного кредитного соглашения, ценой которого является предельная процентная ставка, рассчитанная как значение ключевой ставки Банка России плюс предельный размер маржи. Коммерческие параметры заимствований по кредитному соглашению определяются непосредственно перед привлечением заемных средств. Значение ключевой ставки Банка России носит расчетный характер, т.к. в кредитном соглашении действует установленная Банком России ключевая ставка. Условием торгов является предельный размер маржи. </w:t>
      </w:r>
    </w:p>
    <w:p>
      <w:pPr>
        <w:pStyle w:val="Normal"/>
        <w:spacing w:before="0" w:after="120"/>
        <w:ind w:left="426"/>
        <w:jc w:val="both"/>
        <w:rPr>
          <w:rFonts w:ascii="Times New Roman" w:hAnsi="Times New Roman" w:eastAsia="Calibri"/>
          <w:sz w:val="22"/>
          <w:szCs w:val="22"/>
        </w:rPr>
      </w:pPr>
      <w:r>
        <w:rPr>
          <w:rFonts w:eastAsia="Calibri" w:ascii="Times New Roman" w:hAnsi="Times New Roman"/>
          <w:sz w:val="22"/>
          <w:szCs w:val="22"/>
        </w:rPr>
        <w:t>В связи с высокой волатильностью показателя ключевой ставки Центрального банка Российской Федерации (далее - ЦБ РФ) анализ проведен при ключевой ставке 13,25 % годовых.</w:t>
      </w:r>
    </w:p>
    <w:p>
      <w:pPr>
        <w:pStyle w:val="ListParagraph"/>
        <w:numPr>
          <w:ilvl w:val="1"/>
          <w:numId w:val="2"/>
        </w:numPr>
        <w:spacing w:before="0" w:after="120"/>
        <w:contextualSpacing/>
        <w:jc w:val="both"/>
        <w:rPr>
          <w:rFonts w:ascii="Times New Roman" w:hAnsi="Times New Roman" w:eastAsia="Calibri"/>
          <w:sz w:val="22"/>
          <w:szCs w:val="22"/>
        </w:rPr>
      </w:pPr>
      <w:r>
        <w:rPr>
          <w:rFonts w:eastAsia="Calibri" w:ascii="Times New Roman" w:hAnsi="Times New Roman"/>
          <w:sz w:val="22"/>
          <w:szCs w:val="22"/>
        </w:rPr>
        <w:t>Обоснование расчета НМЦ:</w:t>
      </w:r>
    </w:p>
    <w:tbl>
      <w:tblPr>
        <w:tblW w:w="9922" w:type="dxa"/>
        <w:jc w:val="left"/>
        <w:tblInd w:w="421" w:type="dxa"/>
        <w:tblLayout w:type="fixed"/>
        <w:tblCellMar>
          <w:top w:w="0" w:type="dxa"/>
          <w:left w:w="108" w:type="dxa"/>
          <w:bottom w:w="0" w:type="dxa"/>
          <w:right w:w="108" w:type="dxa"/>
        </w:tblCellMar>
        <w:tblLook w:val="04a0" w:noHBand="0" w:noVBand="1" w:firstColumn="1" w:lastRow="0" w:lastColumn="0" w:firstRow="1"/>
      </w:tblPr>
      <w:tblGrid>
        <w:gridCol w:w="1558"/>
        <w:gridCol w:w="1702"/>
        <w:gridCol w:w="1983"/>
        <w:gridCol w:w="1703"/>
        <w:gridCol w:w="2976"/>
      </w:tblGrid>
      <w:tr>
        <w:trPr>
          <w:trHeight w:val="1724" w:hRule="atLeast"/>
        </w:trPr>
        <w:tc>
          <w:tcPr>
            <w:tcW w:w="1558" w:type="dxa"/>
            <w:tcBorders>
              <w:top w:val="single" w:sz="4" w:space="0" w:color="000000"/>
              <w:left w:val="single" w:sz="4" w:space="0" w:color="000000"/>
              <w:bottom w:val="single" w:sz="4" w:space="0" w:color="000000"/>
              <w:right w:val="single" w:sz="4" w:space="0" w:color="000000"/>
            </w:tcBorders>
            <w:shd w:color="000000" w:fill="E7E6E6" w:val="clear"/>
            <w:vAlign w:val="center"/>
          </w:tcPr>
          <w:p>
            <w:pPr>
              <w:pStyle w:val="Normal"/>
              <w:jc w:val="center"/>
              <w:rPr>
                <w:rFonts w:ascii="Times New Roman" w:hAnsi="Times New Roman" w:eastAsia="Times New Roman"/>
                <w:b/>
                <w:bCs/>
                <w:sz w:val="22"/>
                <w:szCs w:val="22"/>
                <w:lang w:eastAsia="ru-RU"/>
              </w:rPr>
            </w:pPr>
            <w:r>
              <w:rPr>
                <w:rFonts w:eastAsia="Times New Roman" w:ascii="Times New Roman" w:hAnsi="Times New Roman"/>
                <w:b/>
                <w:bCs/>
                <w:sz w:val="22"/>
                <w:szCs w:val="22"/>
                <w:lang w:eastAsia="ru-RU"/>
              </w:rPr>
              <w:t>Наименование товара/ работы/ услуги в составе лота</w:t>
            </w:r>
          </w:p>
        </w:tc>
        <w:tc>
          <w:tcPr>
            <w:tcW w:w="1702" w:type="dxa"/>
            <w:tcBorders>
              <w:top w:val="single" w:sz="4" w:space="0" w:color="000000"/>
              <w:left w:val="single" w:sz="4" w:space="0" w:color="000000"/>
              <w:bottom w:val="single" w:sz="4" w:space="0" w:color="000000"/>
              <w:right w:val="single" w:sz="4" w:space="0" w:color="000000"/>
            </w:tcBorders>
            <w:shd w:color="000000" w:fill="E7E6E6" w:val="clear"/>
            <w:vAlign w:val="center"/>
          </w:tcPr>
          <w:p>
            <w:pPr>
              <w:pStyle w:val="Normal"/>
              <w:jc w:val="center"/>
              <w:rPr>
                <w:rFonts w:ascii="Times New Roman" w:hAnsi="Times New Roman" w:eastAsia="Times New Roman"/>
                <w:b/>
                <w:bCs/>
                <w:sz w:val="22"/>
                <w:szCs w:val="22"/>
                <w:lang w:eastAsia="ru-RU"/>
              </w:rPr>
            </w:pPr>
            <w:r>
              <w:rPr>
                <w:rFonts w:eastAsia="Times New Roman" w:ascii="Times New Roman" w:hAnsi="Times New Roman"/>
                <w:b/>
                <w:bCs/>
                <w:sz w:val="22"/>
                <w:szCs w:val="22"/>
                <w:lang w:eastAsia="ru-RU"/>
              </w:rPr>
              <w:t>Наименование источника ценовой информации (ИЦИ)</w:t>
            </w:r>
          </w:p>
        </w:tc>
        <w:tc>
          <w:tcPr>
            <w:tcW w:w="1983" w:type="dxa"/>
            <w:tcBorders>
              <w:top w:val="single" w:sz="4" w:space="0" w:color="000000"/>
              <w:left w:val="single" w:sz="4" w:space="0" w:color="000000"/>
              <w:bottom w:val="single" w:sz="4" w:space="0" w:color="000000"/>
              <w:right w:val="single" w:sz="4" w:space="0" w:color="000000"/>
            </w:tcBorders>
            <w:shd w:color="000000" w:fill="E7E6E6" w:val="clear"/>
            <w:vAlign w:val="center"/>
          </w:tcPr>
          <w:p>
            <w:pPr>
              <w:pStyle w:val="Normal"/>
              <w:jc w:val="center"/>
              <w:rPr>
                <w:rFonts w:ascii="Times New Roman" w:hAnsi="Times New Roman" w:eastAsia="Times New Roman"/>
                <w:b/>
                <w:bCs/>
                <w:sz w:val="22"/>
                <w:szCs w:val="22"/>
                <w:lang w:eastAsia="ru-RU"/>
              </w:rPr>
            </w:pPr>
            <w:r>
              <w:rPr>
                <w:rFonts w:eastAsia="Times New Roman" w:ascii="Times New Roman" w:hAnsi="Times New Roman"/>
                <w:b/>
                <w:bCs/>
                <w:sz w:val="22"/>
                <w:szCs w:val="22"/>
                <w:lang w:eastAsia="ru-RU"/>
              </w:rPr>
              <w:t>Цена из соответствующего ИЦИ, в руб. без НДС</w:t>
            </w:r>
          </w:p>
        </w:tc>
        <w:tc>
          <w:tcPr>
            <w:tcW w:w="1703" w:type="dxa"/>
            <w:tcBorders>
              <w:top w:val="single" w:sz="4" w:space="0" w:color="000000"/>
              <w:left w:val="single" w:sz="4" w:space="0" w:color="000000"/>
              <w:bottom w:val="single" w:sz="4" w:space="0" w:color="000000"/>
              <w:right w:val="single" w:sz="4" w:space="0" w:color="000000"/>
            </w:tcBorders>
            <w:shd w:color="000000" w:fill="E7E6E6" w:val="clear"/>
            <w:vAlign w:val="center"/>
          </w:tcPr>
          <w:p>
            <w:pPr>
              <w:pStyle w:val="Normal"/>
              <w:jc w:val="center"/>
              <w:rPr>
                <w:rFonts w:ascii="Times New Roman" w:hAnsi="Times New Roman" w:eastAsia="Times New Roman"/>
                <w:b/>
                <w:bCs/>
                <w:sz w:val="22"/>
                <w:szCs w:val="22"/>
                <w:lang w:eastAsia="ru-RU"/>
              </w:rPr>
            </w:pPr>
            <w:r>
              <w:rPr>
                <w:rFonts w:eastAsia="Times New Roman" w:ascii="Times New Roman" w:hAnsi="Times New Roman"/>
                <w:b/>
                <w:bCs/>
                <w:sz w:val="22"/>
                <w:szCs w:val="22"/>
                <w:lang w:eastAsia="ru-RU"/>
              </w:rPr>
              <w:t xml:space="preserve">Цена итоговая, </w:t>
            </w:r>
          </w:p>
          <w:p>
            <w:pPr>
              <w:pStyle w:val="Normal"/>
              <w:jc w:val="center"/>
              <w:rPr>
                <w:rFonts w:ascii="Times New Roman" w:hAnsi="Times New Roman" w:eastAsia="Times New Roman"/>
                <w:b/>
                <w:bCs/>
                <w:sz w:val="22"/>
                <w:szCs w:val="22"/>
                <w:lang w:eastAsia="ru-RU"/>
              </w:rPr>
            </w:pPr>
            <w:r>
              <w:rPr>
                <w:rFonts w:eastAsia="Times New Roman" w:ascii="Times New Roman" w:hAnsi="Times New Roman"/>
                <w:b/>
                <w:bCs/>
                <w:sz w:val="22"/>
                <w:szCs w:val="22"/>
                <w:lang w:eastAsia="ru-RU"/>
              </w:rPr>
              <w:t>в руб. без НДС</w:t>
            </w:r>
          </w:p>
        </w:tc>
        <w:tc>
          <w:tcPr>
            <w:tcW w:w="2976" w:type="dxa"/>
            <w:tcBorders>
              <w:top w:val="single" w:sz="4" w:space="0" w:color="000000"/>
              <w:left w:val="single" w:sz="4" w:space="0" w:color="000000"/>
              <w:bottom w:val="single" w:sz="4" w:space="0" w:color="000000"/>
              <w:right w:val="single" w:sz="4" w:space="0" w:color="000000"/>
            </w:tcBorders>
            <w:shd w:color="000000" w:fill="E7E6E6" w:val="clear"/>
            <w:vAlign w:val="center"/>
          </w:tcPr>
          <w:p>
            <w:pPr>
              <w:pStyle w:val="Normal"/>
              <w:jc w:val="center"/>
              <w:rPr>
                <w:rFonts w:ascii="Times New Roman" w:hAnsi="Times New Roman" w:eastAsia="Times New Roman"/>
                <w:b/>
                <w:bCs/>
                <w:sz w:val="22"/>
                <w:szCs w:val="22"/>
                <w:lang w:eastAsia="ru-RU"/>
              </w:rPr>
            </w:pPr>
            <w:r>
              <w:rPr>
                <w:rFonts w:eastAsia="Times New Roman" w:ascii="Times New Roman" w:hAnsi="Times New Roman"/>
                <w:b/>
                <w:bCs/>
                <w:sz w:val="22"/>
                <w:szCs w:val="22"/>
                <w:lang w:eastAsia="ru-RU"/>
              </w:rPr>
              <w:t>Комментарии</w:t>
            </w:r>
          </w:p>
        </w:tc>
      </w:tr>
      <w:tr>
        <w:trPr>
          <w:trHeight w:val="1595" w:hRule="atLeast"/>
        </w:trPr>
        <w:tc>
          <w:tcPr>
            <w:tcW w:w="155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Times New Roman" w:hAnsi="Times New Roman" w:eastAsia="Calibri"/>
                <w:sz w:val="22"/>
                <w:szCs w:val="22"/>
              </w:rPr>
            </w:pPr>
            <w:r>
              <w:rPr>
                <w:rFonts w:eastAsia="Calibri" w:ascii="Times New Roman" w:hAnsi="Times New Roman"/>
                <w:sz w:val="22"/>
                <w:szCs w:val="22"/>
              </w:rPr>
            </w:r>
          </w:p>
          <w:p>
            <w:pPr>
              <w:pStyle w:val="Normal"/>
              <w:rPr>
                <w:rFonts w:ascii="Times New Roman" w:hAnsi="Times New Roman" w:eastAsia="Calibri"/>
                <w:sz w:val="22"/>
                <w:szCs w:val="22"/>
              </w:rPr>
            </w:pPr>
            <w:r>
              <w:rPr>
                <w:rFonts w:eastAsia="Calibri" w:ascii="Times New Roman" w:hAnsi="Times New Roman"/>
                <w:sz w:val="22"/>
                <w:szCs w:val="22"/>
              </w:rPr>
              <w:t>Расходы на</w:t>
            </w:r>
          </w:p>
          <w:p>
            <w:pPr>
              <w:pStyle w:val="Normal"/>
              <w:rPr>
                <w:rFonts w:ascii="Times New Roman" w:hAnsi="Times New Roman" w:eastAsia="Calibri"/>
                <w:sz w:val="22"/>
                <w:szCs w:val="22"/>
              </w:rPr>
            </w:pPr>
            <w:r>
              <w:rPr>
                <w:rFonts w:eastAsia="Calibri" w:ascii="Times New Roman" w:hAnsi="Times New Roman"/>
                <w:sz w:val="22"/>
                <w:szCs w:val="22"/>
              </w:rPr>
              <w:t>привлечение заемных средств</w:t>
            </w:r>
          </w:p>
          <w:p>
            <w:pPr>
              <w:pStyle w:val="Normal"/>
              <w:rPr>
                <w:rFonts w:ascii="Times New Roman" w:hAnsi="Times New Roman" w:eastAsia="Calibri"/>
                <w:sz w:val="22"/>
                <w:szCs w:val="22"/>
              </w:rPr>
            </w:pPr>
            <w:r>
              <w:rPr>
                <w:rFonts w:eastAsia="Calibri" w:ascii="Times New Roman" w:hAnsi="Times New Roman"/>
                <w:sz w:val="22"/>
                <w:szCs w:val="22"/>
              </w:rPr>
            </w:r>
          </w:p>
          <w:p>
            <w:pPr>
              <w:pStyle w:val="Normal"/>
              <w:rPr>
                <w:rFonts w:ascii="Times New Roman" w:hAnsi="Times New Roman" w:eastAsia="Calibri"/>
                <w:sz w:val="22"/>
                <w:szCs w:val="22"/>
              </w:rPr>
            </w:pPr>
            <w:r>
              <w:rPr>
                <w:rFonts w:eastAsia="Calibri" w:ascii="Times New Roman" w:hAnsi="Times New Roman"/>
                <w:sz w:val="22"/>
                <w:szCs w:val="22"/>
              </w:rPr>
            </w:r>
          </w:p>
          <w:p>
            <w:pPr>
              <w:pStyle w:val="Normal"/>
              <w:rPr>
                <w:rFonts w:ascii="Times New Roman" w:hAnsi="Times New Roman" w:eastAsia="Times New Roman"/>
                <w:sz w:val="22"/>
                <w:szCs w:val="22"/>
                <w:lang w:eastAsia="ru-RU"/>
              </w:rPr>
            </w:pPr>
            <w:r>
              <w:rPr>
                <w:rFonts w:eastAsia="Calibri" w:ascii="Times New Roman" w:hAnsi="Times New Roman"/>
                <w:sz w:val="22"/>
                <w:szCs w:val="22"/>
              </w:rPr>
              <w:t xml:space="preserve"> </w:t>
            </w:r>
          </w:p>
        </w:tc>
        <w:tc>
          <w:tcPr>
            <w:tcW w:w="17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Times New Roman" w:hAnsi="Times New Roman" w:eastAsia="Times New Roman"/>
                <w:sz w:val="22"/>
                <w:szCs w:val="22"/>
                <w:lang w:eastAsia="ru-RU"/>
              </w:rPr>
            </w:pPr>
            <w:r>
              <w:rPr>
                <w:rFonts w:eastAsia="Times New Roman" w:ascii="Times New Roman" w:hAnsi="Times New Roman"/>
                <w:sz w:val="22"/>
                <w:szCs w:val="22"/>
                <w:lang w:eastAsia="ru-RU"/>
              </w:rPr>
              <w:t>Участник № 1</w:t>
            </w:r>
          </w:p>
        </w:tc>
        <w:tc>
          <w:tcPr>
            <w:tcW w:w="1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firstLine="108" w:left="-108"/>
              <w:jc w:val="center"/>
              <w:rPr>
                <w:rFonts w:ascii="Times New Roman" w:hAnsi="Times New Roman" w:eastAsia="Times New Roman"/>
                <w:sz w:val="22"/>
                <w:szCs w:val="22"/>
                <w:lang w:eastAsia="ru-RU"/>
              </w:rPr>
            </w:pPr>
            <w:r>
              <w:rPr>
                <w:rFonts w:eastAsia="Times New Roman" w:ascii="Times New Roman" w:hAnsi="Times New Roman"/>
                <w:sz w:val="22"/>
                <w:szCs w:val="22"/>
                <w:lang w:eastAsia="ru-RU"/>
              </w:rPr>
              <w:t>185 000 000 000*</w:t>
            </w:r>
          </w:p>
        </w:tc>
        <w:tc>
          <w:tcPr>
            <w:tcW w:w="170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Times New Roman" w:hAnsi="Times New Roman" w:eastAsia="Times New Roman"/>
                <w:sz w:val="22"/>
                <w:szCs w:val="22"/>
                <w:lang w:eastAsia="ru-RU"/>
              </w:rPr>
            </w:pPr>
            <w:r>
              <w:rPr>
                <w:rFonts w:eastAsia="Times New Roman" w:ascii="Times New Roman" w:hAnsi="Times New Roman"/>
                <w:sz w:val="22"/>
                <w:szCs w:val="22"/>
                <w:lang w:val="en-US" w:eastAsia="ru-RU"/>
              </w:rPr>
              <w:t>182</w:t>
            </w:r>
            <w:r>
              <w:rPr>
                <w:rFonts w:eastAsia="Times New Roman" w:ascii="Times New Roman" w:hAnsi="Times New Roman"/>
                <w:sz w:val="22"/>
                <w:szCs w:val="22"/>
                <w:lang w:eastAsia="ru-RU"/>
              </w:rPr>
              <w:t> </w:t>
            </w:r>
            <w:r>
              <w:rPr>
                <w:rFonts w:eastAsia="Times New Roman" w:ascii="Times New Roman" w:hAnsi="Times New Roman"/>
                <w:sz w:val="22"/>
                <w:szCs w:val="22"/>
                <w:lang w:val="en-US" w:eastAsia="ru-RU"/>
              </w:rPr>
              <w:t>5</w:t>
            </w:r>
            <w:r>
              <w:rPr>
                <w:rFonts w:eastAsia="Times New Roman" w:ascii="Times New Roman" w:hAnsi="Times New Roman"/>
                <w:sz w:val="22"/>
                <w:szCs w:val="22"/>
                <w:lang w:eastAsia="ru-RU"/>
              </w:rPr>
              <w:t>00 000 000</w:t>
            </w:r>
          </w:p>
        </w:tc>
        <w:tc>
          <w:tcPr>
            <w:tcW w:w="297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eastAsia="Times New Roman"/>
                <w:sz w:val="22"/>
                <w:szCs w:val="22"/>
                <w:lang w:eastAsia="ru-RU"/>
              </w:rPr>
            </w:pPr>
            <w:r>
              <w:rPr>
                <w:rFonts w:eastAsia="Calibri" w:ascii="Times New Roman" w:hAnsi="Times New Roman"/>
                <w:sz w:val="22"/>
                <w:szCs w:val="22"/>
              </w:rPr>
              <w:t>Среднеарифметическое значение итоговой цены –           182 500 млн руб., однако, итоговая цена определена на уровне максимально предложенной по формуле расчета процентов за пользование кредитом, исходя из уровня ключевой ставки ЦБ РФ, увеличенной на 5% годовых, и срока договора – 10 лет.</w:t>
            </w:r>
          </w:p>
        </w:tc>
      </w:tr>
      <w:tr>
        <w:trPr>
          <w:trHeight w:val="1394" w:hRule="atLeast"/>
        </w:trPr>
        <w:tc>
          <w:tcPr>
            <w:tcW w:w="155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Times New Roman"/>
                <w:sz w:val="22"/>
                <w:szCs w:val="22"/>
                <w:lang w:eastAsia="ru-RU"/>
              </w:rPr>
            </w:pPr>
            <w:r>
              <w:rPr>
                <w:rFonts w:eastAsia="Times New Roman" w:ascii="Times New Roman" w:hAnsi="Times New Roman"/>
                <w:sz w:val="22"/>
                <w:szCs w:val="22"/>
                <w:lang w:eastAsia="ru-RU"/>
              </w:rPr>
            </w:r>
          </w:p>
        </w:tc>
        <w:tc>
          <w:tcPr>
            <w:tcW w:w="17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Times New Roman" w:hAnsi="Times New Roman" w:eastAsia="Times New Roman"/>
                <w:sz w:val="22"/>
                <w:szCs w:val="22"/>
                <w:lang w:eastAsia="ru-RU"/>
              </w:rPr>
            </w:pPr>
            <w:r>
              <w:rPr>
                <w:rFonts w:eastAsia="Times New Roman" w:ascii="Times New Roman" w:hAnsi="Times New Roman"/>
                <w:sz w:val="22"/>
                <w:szCs w:val="22"/>
                <w:lang w:eastAsia="ru-RU"/>
              </w:rPr>
              <w:t>Участник № 2</w:t>
            </w:r>
          </w:p>
        </w:tc>
        <w:tc>
          <w:tcPr>
            <w:tcW w:w="1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firstLine="108" w:left="-108"/>
              <w:jc w:val="center"/>
              <w:rPr>
                <w:rFonts w:ascii="Times New Roman" w:hAnsi="Times New Roman" w:eastAsia="Times New Roman"/>
                <w:sz w:val="22"/>
                <w:szCs w:val="22"/>
                <w:lang w:eastAsia="ru-RU"/>
              </w:rPr>
            </w:pPr>
            <w:r>
              <w:rPr>
                <w:rFonts w:eastAsia="Times New Roman" w:ascii="Times New Roman" w:hAnsi="Times New Roman"/>
                <w:sz w:val="22"/>
                <w:szCs w:val="22"/>
                <w:lang w:eastAsia="ru-RU"/>
              </w:rPr>
              <w:t>180 000 000 000*</w:t>
            </w:r>
          </w:p>
        </w:tc>
        <w:tc>
          <w:tcPr>
            <w:tcW w:w="170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Times New Roman"/>
                <w:sz w:val="22"/>
                <w:szCs w:val="22"/>
                <w:lang w:eastAsia="ru-RU"/>
              </w:rPr>
            </w:pPr>
            <w:r>
              <w:rPr>
                <w:rFonts w:eastAsia="Times New Roman" w:ascii="Times New Roman" w:hAnsi="Times New Roman"/>
                <w:sz w:val="22"/>
                <w:szCs w:val="22"/>
                <w:lang w:eastAsia="ru-RU"/>
              </w:rPr>
            </w:r>
          </w:p>
        </w:tc>
        <w:tc>
          <w:tcPr>
            <w:tcW w:w="297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Times New Roman"/>
                <w:sz w:val="22"/>
                <w:szCs w:val="22"/>
                <w:lang w:eastAsia="ru-RU"/>
              </w:rPr>
            </w:pPr>
            <w:r>
              <w:rPr>
                <w:rFonts w:eastAsia="Times New Roman" w:ascii="Times New Roman" w:hAnsi="Times New Roman"/>
                <w:sz w:val="22"/>
                <w:szCs w:val="22"/>
                <w:lang w:eastAsia="ru-RU"/>
              </w:rPr>
            </w:r>
          </w:p>
        </w:tc>
      </w:tr>
    </w:tbl>
    <w:p>
      <w:pPr>
        <w:pStyle w:val="Normal"/>
        <w:spacing w:before="0" w:after="120"/>
        <w:ind w:left="426"/>
        <w:jc w:val="both"/>
        <w:rPr>
          <w:rFonts w:ascii="Times New Roman" w:hAnsi="Times New Roman" w:eastAsia="Calibri"/>
          <w:sz w:val="22"/>
          <w:szCs w:val="22"/>
        </w:rPr>
      </w:pPr>
      <w:r>
        <w:rPr>
          <w:rFonts w:eastAsia="Calibri" w:ascii="Times New Roman" w:hAnsi="Times New Roman"/>
          <w:sz w:val="22"/>
          <w:szCs w:val="22"/>
        </w:rPr>
      </w:r>
    </w:p>
    <w:p>
      <w:pPr>
        <w:pStyle w:val="ListParagraph"/>
        <w:spacing w:before="0" w:after="120"/>
        <w:ind w:left="786"/>
        <w:contextualSpacing/>
        <w:jc w:val="both"/>
        <w:rPr>
          <w:rFonts w:ascii="Times New Roman" w:hAnsi="Times New Roman" w:eastAsia="Calibri"/>
          <w:sz w:val="22"/>
          <w:szCs w:val="22"/>
        </w:rPr>
      </w:pPr>
      <w:r>
        <w:rPr>
          <w:rFonts w:ascii="Cambria" w:hAnsi="Cambria" w:asciiTheme="minorHAnsi" w:hAnsiTheme="minorHAnsi"/>
        </w:rPr>
        <w:t xml:space="preserve">* </w:t>
      </w:r>
      <w:r>
        <w:rPr>
          <w:rFonts w:ascii="Times New Roman" w:hAnsi="Times New Roman"/>
        </w:rPr>
        <w:t>в соответствии с Техническими требованиями</w:t>
      </w:r>
    </w:p>
    <w:sectPr>
      <w:headerReference w:type="even" r:id="rId2"/>
      <w:headerReference w:type="default" r:id="rId3"/>
      <w:type w:val="nextPage"/>
      <w:pgSz w:w="11906" w:h="16838"/>
      <w:pgMar w:left="993" w:right="709" w:gutter="0" w:header="964" w:top="1021" w:footer="0" w:bottom="851"/>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mbria">
    <w:charset w:val="01"/>
    <w:family w:val="roman"/>
    <w:pitch w:val="variable"/>
  </w:font>
  <w:font w:name="Geneva CY">
    <w:charset w:val="01"/>
    <w:family w:val="roman"/>
    <w:pitch w:val="variable"/>
  </w:font>
  <w:font w:name="Lucida Grande">
    <w:charset w:val="01"/>
    <w:family w:val="roman"/>
    <w:pitch w:val="variable"/>
  </w:font>
  <w:font w:name="PT Sans">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56145637"/>
    </w:sdt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0</w:t>
        </w:r>
        <w:r>
          <w:rPr>
            <w:rFonts w:ascii="Times New Roman" w:hAnsi="Times New Roman"/>
          </w:rPr>
          <w:fldChar w:fldCharType="end"/>
        </w:r>
      </w:p>
    </w:sdtContent>
  </w:sdt>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lang w:val="en-US"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002ca"/>
    <w:pPr>
      <w:widowControl/>
      <w:bidi w:val="0"/>
      <w:spacing w:before="0" w:after="0"/>
      <w:jc w:val="left"/>
    </w:pPr>
    <w:rPr>
      <w:rFonts w:ascii="Geneva CY" w:hAnsi="Geneva CY" w:eastAsia="Geneva" w:cs="Times New Roman"/>
      <w:color w:val="auto"/>
      <w:kern w:val="0"/>
      <w:sz w:val="24"/>
      <w:szCs w:val="20"/>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uiPriority w:val="99"/>
    <w:qFormat/>
    <w:rsid w:val="00d002ca"/>
    <w:rPr>
      <w:rFonts w:ascii="Geneva CY" w:hAnsi="Geneva CY" w:eastAsia="Geneva" w:cs="Times New Roman"/>
      <w:szCs w:val="20"/>
      <w:lang w:val="ru-RU" w:eastAsia="en-US"/>
    </w:rPr>
  </w:style>
  <w:style w:type="character" w:styleId="Pagenumber">
    <w:name w:val="page number"/>
    <w:basedOn w:val="DefaultParagraphFont"/>
    <w:qFormat/>
    <w:rsid w:val="00d002ca"/>
    <w:rPr/>
  </w:style>
  <w:style w:type="character" w:styleId="Style10" w:customStyle="1">
    <w:name w:val="Текст выноски Знак"/>
    <w:link w:val="BalloonText"/>
    <w:uiPriority w:val="99"/>
    <w:semiHidden/>
    <w:qFormat/>
    <w:rsid w:val="00d002ca"/>
    <w:rPr>
      <w:rFonts w:ascii="Lucida Grande" w:hAnsi="Lucida Grande" w:eastAsia="Geneva" w:cs="Times New Roman"/>
      <w:sz w:val="18"/>
      <w:szCs w:val="18"/>
      <w:lang w:val="ru-RU" w:eastAsia="en-US"/>
    </w:rPr>
  </w:style>
  <w:style w:type="character" w:styleId="Hyperlink">
    <w:name w:val="Hyperlink"/>
    <w:basedOn w:val="DefaultParagraphFont"/>
    <w:uiPriority w:val="99"/>
    <w:unhideWhenUsed/>
    <w:rsid w:val="0017740a"/>
    <w:rPr>
      <w:color w:val="0000FF" w:themeColor="hyperlink"/>
      <w:u w:val="single"/>
    </w:rPr>
  </w:style>
  <w:style w:type="character" w:styleId="Style11" w:customStyle="1">
    <w:name w:val="Нижний колонтитул Знак"/>
    <w:basedOn w:val="DefaultParagraphFont"/>
    <w:uiPriority w:val="99"/>
    <w:qFormat/>
    <w:rsid w:val="00206a95"/>
    <w:rPr>
      <w:rFonts w:ascii="Geneva CY" w:hAnsi="Geneva CY" w:eastAsia="Geneva"/>
      <w:sz w:val="24"/>
      <w:lang w:val="ru-RU" w:eastAsia="en-US"/>
    </w:rPr>
  </w:style>
  <w:style w:type="character" w:styleId="Style12" w:customStyle="1">
    <w:name w:val="Текст сноски Знак"/>
    <w:basedOn w:val="DefaultParagraphFont"/>
    <w:uiPriority w:val="99"/>
    <w:qFormat/>
    <w:rsid w:val="005f30b7"/>
    <w:rPr>
      <w:rFonts w:ascii="Geneva CY" w:hAnsi="Geneva CY" w:eastAsia="Geneva"/>
      <w:lang w:val="ru-RU" w:eastAsia="en-US"/>
    </w:rPr>
  </w:style>
  <w:style w:type="character" w:styleId="Style13">
    <w:name w:val="Символ сноски"/>
    <w:basedOn w:val="DefaultParagraphFont"/>
    <w:uiPriority w:val="99"/>
    <w:unhideWhenUsed/>
    <w:qFormat/>
    <w:rsid w:val="005f30b7"/>
    <w:rPr>
      <w:vertAlign w:val="superscript"/>
    </w:rPr>
  </w:style>
  <w:style w:type="character" w:styleId="FootnoteReference">
    <w:name w:val="Footnote Reference"/>
    <w:rPr>
      <w:vertAlign w:val="superscript"/>
    </w:rPr>
  </w:style>
  <w:style w:type="character" w:styleId="Annotationreference">
    <w:name w:val="annotation reference"/>
    <w:basedOn w:val="DefaultParagraphFont"/>
    <w:uiPriority w:val="99"/>
    <w:semiHidden/>
    <w:unhideWhenUsed/>
    <w:qFormat/>
    <w:rsid w:val="007d2d2d"/>
    <w:rPr>
      <w:sz w:val="16"/>
      <w:szCs w:val="16"/>
    </w:rPr>
  </w:style>
  <w:style w:type="character" w:styleId="Style14" w:customStyle="1">
    <w:name w:val="Текст примечания Знак"/>
    <w:basedOn w:val="DefaultParagraphFont"/>
    <w:link w:val="Annotationtext"/>
    <w:uiPriority w:val="99"/>
    <w:semiHidden/>
    <w:qFormat/>
    <w:rsid w:val="007d2d2d"/>
    <w:rPr>
      <w:rFonts w:ascii="Geneva CY" w:hAnsi="Geneva CY" w:eastAsia="Geneva"/>
      <w:lang w:val="ru-RU" w:eastAsia="en-US"/>
    </w:rPr>
  </w:style>
  <w:style w:type="character" w:styleId="Style15" w:customStyle="1">
    <w:name w:val="Тема примечания Знак"/>
    <w:basedOn w:val="Style14"/>
    <w:link w:val="Annotationsubject"/>
    <w:uiPriority w:val="99"/>
    <w:semiHidden/>
    <w:qFormat/>
    <w:rsid w:val="007d2d2d"/>
    <w:rPr>
      <w:rFonts w:ascii="Geneva CY" w:hAnsi="Geneva CY" w:eastAsia="Geneva"/>
      <w:b/>
      <w:bCs/>
      <w:lang w:val="ru-RU" w:eastAsia="en-US"/>
    </w:rPr>
  </w:style>
  <w:style w:type="paragraph" w:styleId="Style16">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Style18">
    <w:name w:val="Колонтитул"/>
    <w:basedOn w:val="Normal"/>
    <w:qFormat/>
    <w:pPr/>
    <w:rPr/>
  </w:style>
  <w:style w:type="paragraph" w:styleId="Header">
    <w:name w:val="Header"/>
    <w:basedOn w:val="Normal"/>
    <w:link w:val="Style9"/>
    <w:uiPriority w:val="99"/>
    <w:rsid w:val="00d002ca"/>
    <w:pPr>
      <w:tabs>
        <w:tab w:val="clear" w:pos="708"/>
        <w:tab w:val="center" w:pos="4320" w:leader="none"/>
        <w:tab w:val="right" w:pos="8640" w:leader="none"/>
      </w:tabs>
    </w:pPr>
    <w:rPr/>
  </w:style>
  <w:style w:type="paragraph" w:styleId="BalloonText">
    <w:name w:val="Balloon Text"/>
    <w:basedOn w:val="Normal"/>
    <w:link w:val="Style10"/>
    <w:uiPriority w:val="99"/>
    <w:semiHidden/>
    <w:unhideWhenUsed/>
    <w:qFormat/>
    <w:rsid w:val="00d002ca"/>
    <w:pPr/>
    <w:rPr>
      <w:rFonts w:ascii="Lucida Grande" w:hAnsi="Lucida Grande"/>
      <w:sz w:val="18"/>
      <w:szCs w:val="18"/>
    </w:rPr>
  </w:style>
  <w:style w:type="paragraph" w:styleId="ListParagraph">
    <w:name w:val="List Paragraph"/>
    <w:basedOn w:val="Normal"/>
    <w:uiPriority w:val="34"/>
    <w:qFormat/>
    <w:rsid w:val="00206a95"/>
    <w:pPr>
      <w:spacing w:before="0" w:after="0"/>
      <w:ind w:left="720"/>
      <w:contextualSpacing/>
    </w:pPr>
    <w:rPr/>
  </w:style>
  <w:style w:type="paragraph" w:styleId="Footer">
    <w:name w:val="Footer"/>
    <w:basedOn w:val="Normal"/>
    <w:link w:val="Style11"/>
    <w:uiPriority w:val="99"/>
    <w:unhideWhenUsed/>
    <w:rsid w:val="00206a95"/>
    <w:pPr>
      <w:tabs>
        <w:tab w:val="clear" w:pos="708"/>
        <w:tab w:val="center" w:pos="4677" w:leader="none"/>
        <w:tab w:val="right" w:pos="9355" w:leader="none"/>
      </w:tabs>
    </w:pPr>
    <w:rPr/>
  </w:style>
  <w:style w:type="paragraph" w:styleId="FootnoteText">
    <w:name w:val="Footnote Text"/>
    <w:basedOn w:val="Normal"/>
    <w:link w:val="Style12"/>
    <w:uiPriority w:val="99"/>
    <w:unhideWhenUsed/>
    <w:qFormat/>
    <w:rsid w:val="005f30b7"/>
    <w:pPr/>
    <w:rPr>
      <w:sz w:val="20"/>
    </w:rPr>
  </w:style>
  <w:style w:type="paragraph" w:styleId="NormalWeb">
    <w:name w:val="Normal (Web)"/>
    <w:basedOn w:val="Normal"/>
    <w:uiPriority w:val="99"/>
    <w:unhideWhenUsed/>
    <w:qFormat/>
    <w:rsid w:val="00336344"/>
    <w:pPr>
      <w:spacing w:beforeAutospacing="1" w:afterAutospacing="1"/>
    </w:pPr>
    <w:rPr>
      <w:rFonts w:ascii="Times New Roman" w:hAnsi="Times New Roman" w:eastAsia="Times New Roman"/>
      <w:szCs w:val="24"/>
      <w:lang w:eastAsia="ru-RU"/>
    </w:rPr>
  </w:style>
  <w:style w:type="paragraph" w:styleId="Annotationtext">
    <w:name w:val="annotation text"/>
    <w:basedOn w:val="Normal"/>
    <w:link w:val="Style14"/>
    <w:uiPriority w:val="99"/>
    <w:semiHidden/>
    <w:unhideWhenUsed/>
    <w:qFormat/>
    <w:rsid w:val="007d2d2d"/>
    <w:pPr/>
    <w:rPr>
      <w:sz w:val="20"/>
    </w:rPr>
  </w:style>
  <w:style w:type="paragraph" w:styleId="Annotationsubject">
    <w:name w:val="annotation subject"/>
    <w:basedOn w:val="Annotationtext"/>
    <w:next w:val="Annotationtext"/>
    <w:link w:val="Style15"/>
    <w:uiPriority w:val="99"/>
    <w:semiHidden/>
    <w:unhideWhenUsed/>
    <w:qFormat/>
    <w:rsid w:val="007d2d2d"/>
    <w:pPr/>
    <w:rPr>
      <w:b/>
      <w:bCs/>
    </w:rPr>
  </w:style>
  <w:style w:type="paragraph" w:styleId="Style19">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
    <w:name w:val="Сетка таблицы1"/>
    <w:basedOn w:val="a1"/>
    <w:uiPriority w:val="59"/>
    <w:rsid w:val="00c13822"/>
    <w:pPr>
      <w:jc w:val="both"/>
    </w:pPr>
    <w:rPr>
      <w:lang w:val="ru-RU" w:eastAsia="en-US"/>
      <w:sz w:val="26"/>
      <w:szCs w:val="2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0">
    <w:name w:val="Table Grid"/>
    <w:basedOn w:val="a1"/>
    <w:uiPriority w:val="59"/>
    <w:rsid w:val="00c1382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
    <w:name w:val="Сетка таблицы2"/>
    <w:basedOn w:val="a1"/>
    <w:uiPriority w:val="39"/>
    <w:rsid w:val="00bb06c8"/>
    <w:rPr>
      <w:lang w:val="ru-RU"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02190-D12F-42CB-B66C-2947DC137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Application>AlterOffice/2026.2.1.0$Linux_X86_64 LibreOffice_project/f008988ffacaa0b2bf57911c2759d08ca79831df</Application>
  <AppVersion>15.0000</AppVersion>
  <Pages>1</Pages>
  <Words>238</Words>
  <Characters>1497</Characters>
  <CharactersWithSpaces>1711</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2022-06-14T14:06:00Z</dcterms:created>
  <dc:creator>Andrey Zhurin</dc:creator>
  <dc:description/>
  <dc:language>ru-RU</dc:language>
  <cp:lastModifiedBy>cherkasovaob@corp.gidroogk.com</cp:lastModifiedBy>
  <cp:lastPrinted>2026-09-14T06:19:00Z</cp:lastPrinted>
  <dcterms:modified xsi:type="dcterms:W3CDTF">2026-09-28T15:18:15Z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