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Технические требования на оказание услуг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 xml:space="preserve">ОКПД2 64.19.21.000 Привлечение заемных средств 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 xml:space="preserve">(лот № </w:t>
      </w:r>
      <w:r>
        <w:rPr>
          <w:rFonts w:eastAsia="Calibri" w:cs="Times New Roman" w:ascii="Times New Roman" w:hAnsi="Times New Roman"/>
          <w:b/>
          <w:sz w:val="26"/>
          <w:szCs w:val="26"/>
          <w:lang w:val="en-US" w:eastAsia="ru-RU"/>
        </w:rPr>
        <w:t>4-ДКФ-2026-ИА</w:t>
      </w:r>
      <w:bookmarkStart w:id="0" w:name="_GoBack"/>
      <w:bookmarkEnd w:id="0"/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)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i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i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i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  <w:r>
        <w:br w:type="page"/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eastAsia="Calibri" w:cs="Times New Roman" w:ascii="Times New Roman" w:hAnsi="Times New Roman"/>
          <w:b/>
          <w:sz w:val="20"/>
          <w:szCs w:val="20"/>
          <w:lang w:eastAsia="ru-RU"/>
        </w:rPr>
        <w:t xml:space="preserve">СОДЕРЖАНИЕ </w:t>
      </w:r>
    </w:p>
    <w:p>
      <w:pPr>
        <w:pStyle w:val="Normal"/>
        <w:tabs>
          <w:tab w:val="clear" w:pos="708"/>
          <w:tab w:val="right" w:pos="9911" w:leader="dot"/>
        </w:tabs>
        <w:spacing w:lineRule="auto" w:line="240" w:before="120" w:after="0"/>
        <w:rPr>
          <w:rFonts w:ascii="Calibri" w:hAnsi="Calibri" w:eastAsia="PMingLiU" w:cs="Arial"/>
          <w:b/>
          <w:bCs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135131468#_Toc135131468" \l "_Toc135131468%23_Toc135131468"</w:instrTex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 Light (Заголовки)" w:ascii="Times New Roman" w:hAnsi="Times New Roman"/>
          <w:b/>
          <w:bCs/>
          <w:color w:val="0000FF"/>
          <w:sz w:val="20"/>
          <w:szCs w:val="20"/>
          <w:u w:val="single"/>
          <w:lang w:eastAsia="ru-RU"/>
        </w:rPr>
        <w:t>1. Общие сведения</w: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end"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tab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fldChar w:fldCharType="begin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instrText xml:space="preserve"> PAGEREF _Toc135131468 \h </w:instrTex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separate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none"/>
        </w:tabs>
        <w:spacing w:lineRule="auto" w:line="240" w:before="0" w:after="0"/>
        <w:ind w:left="56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135131469#_Toc135131469" \l "_Toc135131469%23_Toc135131469"</w:instrTex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1.1.</w: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Наименование закупаемой продукции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_Toc135131469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none"/>
        </w:tabs>
        <w:spacing w:lineRule="auto" w:line="240" w:before="0" w:after="0"/>
        <w:ind w:left="56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135131470#_Toc135131470" \l "_Toc135131470%23_Toc135131470"</w:instrTex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1.2.</w: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Цель оказания услуг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_Toc135131470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none"/>
        </w:tabs>
        <w:spacing w:lineRule="auto" w:line="240" w:before="0" w:after="0"/>
        <w:ind w:left="56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135131471#_Toc135131471" \l "_Toc135131471%23_Toc135131471"</w:instrTex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1.3.</w: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Существующее положение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_Toc135131471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none"/>
        </w:tabs>
        <w:spacing w:lineRule="auto" w:line="240" w:before="0" w:after="0"/>
        <w:ind w:left="56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135131472#_Toc135131472" \l "_Toc135131472%23_Toc135131472"</w:instrTex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1.4.</w: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_Toc135131472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none"/>
        </w:tabs>
        <w:spacing w:lineRule="auto" w:line="240" w:before="0" w:after="0"/>
        <w:ind w:left="56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135131473#_Toc135131473" \l "_Toc135131473%23_Toc135131473"</w:instrTex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1.5.</w: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Иные требования и сведения общего характера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_Toc135131473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right" w:pos="9911" w:leader="dot"/>
        </w:tabs>
        <w:spacing w:lineRule="auto" w:line="240" w:before="120" w:after="0"/>
        <w:rPr>
          <w:rFonts w:ascii="Calibri" w:hAnsi="Calibri" w:eastAsia="PMingLiU" w:cs="Arial"/>
          <w:b/>
          <w:bCs/>
          <w:sz w:val="20"/>
          <w:szCs w:val="20"/>
          <w:lang w:eastAsia="ru-RU"/>
        </w:rPr>
      </w:pPr>
      <w:r>
        <w:fldChar w:fldCharType="begin"/>
      </w:r>
      <w:r>
        <w:rPr>
          <w:caps/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135131478#_Toc135131478" \l "_Toc135131478%23_Toc135131478"</w:instrText>
      </w:r>
      <w:r>
        <w:rPr>
          <w:caps/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 Light (Заголовки)" w:ascii="Times New Roman" w:hAnsi="Times New Roman"/>
          <w:b/>
          <w:bCs/>
          <w:caps/>
          <w:color w:val="0000FF"/>
          <w:sz w:val="20"/>
          <w:szCs w:val="20"/>
          <w:u w:val="single"/>
          <w:lang w:eastAsia="ru-RU"/>
        </w:rPr>
        <w:t>2.</w:t>
      </w:r>
      <w:r>
        <w:rPr>
          <w:caps/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b/>
          <w:bCs/>
          <w:sz w:val="20"/>
          <w:szCs w:val="20"/>
          <w:lang w:eastAsia="ru-RU"/>
        </w:rPr>
        <w:t xml:space="preserve">  </w:t>
      </w:r>
      <w:r>
        <w:rPr>
          <w:rFonts w:eastAsia="Times New Roman" w:cs="Calibri Light (Заголовки)" w:ascii="Times New Roman" w:hAnsi="Times New Roman"/>
          <w:b/>
          <w:bCs/>
          <w:color w:val="0000FF"/>
          <w:sz w:val="20"/>
          <w:szCs w:val="20"/>
          <w:u w:val="single"/>
          <w:lang w:eastAsia="ru-RU"/>
        </w:rPr>
        <w:t>Требования к продукции</w:t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tab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fldChar w:fldCharType="begin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instrText xml:space="preserve"> PAGEREF _Toc135131478 \h </w:instrTex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separate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none"/>
        </w:tabs>
        <w:spacing w:lineRule="auto" w:line="240" w:before="0" w:after="0"/>
        <w:ind w:left="56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135131479#_Toc135131479" \l "_Toc135131479%23_Toc135131479"</w:instrTex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2.1.</w: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Требования к объемам и срокам оказания услуг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_Toc135131479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pacing w:lineRule="auto" w:line="240" w:before="0" w:after="0"/>
        <w:ind w:left="28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135131480#_Toc135131480" \l "_Toc135131480%23_Toc135131480"</w:instrTex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2.1.1.</w: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Требования к перечню и объему услуг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_Toc135131480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right" w:pos="9911" w:leader="dot"/>
        </w:tabs>
        <w:spacing w:lineRule="auto" w:line="240" w:before="120" w:after="0"/>
        <w:rPr>
          <w:rFonts w:ascii="Calibri" w:hAnsi="Calibri" w:eastAsia="PMingLiU" w:cs="Arial"/>
          <w:b/>
          <w:bCs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135131481#_Toc135131481" \l "_Toc135131481%23_Toc135131481"</w:instrTex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 Light (Заголовки)" w:ascii="Times New Roman" w:hAnsi="Times New Roman"/>
          <w:b/>
          <w:bCs/>
          <w:color w:val="0000FF"/>
          <w:sz w:val="20"/>
          <w:szCs w:val="20"/>
          <w:u w:val="single"/>
          <w:lang w:eastAsia="ru-RU"/>
        </w:rPr>
        <w:t>Таблица 1. Перечень и объем оказываемых услуг</w: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end"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tab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fldChar w:fldCharType="begin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instrText xml:space="preserve"> PAGEREF _Toc135131481 \h </w:instrTex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separate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pacing w:lineRule="auto" w:line="240" w:before="0" w:after="0"/>
        <w:ind w:left="28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135131482#_Toc135131482" \l "_Toc135131482%23_Toc135131482"</w:instrTex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2.1.2.</w:t>
      </w:r>
      <w:r>
        <w:rPr>
          <w:sz w:val="20"/>
          <w:u w:val="single"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Требования к срокам оказания услуг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_Toc135131482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right" w:pos="9911" w:leader="dot"/>
        </w:tabs>
        <w:spacing w:lineRule="auto" w:line="240" w:before="120" w:after="0"/>
        <w:rPr>
          <w:rFonts w:ascii="Calibri" w:hAnsi="Calibri" w:eastAsia="PMingLiU" w:cs="Arial"/>
          <w:b/>
          <w:bCs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135131483#_Toc135131483" \l "_Toc135131483%23_Toc135131483"</w:instrTex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 Light (Заголовки)" w:ascii="Times New Roman" w:hAnsi="Times New Roman"/>
          <w:b/>
          <w:bCs/>
          <w:color w:val="0000FF"/>
          <w:sz w:val="20"/>
          <w:szCs w:val="20"/>
          <w:u w:val="single"/>
          <w:lang w:eastAsia="ru-RU"/>
        </w:rPr>
        <w:t>Таблица 2. Требования к срокам оказания услуг</w: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end"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tab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fldChar w:fldCharType="begin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instrText xml:space="preserve"> PAGEREF _Toc135131483 \h </w:instrTex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separate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left" w:pos="1120" w:leader="none"/>
          <w:tab w:val="right" w:pos="9911" w:leader="none"/>
        </w:tabs>
        <w:spacing w:lineRule="auto" w:line="240" w:before="0" w:after="0"/>
        <w:ind w:left="560"/>
        <w:rPr>
          <w:rFonts w:ascii="Calibri" w:hAnsi="Calibri" w:eastAsia="PMingLiU" w:cs="Arial"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b/>
          <w:szCs w:val="20"/>
          <w:rFonts w:eastAsia="Times New Roman" w:cs="Calibri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135131484#_Toc135131484" \l "_Toc135131484%23_Toc135131484"</w:instrText>
      </w:r>
      <w:r>
        <w:rPr>
          <w:sz w:val="20"/>
          <w:u w:val="single"/>
          <w:b/>
          <w:szCs w:val="20"/>
          <w:rFonts w:eastAsia="Times New Roman" w:cs="Calibri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" w:ascii="Times New Roman" w:hAnsi="Times New Roman"/>
          <w:b/>
          <w:color w:val="0000FF"/>
          <w:sz w:val="20"/>
          <w:szCs w:val="20"/>
          <w:u w:val="single"/>
          <w:lang w:eastAsia="ru-RU"/>
        </w:rPr>
        <w:t>2.2.</w:t>
      </w:r>
      <w:r>
        <w:rPr>
          <w:sz w:val="20"/>
          <w:u w:val="single"/>
          <w:b/>
          <w:szCs w:val="20"/>
          <w:rFonts w:eastAsia="Times New Roman" w:cs="Calibri" w:ascii="Times New Roman" w:hAnsi="Times New Roman"/>
          <w:color w:val="0000FF"/>
          <w:lang w:eastAsia="ru-RU"/>
        </w:rPr>
        <w:fldChar w:fldCharType="end"/>
      </w:r>
      <w:r>
        <w:rPr>
          <w:rFonts w:eastAsia="PMingLiU" w:cs="Arial"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color w:val="0000FF"/>
          <w:sz w:val="20"/>
          <w:szCs w:val="20"/>
          <w:u w:val="single"/>
          <w:lang w:eastAsia="ru-RU"/>
        </w:rPr>
        <w:t>Требования к качеству услуг</w:t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tab/>
      </w:r>
      <w:r>
        <w:rPr>
          <w:rFonts w:eastAsia="Times New Roman" w:cs="Calibri" w:ascii="Times New Roman" w:hAnsi="Times New Roman"/>
          <w:vanish/>
          <w:sz w:val="20"/>
          <w:szCs w:val="20"/>
          <w:lang w:eastAsia="ru-RU"/>
        </w:rPr>
        <w:fldChar w:fldCharType="begin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instrText xml:space="preserve"> PAGEREF _Toc135131484 \h </w:instrTex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separate"/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szCs w:val="20"/>
          <w:vanish/>
          <w:rFonts w:eastAsia="Times New Roman" w:cs="Calibri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right" w:pos="9911" w:leader="dot"/>
        </w:tabs>
        <w:spacing w:lineRule="auto" w:line="240" w:before="120" w:after="0"/>
        <w:rPr>
          <w:rFonts w:ascii="Calibri" w:hAnsi="Calibri" w:eastAsia="PMingLiU" w:cs="Arial"/>
          <w:b/>
          <w:bCs/>
          <w:sz w:val="20"/>
          <w:szCs w:val="20"/>
          <w:lang w:eastAsia="ru-RU"/>
        </w:rPr>
      </w:pPr>
      <w:r>
        <w:fldChar w:fldCharType="begin"/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135131485#_Toc135131485" \l "_Toc135131485%23_Toc135131485"</w:instrTex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 Light (Заголовки)" w:ascii="Times New Roman" w:hAnsi="Times New Roman"/>
          <w:b/>
          <w:bCs/>
          <w:color w:val="0000FF"/>
          <w:sz w:val="20"/>
          <w:szCs w:val="20"/>
          <w:u w:val="single"/>
          <w:lang w:eastAsia="ru-RU"/>
        </w:rPr>
        <w:t>Таблица 3. Требования к качеству услуг</w: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end"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tab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fldChar w:fldCharType="begin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instrText xml:space="preserve"> PAGEREF _Toc135131485 \h </w:instrTex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separate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end"/>
      </w:r>
    </w:p>
    <w:p>
      <w:pPr>
        <w:pStyle w:val="Normal"/>
        <w:tabs>
          <w:tab w:val="clear" w:pos="708"/>
          <w:tab w:val="right" w:pos="9911" w:leader="dot"/>
        </w:tabs>
        <w:spacing w:lineRule="auto" w:line="240" w:before="120" w:after="0"/>
        <w:rPr>
          <w:rFonts w:ascii="Times New Roman" w:hAnsi="Times New Roman" w:eastAsia="Times New Roman" w:cs="Calibri Light (Заголовки)"/>
          <w:b/>
          <w:bCs/>
          <w:color w:val="0000FF"/>
          <w:sz w:val="20"/>
          <w:szCs w:val="20"/>
          <w:u w:val="single"/>
          <w:lang w:eastAsia="ru-RU"/>
        </w:rPr>
      </w:pPr>
      <w:r>
        <w:fldChar w:fldCharType="begin"/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instrText xml:space="preserve"> HYPERLINK "file://C:\W:\ÐÐÐ¤\ÐÐµÐ¿Ð°ÑÑÐ°Ð¼ÐµÐ½Ñ%20ÐºÐ¾ÑÐ¿Ð¾ÑÐ°ÑÐ¸Ð²Ð½ÑÑ%20ÑÐ¸Ð½Ð°Ð½ÑÐ¾Ð²\2025%20ÐÑÐ¾Ð²ÐµÐ´ÐµÐ½Ð¸Ðµ%20ÐºÐ¾Ð½ÐºÑÑÑÐ¾Ð²\ÐÐ¾Ñ%201-ÐÐÐ¤-2025-ÐÐ%20ÐÐÐ%20Ð¡Ð¾Ð²ÐºÐ¾Ð¼Ð±Ð°Ð½Ðº\ÐÐ¾ÐºÑÐ¼ÐµÐ½ÑÑ%20Ð´Ð#_Toc135131491#_Toc135131491" \l "_Toc135131491%23_Toc135131491"</w:instrTex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separate"/>
      </w:r>
      <w:r>
        <w:rPr>
          <w:rFonts w:eastAsia="Times New Roman" w:cs="Calibri Light (Заголовки)" w:ascii="Times New Roman" w:hAnsi="Times New Roman"/>
          <w:b/>
          <w:bCs/>
          <w:color w:val="0000FF"/>
          <w:sz w:val="20"/>
          <w:szCs w:val="20"/>
          <w:u w:val="single"/>
          <w:lang w:eastAsia="ru-RU"/>
        </w:rPr>
        <w:t>Требования к документации по ценообразованию на этапе закупки</w:t>
      </w:r>
      <w:r>
        <w:rPr>
          <w:sz w:val="20"/>
          <w:u w:val="single"/>
          <w:b/>
          <w:szCs w:val="20"/>
          <w:bCs/>
          <w:rFonts w:eastAsia="Times New Roman" w:cs="Calibri Light (Заголовки)" w:ascii="Times New Roman" w:hAnsi="Times New Roman"/>
          <w:color w:val="0000FF"/>
          <w:lang w:eastAsia="ru-RU"/>
        </w:rPr>
        <w:fldChar w:fldCharType="end"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tab/>
      </w:r>
      <w:r>
        <w:rPr>
          <w:rFonts w:eastAsia="Times New Roman" w:cs="Calibri Light (Заголовки)" w:ascii="Times New Roman" w:hAnsi="Times New Roman"/>
          <w:b/>
          <w:bCs/>
          <w:vanish/>
          <w:sz w:val="20"/>
          <w:szCs w:val="20"/>
          <w:lang w:eastAsia="ru-RU"/>
        </w:rPr>
        <w:fldChar w:fldCharType="begin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instrText xml:space="preserve"> PAGEREF _Toc135131491 \h </w:instrTex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separate"/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t>Ошибка: источник перекрёстной ссылки не найден</w:t>
      </w:r>
      <w:r>
        <w:rPr>
          <w:sz w:val="20"/>
          <w:b/>
          <w:szCs w:val="20"/>
          <w:bCs/>
          <w:vanish/>
          <w:rFonts w:eastAsia="Times New Roman" w:cs="Calibri Light (Заголовки)" w:ascii="Times New Roman" w:hAnsi="Times New Roman"/>
          <w:lang w:eastAsia="ru-RU"/>
        </w:rPr>
        <w:fldChar w:fldCharType="end"/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426"/>
        <w:jc w:val="both"/>
        <w:outlineLvl w:val="0"/>
        <w:rPr>
          <w:rFonts w:ascii="Times New Roman" w:hAnsi="Times New Roman" w:eastAsia="Calibri" w:cs="Times New Roman"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sz w:val="28"/>
          <w:szCs w:val="28"/>
          <w:lang w:val="x-none" w:eastAsia="x-none"/>
        </w:rPr>
      </w:r>
      <w:r>
        <w:br w:type="page"/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426"/>
        <w:jc w:val="both"/>
        <w:outlineLvl w:val="0"/>
        <w:rPr>
          <w:rFonts w:ascii="Times New Roman" w:hAnsi="Times New Roman" w:eastAsia="Calibri" w:cs="Times New Roman"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sz w:val="26"/>
          <w:szCs w:val="26"/>
          <w:lang w:val="x-none" w:eastAsia="x-none"/>
        </w:rPr>
        <w:t xml:space="preserve">1. </w:t>
      </w:r>
      <w:r>
        <w:rPr>
          <w:rFonts w:eastAsia="Calibri" w:cs="Times New Roman" w:ascii="Times New Roman" w:hAnsi="Times New Roman"/>
          <w:sz w:val="28"/>
          <w:szCs w:val="28"/>
          <w:lang w:val="x-none" w:eastAsia="x-none"/>
        </w:rPr>
        <w:t>Общие сведения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numPr>
          <w:ilvl w:val="1"/>
          <w:numId w:val="6"/>
        </w:numPr>
        <w:spacing w:lineRule="auto" w:line="276" w:before="120" w:after="60"/>
        <w:ind w:hanging="709" w:left="709"/>
        <w:jc w:val="both"/>
        <w:outlineLvl w:val="3"/>
        <w:rPr>
          <w:rFonts w:ascii="Times New Roman" w:hAnsi="Times New Roman" w:eastAsia="Calibri" w:cs="Times New Roman"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>Наименование закупаемой продукции</w:t>
      </w:r>
    </w:p>
    <w:p>
      <w:pPr>
        <w:pStyle w:val="Normal"/>
        <w:spacing w:lineRule="auto" w:line="276" w:before="0" w:after="0"/>
        <w:ind w:hanging="1" w:left="709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Привлечение заемных средств</w:t>
      </w:r>
      <w:r>
        <w:rPr>
          <w:rFonts w:eastAsia="Calibri" w:cs="Times New Roman" w:ascii="Times New Roman" w:hAnsi="Times New Roman"/>
          <w:i/>
          <w:sz w:val="24"/>
          <w:szCs w:val="24"/>
          <w:lang w:eastAsia="x-none"/>
        </w:rPr>
        <w:t>.</w:t>
      </w:r>
    </w:p>
    <w:p>
      <w:pPr>
        <w:pStyle w:val="Normal"/>
        <w:keepNext w:val="true"/>
        <w:numPr>
          <w:ilvl w:val="1"/>
          <w:numId w:val="6"/>
        </w:numPr>
        <w:spacing w:lineRule="auto" w:line="276" w:before="120" w:after="60"/>
        <w:ind w:hanging="709" w:left="709"/>
        <w:jc w:val="both"/>
        <w:outlineLvl w:val="3"/>
        <w:rPr>
          <w:rFonts w:ascii="Times New Roman" w:hAnsi="Times New Roman" w:eastAsia="Calibri" w:cs="Times New Roman"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>Цель оказания услуг</w:t>
      </w:r>
    </w:p>
    <w:p>
      <w:pPr>
        <w:pStyle w:val="Normal"/>
        <w:spacing w:lineRule="auto" w:line="276" w:before="0" w:after="120"/>
        <w:ind w:hanging="1" w:left="709" w:right="-2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Исполнитель услуг (далее также – Участник, Кредитор) открывает Заказчику (далее также – Заемщик) возобновляемую рамочную кредитную линию для финансирования текущей операционной и инвестиционной деятельности Заемщика (в т.ч. инвестиционных проектов), предоставления займов третьим лицам, рефинансирования действующих кредитов и займов, рефинансирования облигаций (в т.ч. биржевых), выпущенных Заемщиком. </w:t>
      </w:r>
    </w:p>
    <w:p>
      <w:pPr>
        <w:pStyle w:val="Normal"/>
        <w:spacing w:lineRule="auto" w:line="276" w:before="0" w:after="120"/>
        <w:ind w:hanging="1" w:left="709" w:right="-2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Предоставление заемных средств Кредитором Заемщику осуществляется кредитами/ траншами, в размере и на условиях, согласованных Заемщиком и Кредитором, оформляемых отдельными подтверждениями сторон в пределах лимита кредитной линии.</w:t>
      </w:r>
    </w:p>
    <w:p>
      <w:pPr>
        <w:pStyle w:val="Normal"/>
        <w:keepNext w:val="true"/>
        <w:numPr>
          <w:ilvl w:val="1"/>
          <w:numId w:val="6"/>
        </w:numPr>
        <w:spacing w:lineRule="auto" w:line="276" w:before="120" w:after="60"/>
        <w:ind w:hanging="709" w:left="709"/>
        <w:jc w:val="both"/>
        <w:outlineLvl w:val="3"/>
        <w:rPr>
          <w:rFonts w:ascii="Times New Roman" w:hAnsi="Times New Roman" w:eastAsia="Calibri" w:cs="Times New Roman"/>
          <w:bCs/>
          <w:i/>
          <w:i/>
          <w:sz w:val="24"/>
          <w:szCs w:val="24"/>
          <w:shd w:fill="FFFF99" w:val="clear"/>
          <w:lang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>Информация в отношении исполнения договора</w:t>
      </w: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>/соглашения</w:t>
      </w: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 xml:space="preserve">, которая должна быть учтена при подготовке заявки (в том числе перечень ресурсов, услуг и документов, предоставляемых </w:t>
      </w: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>Заказчиком</w:t>
      </w: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 xml:space="preserve"> на этапе исполнения договора</w:t>
      </w: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>/соглашения</w:t>
      </w: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>)</w:t>
      </w: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 xml:space="preserve"> </w:t>
      </w:r>
    </w:p>
    <w:p>
      <w:pPr>
        <w:pStyle w:val="Normal"/>
        <w:keepNext w:val="true"/>
        <w:numPr>
          <w:ilvl w:val="1"/>
          <w:numId w:val="6"/>
        </w:numPr>
        <w:spacing w:lineRule="auto" w:line="276" w:before="120" w:after="60"/>
        <w:ind w:hanging="709" w:left="709"/>
        <w:jc w:val="both"/>
        <w:outlineLvl w:val="3"/>
        <w:rPr>
          <w:rFonts w:ascii="Times New Roman" w:hAnsi="Times New Roman" w:eastAsia="Calibri" w:cs="Times New Roman"/>
          <w:bCs/>
          <w:i/>
          <w:i/>
          <w:sz w:val="24"/>
          <w:szCs w:val="24"/>
          <w:shd w:fill="FFFF99" w:val="clear"/>
          <w:lang w:eastAsia="x-none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Вид кредитного продукта: Возобновляемая кредитная линия с лимитом в размере 100 000 000 000 (Сто миллиардов) рублей сроком до 10 (Десяти) лет. Лимит кредитной линии изменению не подлежит. Срок каждого кредита/ транша согласовывается сторонами перед его предоставлением. Кредиты/ транши могут быть предоставлены Заемщику в течение срока действия возобновляемой кредитной линии. </w:t>
      </w:r>
    </w:p>
    <w:p>
      <w:pPr>
        <w:pStyle w:val="Normal"/>
        <w:keepNext w:val="true"/>
        <w:numPr>
          <w:ilvl w:val="1"/>
          <w:numId w:val="6"/>
        </w:numPr>
        <w:spacing w:lineRule="auto" w:line="276" w:before="120" w:after="60"/>
        <w:ind w:hanging="709" w:left="709"/>
        <w:jc w:val="both"/>
        <w:outlineLvl w:val="3"/>
        <w:rPr>
          <w:rFonts w:ascii="Times New Roman" w:hAnsi="Times New Roman" w:eastAsia="Calibri" w:cs="Times New Roman"/>
          <w:bCs/>
          <w:i/>
          <w:i/>
          <w:sz w:val="24"/>
          <w:szCs w:val="24"/>
          <w:shd w:fill="FFFF99" w:val="clear"/>
          <w:lang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>Иные требования и сведения общего характера</w:t>
      </w: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 xml:space="preserve"> </w:t>
      </w:r>
    </w:p>
    <w:p>
      <w:pPr>
        <w:pStyle w:val="Normal"/>
        <w:keepNext w:val="true"/>
        <w:numPr>
          <w:ilvl w:val="2"/>
          <w:numId w:val="6"/>
        </w:numPr>
        <w:spacing w:lineRule="auto" w:line="276" w:before="120" w:after="60"/>
        <w:jc w:val="both"/>
        <w:outlineLvl w:val="2"/>
        <w:rPr>
          <w:rFonts w:ascii="Times New Roman" w:hAnsi="Times New Roman" w:eastAsia="Calibri" w:cs="Times New Roman"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>Не допускается включение в состав заявки Участника (или проект договора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/соглашения</w:t>
      </w: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) условий, в соответствии с которыми у Заказчика могут возникнуть обязательства, выраженные в иностранной валюте (либо возникнуть обязательства, величина которых привязывается к иностранной валюте). </w:t>
      </w:r>
    </w:p>
    <w:p>
      <w:pPr>
        <w:pStyle w:val="Normal"/>
        <w:keepNext w:val="true"/>
        <w:numPr>
          <w:ilvl w:val="2"/>
          <w:numId w:val="6"/>
        </w:numPr>
        <w:spacing w:lineRule="auto" w:line="276" w:before="120" w:after="60"/>
        <w:jc w:val="both"/>
        <w:outlineLvl w:val="2"/>
        <w:rPr>
          <w:rFonts w:ascii="Times New Roman" w:hAnsi="Times New Roman" w:eastAsia="Calibri" w:cs="Times New Roman"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>Участник представ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ляет</w:t>
      </w: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 проект 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д</w:t>
      </w: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>оговора/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с</w:t>
      </w: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>оглашения по своей форме, при условии соблюдения всех требований Документации о закупке.</w:t>
      </w:r>
    </w:p>
    <w:p>
      <w:pPr>
        <w:pStyle w:val="Normal"/>
        <w:keepNext w:val="true"/>
        <w:numPr>
          <w:ilvl w:val="2"/>
          <w:numId w:val="6"/>
        </w:numPr>
        <w:spacing w:lineRule="auto" w:line="276" w:before="120" w:after="60"/>
        <w:jc w:val="both"/>
        <w:outlineLvl w:val="2"/>
        <w:rPr>
          <w:rFonts w:ascii="Times New Roman" w:hAnsi="Times New Roman" w:eastAsia="Calibri" w:cs="Times New Roman"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>Ковенантный пакет: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120" w:after="60"/>
        <w:ind w:hanging="0" w:left="720"/>
        <w:jc w:val="both"/>
        <w:outlineLvl w:val="2"/>
        <w:rPr>
          <w:rFonts w:ascii="Times New Roman" w:hAnsi="Times New Roman" w:eastAsia="Calibri" w:cs="Times New Roman"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Ковенантный пакет, указанный в 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пункте</w:t>
      </w: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 1.5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.3.</w:t>
      </w: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 настоящих Технических требований, исчерпывает возможные финансовые и нефинансовые ковенанты. Включение дополнительных ковенантов в проект 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договора/соглашения</w:t>
      </w: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 не допускается.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120" w:after="60"/>
        <w:ind w:hanging="0" w:left="720"/>
        <w:jc w:val="both"/>
        <w:outlineLvl w:val="2"/>
        <w:rPr>
          <w:rFonts w:ascii="Times New Roman" w:hAnsi="Times New Roman" w:eastAsia="Calibri" w:cs="Times New Roman"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Участник может исключить любые ковенанты из проекта 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договора/ соглашения</w:t>
      </w: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>.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120" w:after="60"/>
        <w:ind w:hanging="0" w:left="720"/>
        <w:jc w:val="both"/>
        <w:outlineLvl w:val="2"/>
        <w:rPr>
          <w:rFonts w:ascii="Times New Roman" w:hAnsi="Times New Roman" w:eastAsia="Calibri" w:cs="Times New Roman"/>
          <w:b/>
          <w:i/>
          <w:i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i/>
          <w:sz w:val="24"/>
          <w:szCs w:val="24"/>
          <w:lang w:val="x-none" w:eastAsia="x-none"/>
        </w:rPr>
        <w:t xml:space="preserve">Заявка Участника, содержащая проект </w:t>
      </w:r>
      <w:r>
        <w:rPr>
          <w:rFonts w:eastAsia="Calibri" w:cs="Times New Roman" w:ascii="Times New Roman" w:hAnsi="Times New Roman"/>
          <w:b/>
          <w:i/>
          <w:sz w:val="24"/>
          <w:szCs w:val="24"/>
          <w:lang w:eastAsia="x-none"/>
        </w:rPr>
        <w:t>д</w:t>
      </w:r>
      <w:r>
        <w:rPr>
          <w:rFonts w:eastAsia="Calibri" w:cs="Times New Roman" w:ascii="Times New Roman" w:hAnsi="Times New Roman"/>
          <w:b/>
          <w:i/>
          <w:sz w:val="24"/>
          <w:szCs w:val="24"/>
          <w:lang w:val="x-none" w:eastAsia="x-none"/>
        </w:rPr>
        <w:t xml:space="preserve">оговора/ </w:t>
      </w:r>
      <w:r>
        <w:rPr>
          <w:rFonts w:eastAsia="Calibri" w:cs="Times New Roman" w:ascii="Times New Roman" w:hAnsi="Times New Roman"/>
          <w:b/>
          <w:i/>
          <w:sz w:val="24"/>
          <w:szCs w:val="24"/>
          <w:lang w:eastAsia="x-none"/>
        </w:rPr>
        <w:t>с</w:t>
      </w:r>
      <w:r>
        <w:rPr>
          <w:rFonts w:eastAsia="Calibri" w:cs="Times New Roman" w:ascii="Times New Roman" w:hAnsi="Times New Roman"/>
          <w:b/>
          <w:i/>
          <w:sz w:val="24"/>
          <w:szCs w:val="24"/>
          <w:lang w:val="x-none" w:eastAsia="x-none"/>
        </w:rPr>
        <w:t xml:space="preserve">оглашения с ковенантами, не соответствующими требованиям, указанным в </w:t>
      </w:r>
      <w:r>
        <w:rPr>
          <w:rFonts w:eastAsia="Calibri" w:cs="Times New Roman" w:ascii="Times New Roman" w:hAnsi="Times New Roman"/>
          <w:b/>
          <w:i/>
          <w:sz w:val="24"/>
          <w:szCs w:val="24"/>
          <w:lang w:eastAsia="x-none"/>
        </w:rPr>
        <w:t>пункте</w:t>
      </w:r>
      <w:r>
        <w:rPr>
          <w:rFonts w:eastAsia="Calibri" w:cs="Times New Roman" w:ascii="Times New Roman" w:hAnsi="Times New Roman"/>
          <w:b/>
          <w:i/>
          <w:sz w:val="24"/>
          <w:szCs w:val="24"/>
          <w:lang w:val="x-none" w:eastAsia="x-none"/>
        </w:rPr>
        <w:t xml:space="preserve"> 1.5</w:t>
      </w:r>
      <w:r>
        <w:rPr>
          <w:rFonts w:eastAsia="Calibri" w:cs="Times New Roman" w:ascii="Times New Roman" w:hAnsi="Times New Roman"/>
          <w:b/>
          <w:i/>
          <w:sz w:val="24"/>
          <w:szCs w:val="24"/>
          <w:lang w:eastAsia="x-none"/>
        </w:rPr>
        <w:t>.3.</w:t>
      </w:r>
      <w:r>
        <w:rPr>
          <w:rFonts w:eastAsia="Calibri" w:cs="Times New Roman" w:ascii="Times New Roman" w:hAnsi="Times New Roman"/>
          <w:b/>
          <w:i/>
          <w:sz w:val="24"/>
          <w:szCs w:val="24"/>
          <w:lang w:val="x-none" w:eastAsia="x-none"/>
        </w:rPr>
        <w:t xml:space="preserve"> настоящих Технических требований, будет отклонена.</w:t>
      </w:r>
    </w:p>
    <w:p>
      <w:pPr>
        <w:pStyle w:val="Normal"/>
        <w:tabs>
          <w:tab w:val="clear" w:pos="708"/>
          <w:tab w:val="left" w:pos="426" w:leader="none"/>
          <w:tab w:val="center" w:pos="5103" w:leader="none"/>
          <w:tab w:val="right" w:pos="10206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eastAsia="ru-RU"/>
        </w:rPr>
        <w:t>Допустимые нефинансовые ковенанты:</w:t>
      </w:r>
    </w:p>
    <w:p>
      <w:pPr>
        <w:pStyle w:val="Normal"/>
        <w:tabs>
          <w:tab w:val="clear" w:pos="708"/>
          <w:tab w:val="left" w:pos="426" w:leader="none"/>
          <w:tab w:val="center" w:pos="5103" w:leader="none"/>
          <w:tab w:val="right" w:pos="10206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  <w:lang w:eastAsia="ru-RU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u w:val="single"/>
          <w:lang w:eastAsia="ru-RU"/>
        </w:rPr>
        <w:t>Общие ковенанты: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Заемщик принимает на себя следующие обязательства: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использовать кредит строго по целевому назначению;</w:t>
      </w:r>
    </w:p>
    <w:p>
      <w:pPr>
        <w:pStyle w:val="ListParagraph"/>
        <w:numPr>
          <w:ilvl w:val="0"/>
          <w:numId w:val="7"/>
        </w:numPr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 xml:space="preserve">обеспечить возможность осуществления Кредитором контроля за целевым использованием кредита, включая беспрепятственное ознакомление Кредитора с бухгалтерской отчетностью, договорными и иными документами Заемщика, имеющими отношение к получению кредита и его использованию; 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погасить (возвратить) кредит в полной сумме в установленные сроки, в том числе досрочно при направлении Кредитором соответствующего письменного уведомления в случае возникновения Обстоятельств досрочного истребования ссудной задолженности;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своевременно и полностью оплатить Кредитору проценты и неустойки;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в случае внесения изменений в учредительные документы Заемщика, предоставить Кредитору нотариально удостоверенные копии соответствующих документов в течение 60 (Шестидесяти) календарных дней с даты государственной регистрации изменений;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предоставлять бухгалтерскую отчетность Заемщика по РСБУ ежеквартально не позднее 45 (Сорока пяти) календарных дней с даты окончания отчетного периода (квартала, полугодия, 9 (Девять) месяцев), а по окончании отчетного года - не позднее 10 (Десяти) Рабочих дней с даты окончания периода, установленного законодательством Российской Федерации для представления годовой бухгалтерской (финансовой) отчетности в налоговые органы, в случае, если данная отчетность не опубликована на официальном сайте Заемщика в сети Интернет;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предоставлять годовую отчетность Группы РусГидро по МСФО в течение 180 (Ста восьмидесяти) календарных дней с даты окончания отчетного периода, если данная отчетность не опубликована на официальном сайте Заемщика в сети Интернет;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ежеквартально, в сроки предоставления бухгалтерской отчетности по РСБУ: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highlight w:val="yellow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 xml:space="preserve">- предоставлять письма за подписью уполномоченных лиц Заемщика, подтверждающие отсутствие/ наличие недоимки и задолженности по пеням, штрафам перед государственными внебюджетными фондами по состоянию не ранее, чем на 01 апреля, 01 июля и 01 октября текущего года (с указанием суммы недоимки и задолженности в случае их наличия); 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- информацию об изменении доли голосующих акций Заемщика, принадлежащих Российской Федерации прямо или опосредованно через третьих лиц, до уровня ниже 50 (Пятидесяти) процентов в общем количестве голосующих акций Заемщика плюс 1 (Одна) голосующая акция Заемщика, если указанные изменения произошли в течение календарного квартала.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предоставлять информацию обо всех известных судебных разбирательствах на сумму более 5 000 000 000 (Пять миллиардов) рублей, по которым любая из компаний Группы РусГидро является ответчиком;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по требованию Кредитора предоставлять другие отчетно-финансовые документы в течение 10 (Десяти) Рабочих дней с даты получения указанного требования. Перечень дополнительно запрашиваемых документов включает: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 xml:space="preserve">- расшифровки кредиторской и дебиторской задолженности с указанием наименований кредиторов, должников, суммы задолженности и дат возникновения задолженности, с указанием статуса данной задолженности (просроченная/текущая) 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- расшифровки краткосрочных и долгосрочных финансовых вложений с указанием видов, сумм вложений, наименований организаций и предприятий;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- расшифровки задолженности по долгосрочным и краткосрочным кредитам и займам (включая вексельные и облигационные) с указанием кредиторов, суммы задолженности, срока кредитования, суммы просроченных процентов;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- расшифровки полученных обеспечений (с указанием от кого и в пользу кого получено) и выданных обеспечений (с указанием за кого и в пользу кого выдано, сроков исполнения обязательств);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- справку из подразделения ФНС России о состоянии расчетов с бюджетом или акт сверки расчетов с бюджетом (при наличии просроченной задолженности перед бюджетами какого-либо уровня – справку налогоплательщика с указанием сроков, объемов и причин возникновения долга);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- информацию на последнюю отчетную дату о дочерних (более 50 (Пятидесяти) процентов в уставном капитале) и зависимых (более 20 (Двадцати) процентов в уставном капитале) организациях с указанием долей участия в уставном капитале дочерних или зависимых организаций в процентах;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- информацию о персональном составе коллегиальных и исполнительных органов управления (Наблюдательного совета / Совета Директоров / Правления / Совещательного органа), о лице, осуществляющем функции единоличного исполнительного органа (с указанием занимаемой должности, в случае совмещения деятельности и иных мест работы), если в течение истекшего календарного квартала произошли изменения в составе исполнительных и/или коллегиальных органов управления, назначено новое лицо, осуществляющее функции единоличного исполнительного органа;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- информацию о персональном составе коллегиальных и исполнительных органов управления Управляющей компании (Наблюдательного совета / Совета Директоров / Правления), о лице, осуществляющем функции единоличного исполнительного органа (с указанием занимаемой должности, в случае совмещения деятельности и иных мест работы), если в течение истекшего календарного квартала произошли изменения в составе исполнительных и/или коллегиальных органов управления Управляющей компании, назначено новое лицо, осуществляющее функции единоличного исполнительного органа, либо произошла замена Управляющей компании.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незамедлительно известить Кредитора в письменной форме о любом существенном факте (событии, действии) в отношении компаний Группы РусГидро, которые, по мнению Заемщика, могут существенно ухудшить финансовое состояние или имущественное положение Группы РусГидро, повлиять на ее платежеспособность, а также о мерах, предпринимаемых для устранения последствий указанных событий, действий;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не раскрывать содержание договора/ соглашения и любую информацию, относящуюся к его исполнению третьим лицам, за исключением случаев, прямо предусмотренных законодательством Российской Федерации, требованиями по раскрытию информации российских и/или (если применимо) зарубежных бирж или стандартами МСФО;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418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В случае проведения проверки Банком России деятельности Кредитора предоставить по запросу Кредитора в разумные сроки документы (информацию), а также осуществлять иные действия, необходимые для ознакомления уполномоченным представителем (служащим) Банка России с деятельностью Заемщика, в том числе непосредственно на месте(ах) ведения бизнеса.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426" w:leader="none"/>
          <w:tab w:val="left" w:pos="1230" w:leader="none"/>
          <w:tab w:val="left" w:pos="1418" w:leader="none"/>
          <w:tab w:val="left" w:pos="1600" w:leader="none"/>
        </w:tabs>
        <w:spacing w:lineRule="auto" w:line="276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u w:val="single"/>
          <w:lang w:eastAsia="ru-RU"/>
        </w:rPr>
        <w:t>Информационные обязательства:</w:t>
      </w:r>
    </w:p>
    <w:p>
      <w:pPr>
        <w:pStyle w:val="Normal"/>
        <w:spacing w:lineRule="auto" w:line="288" w:before="0" w:after="0"/>
        <w:ind w:hanging="1" w:left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Заемщик обязуется письменно извещать Кредитора о любом нижеуказанном событии в течение 10 (Десяти) рабочих дней со дня его наступления, произошедшего в течение действия Договора/ Соглашения:</w:t>
      </w:r>
    </w:p>
    <w:p>
      <w:pPr>
        <w:pStyle w:val="Normal"/>
        <w:numPr>
          <w:ilvl w:val="0"/>
          <w:numId w:val="8"/>
        </w:numPr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произойдет изменение места нахождения или почтового адреса, а также любого из указанных в договоре/соглашении платежных реквизитов;</w:t>
      </w:r>
    </w:p>
    <w:p>
      <w:pPr>
        <w:pStyle w:val="Normal"/>
        <w:numPr>
          <w:ilvl w:val="0"/>
          <w:numId w:val="8"/>
        </w:numPr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произойдет изменение более чем на 20 (Двадцать) % состава акционеров Заказчика;</w:t>
      </w:r>
    </w:p>
    <w:p>
      <w:pPr>
        <w:pStyle w:val="Normal"/>
        <w:numPr>
          <w:ilvl w:val="0"/>
          <w:numId w:val="8"/>
        </w:numPr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уполномоченным органом управления Заемщика будет принято решение о ликвидации, реорганизации;</w:t>
      </w:r>
    </w:p>
    <w:p>
      <w:pPr>
        <w:pStyle w:val="Normal"/>
        <w:numPr>
          <w:ilvl w:val="0"/>
          <w:numId w:val="8"/>
        </w:numPr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заинтересованным лицом будет подано в арбитражный суд заявление о признании Заемщика банкротом.</w:t>
      </w:r>
    </w:p>
    <w:p>
      <w:pPr>
        <w:pStyle w:val="Normal"/>
        <w:spacing w:lineRule="auto" w:line="288" w:before="0" w:after="0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Обстоятельства досрочного истребования долга по договору/соглашению:</w:t>
      </w:r>
    </w:p>
    <w:p>
      <w:pPr>
        <w:pStyle w:val="Normal"/>
        <w:tabs>
          <w:tab w:val="clear" w:pos="708"/>
          <w:tab w:val="left" w:pos="426" w:leader="none"/>
          <w:tab w:val="center" w:pos="1134" w:leader="none"/>
          <w:tab w:val="right" w:pos="10206" w:leader="none"/>
        </w:tabs>
        <w:spacing w:lineRule="auto" w:line="288" w:before="0" w:after="0"/>
        <w:ind w:left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Кредитор имеет право в одностороннем порядке отказаться от предоставления кредита и/или приостановить предоставление кредита и/или потребовать исполнения Заемщиком обязательств по кредиту досрочно в любом из следующих случаев (при этом Кредитор самостоятельно определяет факт наличия или отсутствия указанных обстоятельств и не обязан предоставлять Заемщику доказательства их наличия). При этом Заемщик имеет право оспаривать соответствующие действия Кредитора при наличии в них признаков грубой ошибки или неосторожности), в том числе: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в случае неисполнения или ненадлежащего исполнения Заемщиком обязательств перед Кредитором по договору/соглашению, указанных в подпунктах 1), 2), 6), 7), 10) раздела «Общие ковенанты» настоящих Технических требований или неисполнения или ненадлежащего исполнения Заемщиком обязательств аналогичных указанным в данном пункте обязательствам по любому другому договору, заключенному с Кредитором;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если Заемщик просрочит любой из причитающихся Кредитору со стороны Заемщика платежей, и такая просрочка длится более 5 (Пяти) рабочих дней;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если любая компания Группы РусГидро просрочит любой из причитающихся Кредитору с ее стороны платежей, и такая просрочка длится более 5 (Пяти) рабочих дней;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 xml:space="preserve">в случае нарушения любой компанией Группы РусГидро платежных обязательств по любому из своих обязательств по финансовой задолженности (а именно: кредитам, займам, облигационным займам, гарантиям, векселям и другим финансовым инструментам) перед другими лицами, не входящими в Группу РусГидро на сумму более 5 000 000 000 (Пяти миллиардов рублей), и такая просрочка длится более 5 (Пяти) рабочих дней; 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в случае снижения доли Российской Федерации (или компаний, прямо или косвенно контролируемых Российской Федерацией) в капитале ПАО «РусГидро» ниже уровня в 50% + 1 акция;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в случае предоставления Заказчиком недостоверной или заведомо неполной, или ложной информации, в том числе недостоверных или недействительных документов;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в случае начала процесса ликвидации, реорганизации Заемщика (с момента принятия уполномоченным органом управления Заемщика соответствующего решения) (кроме случаев реорганизации в форме присоединения к компании Группы РусГидро), или в случае принятия арбитражным судом в производство заявления от заинтересованного лица о признании Заемщика несостоятельным (банкротом);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 xml:space="preserve">в случае неисполнения Заемщиком обязательств по уплате обязательных в соответствии с законодательством Российской Федерации платежей в размере более 5 000 000 000 (Пяти миллиардов) рублей; 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в случае вступления в законную силу решения суда об уплате Заемщиком денежной суммы в размере более 5 000 000 000 (Пяти миллиардов) рублей или об истребовании имущества Заемщика на сумму более 5 000 000 000 (Пяти миллиардов) рублей, и такое решение не было отменено либо исполнено в течение 90 (Девяносто) календарных дней с даты вступления такого решения в силу</w:t>
      </w: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если в отношении Заемщика применена конфискация имущества, стоимость которого на дату конфискации имущества превышает 10 (Десять) процентов балансовой стоимости активов Группы РусГидро по данным МСФО на последнюю отчетную дату;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если у Заемщика отозвана (аннулирована) лицензия, необходимая для осуществления основного вида деятельности, или срок действия лицензии истек и она (лицензия) не была продлена либо получена в течение 30 (Тридцати) дней с момента ее отзыва (истечения срока действия) / Заемщик прекратил членство в саморегулируемой организации (если в соответствии с законодательством Российской Федерации это требуется для осуществления  основного вида деятельности) и не вступил в другую саморегулируемую организацию/ не восстановил членство в прежней саморегулируемой организации в течение 30 (Тридцати) дней с момента его прекращения;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в течение срока действия договора/соглашения Заемщик гарантирует соблюдение установленных в настоящем пункте Технических требований условий и ограничений, накладываемых на финансовую деятельность Группы РусГидро: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 xml:space="preserve">Показатель Чистый Долг / EBITDA - соответствует следующим значениям: 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не более 6,0 (Шесть 0/10) начиная с отчетности на 31.12.2026 по 31.12.2027 включительно;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не более 5,0 (Пять 0/10) по отчетности на 31.12.2028;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не более 4,0 (Четыре 0/10) начиная с отчетности на 31.12.2029.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Показатель Чистый Долг / EBITDA рассчитывается один раз в год на основании данных годовой консолидированной финансовой отчетности Группы РусГидро на 31 декабря каждого года по МСФО.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Показатель Чистый Долг = Долгосрочные кредиты и займы + Краткосрочные кредиты и займы – Денежные средства и их эквиваленты.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Показатель EBITDA (МСФО) = Операционная прибыль за последние 4 (Четыре) квартала + Амортизация за последние 4 (Четыре) квартала + Корректировка на неденежные статьи операционных расходов и доходов.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При этом доходы включаются в корректировку со знаком «-», а расходы – со знаком «+».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Группа РусГидро – ПАО «РусГидро» и дочерние общества, при включении которых в консолидированную финансовую отчетность РусГидро по МСФО используется метод прямой консолидации.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в иных случаях, предусмотренных законодательством Российской Федерации.</w:t>
      </w:r>
    </w:p>
    <w:p>
      <w:pPr>
        <w:pStyle w:val="Normal"/>
        <w:tabs>
          <w:tab w:val="clear" w:pos="708"/>
          <w:tab w:val="left" w:pos="709" w:leader="none"/>
          <w:tab w:val="right" w:pos="10206" w:leader="none"/>
        </w:tabs>
        <w:spacing w:lineRule="auto" w:line="288" w:before="0" w:after="0"/>
        <w:ind w:left="72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88" w:before="0" w:after="0"/>
        <w:ind w:left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При наступлении любого (любых) из обстоятельств, предусмотренных данным разделом Техническим требований, Кредитор имеет право (но не обязан) направить Заказчику соответствующее письменное уведомление. Заказчик обязан исполнить требования, содержащиеся в письменном уведомлении, в срок не позднее 15 (Пятнадцати) рабочих дней с момента получения письменного уведомления Кредитора.</w:t>
      </w:r>
    </w:p>
    <w:p>
      <w:pPr>
        <w:pStyle w:val="Normal"/>
        <w:keepNext w:val="true"/>
        <w:numPr>
          <w:ilvl w:val="0"/>
          <w:numId w:val="6"/>
        </w:numPr>
        <w:spacing w:lineRule="auto" w:line="240" w:before="120" w:after="60"/>
        <w:jc w:val="both"/>
        <w:outlineLvl w:val="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Требования к продукции</w:t>
      </w:r>
    </w:p>
    <w:p>
      <w:pPr>
        <w:pStyle w:val="Normal"/>
        <w:keepNext w:val="true"/>
        <w:numPr>
          <w:ilvl w:val="1"/>
          <w:numId w:val="6"/>
        </w:numPr>
        <w:spacing w:lineRule="auto" w:line="240" w:before="120" w:after="60"/>
        <w:jc w:val="both"/>
        <w:outlineLvl w:val="3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Требования к объемам и срокам оказания услуг</w:t>
      </w:r>
    </w:p>
    <w:p>
      <w:pPr>
        <w:pStyle w:val="Normal"/>
        <w:keepNext w:val="true"/>
        <w:numPr>
          <w:ilvl w:val="2"/>
          <w:numId w:val="6"/>
        </w:numPr>
        <w:spacing w:lineRule="auto" w:line="240" w:before="120" w:after="60"/>
        <w:jc w:val="both"/>
        <w:outlineLvl w:val="2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Требования к перечню и объему услуг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426"/>
        <w:jc w:val="both"/>
        <w:outlineLvl w:val="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Таблица 1. Перечень и объем оказываемых услуг</w:t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3857"/>
        <w:gridCol w:w="2980"/>
        <w:gridCol w:w="2123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услуг / этапа услуг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ОКПД2 64.19.21.000 Привлечение заемных средств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Возобновляемая рамочная кредитная линия с лимитом 100 000 000 000 (Сто миллиардов) рублей. </w:t>
            </w:r>
          </w:p>
        </w:tc>
      </w:tr>
    </w:tbl>
    <w:p>
      <w:pPr>
        <w:pStyle w:val="Normal"/>
        <w:keepNext w:val="true"/>
        <w:numPr>
          <w:ilvl w:val="2"/>
          <w:numId w:val="6"/>
        </w:numPr>
        <w:spacing w:lineRule="auto" w:line="240" w:before="120" w:after="60"/>
        <w:jc w:val="both"/>
        <w:outlineLvl w:val="2"/>
        <w:rPr>
          <w:rFonts w:ascii="Times New Roman" w:hAnsi="Times New Roman" w:eastAsia="Calibri" w:cs="Times New Roman"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>Требования к срокам оказания услуг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426"/>
        <w:jc w:val="both"/>
        <w:outlineLvl w:val="0"/>
        <w:rPr>
          <w:rFonts w:ascii="Times New Roman" w:hAnsi="Times New Roman" w:eastAsia="Calibri" w:cs="Times New Roman"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>Таблица 2. Требования к срокам оказания услуг</w:t>
      </w:r>
    </w:p>
    <w:tbl>
      <w:tblPr>
        <w:tblW w:w="963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5"/>
        <w:gridCol w:w="3687"/>
        <w:gridCol w:w="2835"/>
        <w:gridCol w:w="2551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Требования к окончанию срока оказания услуг 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ОКПД2 64.19.21.000 Привлечение заемных средств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с даты заключения договора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10 (Десять) лет с даты заключения договора.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8192"/>
        </w:sectPr>
      </w:pPr>
    </w:p>
    <w:p>
      <w:pPr>
        <w:pStyle w:val="Normal"/>
        <w:keepNext w:val="true"/>
        <w:numPr>
          <w:ilvl w:val="1"/>
          <w:numId w:val="6"/>
        </w:numPr>
        <w:spacing w:lineRule="auto" w:line="240" w:before="120" w:after="60"/>
        <w:jc w:val="both"/>
        <w:outlineLvl w:val="3"/>
        <w:rPr>
          <w:rFonts w:ascii="Times New Roman" w:hAnsi="Times New Roman" w:eastAsia="Calibri" w:cs="Times New Roman"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 xml:space="preserve">Требования к </w:t>
      </w: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>качеству услуг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426"/>
        <w:jc w:val="both"/>
        <w:outlineLvl w:val="0"/>
        <w:rPr>
          <w:rFonts w:ascii="Times New Roman" w:hAnsi="Times New Roman" w:eastAsia="Calibri" w:cs="Times New Roman"/>
          <w:bCs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 xml:space="preserve">Таблица 3. Требования к качеству услуг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Наименование услуг: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sz w:val="24"/>
          <w:szCs w:val="24"/>
          <w:lang w:eastAsia="ru-RU"/>
        </w:rPr>
        <w:t>Привлечение заемных средств</w:t>
      </w:r>
    </w:p>
    <w:tbl>
      <w:tblPr>
        <w:tblStyle w:val="af5"/>
        <w:tblW w:w="151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"/>
        <w:gridCol w:w="2269"/>
        <w:gridCol w:w="5670"/>
        <w:gridCol w:w="3686"/>
        <w:gridCol w:w="2694"/>
      </w:tblGrid>
      <w:tr>
        <w:trPr/>
        <w:tc>
          <w:tcPr>
            <w:tcW w:w="849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9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38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9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9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670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6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6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6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60" w:after="6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93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3686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numPr>
                <w:ilvl w:val="1"/>
                <w:numId w:val="2"/>
              </w:numPr>
              <w:suppressAutoHyphens w:val="true"/>
              <w:spacing w:lineRule="auto" w:line="240" w:before="60" w:after="60"/>
              <w:ind w:firstLine="142" w:left="-117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793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3686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Вид кредитного продукта</w:t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Возобновляемая рамочная кредитная линия с лимитом 100 000 000 000 (Сто миллиардов) рублей сроком 10 (Десять) лет. Лимит кредитной линии изменению не подлежит. </w:t>
            </w:r>
          </w:p>
        </w:tc>
        <w:tc>
          <w:tcPr>
            <w:tcW w:w="368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«Участник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Досрочное погашение кредита </w:t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Подтверждением по Кредитной сделке может быть предусмотрен один из вариантов: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1) Предусмотрено на протяжении всего срока действия договора/соглашения. Заемщик вправе полностью или частично досрочно погасить кредит (часть кредита), письменно уведомив об этом Кредитора.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Либо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2) Установление моратория (запрета) на досрочное погашение. По истечении срока моратория на досрочное погашение Заемщик вправе полностью или частично погасить кредит (часть кредита) без комиссий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3) Установление срока, в течение которого взимается комиссия за досрочное погашение, и размера такой комиссии.</w:t>
            </w:r>
          </w:p>
        </w:tc>
        <w:tc>
          <w:tcPr>
            <w:tcW w:w="368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Порядок уплаты процентов: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Ежеквартально или ежемесячно или иной порядок, предложенный Кредитором</w:t>
            </w:r>
          </w:p>
        </w:tc>
        <w:tc>
          <w:tcPr>
            <w:tcW w:w="368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Процентная ставка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Возможность выбора фиксированной либо плавающей процентной ставки.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1.1.5.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Условие по изменению процентной ставки</w:t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Кредитор в одностороннем порядке может увеличить размер фиксированной процентной ставки по фактической ссудной задолженности, в связи с изменением Банком России Ключевой ставки Банка России, но не более чем на величину изменения Ключевой ставки Банка России.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Если Заемщик не согласен с таким изменением процентной ставки, он вправе в одностороннем порядке отказаться от дальнейшего пользования кредитной линией, направив Банку соответствующее уведомление.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Кредитор вправе уменьшить значение процентной ставки, зафиксированной в соответствующих Подтверждениях, по любой Кредитной сделке, заключенной в рамках Соглашения, в одностороннем порядке.</w:t>
            </w:r>
          </w:p>
        </w:tc>
        <w:tc>
          <w:tcPr>
            <w:tcW w:w="368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1.1.6.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Предоставление кредита</w:t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Кредиты/ транши предоставляются путем перечисления сумм Кредитов/ траншей на банковский счет Заемщика, указанный в Подтверждении о предоставлении каждого Кредита/ транша.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Датой (днем) предоставления Кредита/ транша считается дата (день) зачисления суммы Кредита на Счет Заемщика, указанный в Подтверждении (при перечислении суммы Кредита на счет Заемщика, открытый у Кредитора), либо дата, в которую сумма Кредита в полном объеме будет списана с корреспондентского счета Кредитора (при перечислении суммы Кредита на счет Заемщика, открытый Заемщиком в иной кредитной организации).</w:t>
            </w:r>
          </w:p>
        </w:tc>
        <w:tc>
          <w:tcPr>
            <w:tcW w:w="368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1.1.7.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Обеспечение исполнения обязательств Заказчика</w:t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Кредитная линия открывается без обеспечения.</w:t>
            </w:r>
          </w:p>
        </w:tc>
        <w:tc>
          <w:tcPr>
            <w:tcW w:w="368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ru-RU" w:bidi="ar-SA"/>
              </w:rPr>
              <w:t>1.1.8.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Право на безакцептное списание Кредитором денежных средств с расчетного счета Заказчика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ab/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 предоставляется (включая расчетный счет, открытый в Банке – кредиторе).</w:t>
            </w:r>
          </w:p>
        </w:tc>
        <w:tc>
          <w:tcPr>
            <w:tcW w:w="368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numPr>
                <w:ilvl w:val="1"/>
                <w:numId w:val="2"/>
              </w:numPr>
              <w:suppressAutoHyphens w:val="true"/>
              <w:spacing w:lineRule="auto" w:line="240" w:before="60" w:after="60"/>
              <w:ind w:firstLine="142"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93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3686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keepNext w:val="true"/>
              <w:widowControl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hanging="1199" w:left="107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Предоставление заемных средств </w:t>
            </w:r>
          </w:p>
        </w:tc>
        <w:tc>
          <w:tcPr>
            <w:tcW w:w="567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ind w:right="-2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Предоставление заемных средств Кредитором Заемщику осуществляется кредитами (траншами), в размере и на условиях, согласованных Заемщиком и Кредитором, оформляемых отдельными подтверждениями/ заявлениями сторон в пределах лимита кредитной линии. </w:t>
            </w:r>
          </w:p>
        </w:tc>
        <w:tc>
          <w:tcPr>
            <w:tcW w:w="368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8192"/>
        </w:sectPr>
      </w:pPr>
    </w:p>
    <w:p>
      <w:pPr>
        <w:pStyle w:val="Normal"/>
        <w:keepNext w:val="true"/>
        <w:numPr>
          <w:ilvl w:val="0"/>
          <w:numId w:val="6"/>
        </w:numPr>
        <w:spacing w:lineRule="auto" w:line="240" w:before="120" w:after="60"/>
        <w:jc w:val="both"/>
        <w:outlineLvl w:val="0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Требования к документации по ценообразованию на этапе закупки</w:t>
      </w:r>
    </w:p>
    <w:p>
      <w:pPr>
        <w:pStyle w:val="Normal"/>
        <w:numPr>
          <w:ilvl w:val="1"/>
          <w:numId w:val="5"/>
        </w:numPr>
        <w:tabs>
          <w:tab w:val="clear" w:pos="708"/>
          <w:tab w:val="left" w:pos="284" w:leader="none"/>
          <w:tab w:val="left" w:pos="709" w:leader="none"/>
        </w:tabs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Участник должен предоставить в составе своей заявки Коммерческое предложение (с учетом прилагаемой к ней инструкции по заполнению), приведенной в Документации о закупке.</w:t>
      </w:r>
    </w:p>
    <w:p>
      <w:pPr>
        <w:pStyle w:val="Normal"/>
        <w:numPr>
          <w:ilvl w:val="1"/>
          <w:numId w:val="5"/>
        </w:numPr>
        <w:tabs>
          <w:tab w:val="clear" w:pos="708"/>
          <w:tab w:val="left" w:pos="284" w:leader="none"/>
          <w:tab w:val="left" w:pos="709" w:leader="none"/>
        </w:tabs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Участник в Коммерческом предложении (приложение № 4 (форма 3) Документации о закупке) указывает предельный размер маржи (не превышающий максимальный начальный размер маржи 5 % (Пять процентов) годовых)) для целей определения предельной цены договора/соглашения, а также </w:t>
      </w: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размера неустойки в случае просрочки погашения задолженности по основному долгу по договору/соглашению</w:t>
      </w:r>
      <w:r>
        <w:rPr>
          <w:rFonts w:eastAsia="Calibri" w:cs="Times New Roman" w:ascii="Times New Roman" w:hAnsi="Times New Roman"/>
          <w:sz w:val="24"/>
          <w:szCs w:val="24"/>
          <w:lang w:eastAsia="ru-RU"/>
        </w:rPr>
        <w:t>. Процентная ставка</w:t>
      </w: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  <w:lang w:eastAsia="ru-RU"/>
        </w:rPr>
        <w:t>составляет сумму расчетного значения ключевой ставки Банка России и предельной маржи Участника. В договоре/соглашении, который(ое) будет заключен(о) по результатам закупочной процедуры, будет указано значение предельного размера маржи для целей определения максимальной процентной ставки по кредитам.</w:t>
      </w:r>
    </w:p>
    <w:p>
      <w:pPr>
        <w:pStyle w:val="Normal"/>
        <w:tabs>
          <w:tab w:val="clear" w:pos="708"/>
          <w:tab w:val="left" w:pos="284" w:leader="none"/>
        </w:tabs>
        <w:spacing w:before="0" w:after="160"/>
        <w:ind w:hanging="426" w:left="426"/>
        <w:contextualSpacing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ab/>
        <w:tab/>
        <w:tab/>
        <w:t xml:space="preserve">Максимальная процентная ставка за пользование кредитными средствами: не более ключевой ставки Банка России + маржа не более 5 % (Пяти процентов) годовых. В целях единого подхода к формированию Коммерческого предложения в качестве расчетного значения ключевой ставки Банка России Участник должен применять расчетную ставку в размере 13,25 % (Тринадцать целых двадцать пять сотых процентов) годовых. </w:t>
      </w:r>
    </w:p>
    <w:p>
      <w:pPr>
        <w:pStyle w:val="Normal"/>
        <w:tabs>
          <w:tab w:val="clear" w:pos="708"/>
          <w:tab w:val="left" w:pos="284" w:leader="none"/>
        </w:tabs>
        <w:spacing w:before="0" w:after="160"/>
        <w:ind w:hanging="426" w:left="426"/>
        <w:contextualSpacing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ab/>
        <w:tab/>
        <w:t xml:space="preserve">Превышение максимального начального размера маржи 5 % (Пять процентов) годовых, не допускается. </w:t>
      </w:r>
      <w:r>
        <w:rPr>
          <w:rFonts w:eastAsia="Calibri" w:cs="Times New Roman" w:ascii="Times New Roman" w:hAnsi="Times New Roman"/>
          <w:sz w:val="24"/>
          <w:szCs w:val="24"/>
          <w:u w:val="single"/>
          <w:lang w:eastAsia="ru-RU"/>
        </w:rPr>
        <w:t>Заявка Участника, размер маржи в которой будет превышать максимальное начальное значение, будет отклонена.</w:t>
      </w:r>
    </w:p>
    <w:p>
      <w:pPr>
        <w:pStyle w:val="Normal"/>
        <w:tabs>
          <w:tab w:val="clear" w:pos="708"/>
          <w:tab w:val="left" w:pos="284" w:leader="none"/>
          <w:tab w:val="left" w:pos="709" w:leader="none"/>
          <w:tab w:val="left" w:pos="993" w:leader="none"/>
        </w:tabs>
        <w:spacing w:before="0" w:after="160"/>
        <w:ind w:hanging="426" w:left="426"/>
        <w:contextualSpacing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Изменение расчетного значения ключевой ставки Банка России (в целях оценки заявок Участников) не допускается. </w:t>
      </w:r>
      <w:r>
        <w:rPr>
          <w:rFonts w:eastAsia="Calibri" w:cs="Times New Roman" w:ascii="Times New Roman" w:hAnsi="Times New Roman"/>
          <w:sz w:val="24"/>
          <w:szCs w:val="24"/>
          <w:u w:val="single"/>
          <w:lang w:eastAsia="ru-RU"/>
        </w:rPr>
        <w:t>Если в расчете предельной цены договора Участник применит значение ключевой ставки Банка России отличное от 13,25 % (Тринадцать целых двадцать пять сотых процентов) годовых, заявка такого Участника будет отклонена</w:t>
      </w: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. </w:t>
      </w:r>
    </w:p>
    <w:p>
      <w:pPr>
        <w:pStyle w:val="Normal"/>
        <w:numPr>
          <w:ilvl w:val="1"/>
          <w:numId w:val="5"/>
        </w:numPr>
        <w:tabs>
          <w:tab w:val="clear" w:pos="708"/>
          <w:tab w:val="left" w:pos="284" w:leader="none"/>
          <w:tab w:val="left" w:pos="709" w:leader="none"/>
        </w:tabs>
        <w:spacing w:lineRule="auto" w:line="240" w:before="0" w:after="0"/>
        <w:ind w:hanging="426" w:left="426"/>
        <w:contextualSpacing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Для расчета предельной цены договора Участник должен применять максимальный срок кредита равный 10 (Десять) лет. Если в расчете предельной цены договора Участник применит значение максимального срока кредита отличное от 10 (Десяти) лет, заявка такого Участника будет отклонена.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eastAsia="Calibri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eastAsia="Calibri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Calibri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eastAsia="Calibri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Calibri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eastAsia="Calibri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Calibri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eastAsia="Calibri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trackedChanges" w:enforcement="1" w:cryptAlgorithmSid="14" w:cryptSpinCount="100000" w:cryptProviderType="rsaAES" w:cryptAlgorithmClass="hash" w:cryptAlgorithmType="typeAny" w:salt="fX+0X2qj8IMIIy8dwXrHNg==" w:hash="V7FIO0B7CthNVLTO4hJ0St79EY3xDxgajYIFbeL5xn2NxHHov8QJjRQ13TRYsWN15Fr3pqiaqCmVzCc2m3GLKg==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basedOn w:val="DefaultParagraphFont"/>
    <w:uiPriority w:val="99"/>
    <w:semiHidden/>
    <w:qFormat/>
    <w:rsid w:val="00f3032b"/>
    <w:rPr/>
  </w:style>
  <w:style w:type="character" w:styleId="Pagenumber">
    <w:name w:val="page number"/>
    <w:basedOn w:val="DefaultParagraphFont"/>
    <w:qFormat/>
    <w:rsid w:val="00f3032b"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893ed6"/>
    <w:rPr>
      <w:rFonts w:ascii="Segoe UI" w:hAnsi="Segoe UI" w:cs="Segoe UI"/>
      <w:sz w:val="18"/>
      <w:szCs w:val="18"/>
    </w:rPr>
  </w:style>
  <w:style w:type="character" w:styleId="Style11" w:customStyle="1">
    <w:name w:val="Текст сноски Знак"/>
    <w:basedOn w:val="DefaultParagraphFont"/>
    <w:uiPriority w:val="99"/>
    <w:semiHidden/>
    <w:qFormat/>
    <w:rsid w:val="00e35237"/>
    <w:rPr>
      <w:sz w:val="20"/>
      <w:szCs w:val="20"/>
    </w:rPr>
  </w:style>
  <w:style w:type="character" w:styleId="Style12" w:customStyle="1">
    <w:name w:val="Символ сноски"/>
    <w:uiPriority w:val="99"/>
    <w:semiHidden/>
    <w:unhideWhenUsed/>
    <w:qFormat/>
    <w:rsid w:val="00e35237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semiHidden/>
    <w:unhideWhenUsed/>
    <w:rsid w:val="00f303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540fac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893ed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Style11"/>
    <w:uiPriority w:val="99"/>
    <w:semiHidden/>
    <w:unhideWhenUsed/>
    <w:rsid w:val="00e35237"/>
    <w:pPr>
      <w:spacing w:lineRule="auto" w:line="240" w:before="0" w:after="0"/>
    </w:pPr>
    <w:rPr>
      <w:sz w:val="20"/>
      <w:szCs w:val="20"/>
    </w:rPr>
  </w:style>
  <w:style w:type="paragraph" w:styleId="Style1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39"/>
    <w:rsid w:val="00f3032b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DFFFA-5586-4A9B-8538-72762F546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Application>AlterOffice/2026.2.0.0$Linux_X86_64 LibreOffice_project/bc4ef1adf80b36c7a6365f8ed6cbf29021361edd</Application>
  <AppVersion>15.0000</AppVersion>
  <Pages>12</Pages>
  <Words>2824</Words>
  <Characters>19331</Characters>
  <CharactersWithSpaces>21219</CharactersWithSpaces>
  <Paragraphs>200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2026-09-24T09:35:00Z</dcterms:created>
  <dc:creator>Кольба Ольга Владимировна</dc:creator>
  <dc:description/>
  <dc:language>ru-RU</dc:language>
  <cp:lastModifiedBy>prasolmn@corp.gidroogk.com</cp:lastModifiedBy>
  <cp:lastPrinted>2026-09-10T09:21:00Z</cp:lastPrinted>
  <dcterms:modified xsi:type="dcterms:W3CDTF">2026-10-01T13:54:34Z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1</vt:bool>
  </property>
</Properties>
</file>