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1459" w:firstLine="6"/>
        <w:jc w:val="right"/>
        <w:rPr>
          <w:rFonts w:ascii="Times New Roman" w:hAnsi="Times New Roman" w:eastAsia="" w:cs="Times New Roman" w:eastAsiaTheme="minorEastAsia"/>
          <w:b/>
          <w:sz w:val="24"/>
          <w:szCs w:val="24"/>
          <w:lang w:eastAsia="ru-RU"/>
        </w:rPr>
      </w:pPr>
      <w:r>
        <w:rPr>
          <w:rFonts w:eastAsia="" w:cs="Times New Roman" w:ascii="Times New Roman" w:hAnsi="Times New Roman" w:eastAsiaTheme="minorEastAsia"/>
          <w:b/>
          <w:sz w:val="24"/>
          <w:szCs w:val="24"/>
          <w:lang w:eastAsia="ru-RU"/>
        </w:rPr>
        <w:t xml:space="preserve">Утверждаю: </w:t>
      </w:r>
    </w:p>
    <w:p>
      <w:pPr>
        <w:pStyle w:val="Normal"/>
        <w:spacing w:lineRule="auto" w:line="240" w:before="0" w:after="0"/>
        <w:ind w:left="1459" w:firstLine="6"/>
        <w:jc w:val="right"/>
        <w:rPr>
          <w:rFonts w:ascii="Times New Roman" w:hAnsi="Times New Roman" w:eastAsia="" w:cs="Times New Roman" w:eastAsiaTheme="minorEastAsia"/>
          <w:sz w:val="24"/>
          <w:szCs w:val="24"/>
          <w:lang w:eastAsia="ru-RU"/>
        </w:rPr>
      </w:pPr>
      <w:r>
        <w:rPr>
          <w:rFonts w:eastAsia="" w:cs="Times New Roman" w:ascii="Times New Roman" w:hAnsi="Times New Roman" w:eastAsiaTheme="minorEastAsia"/>
          <w:sz w:val="24"/>
          <w:szCs w:val="24"/>
          <w:lang w:eastAsia="ru-RU"/>
        </w:rPr>
        <w:t xml:space="preserve">Директор Центрального филиала </w:t>
      </w:r>
    </w:p>
    <w:p>
      <w:pPr>
        <w:pStyle w:val="Normal"/>
        <w:spacing w:lineRule="auto" w:line="240" w:before="0" w:after="0"/>
        <w:ind w:left="1459" w:firstLine="6"/>
        <w:jc w:val="right"/>
        <w:rPr>
          <w:rFonts w:ascii="Times New Roman" w:hAnsi="Times New Roman" w:eastAsia="" w:cs="Times New Roman" w:eastAsiaTheme="minorEastAsia"/>
          <w:sz w:val="24"/>
          <w:szCs w:val="24"/>
          <w:lang w:eastAsia="ru-RU"/>
        </w:rPr>
      </w:pPr>
      <w:r>
        <w:rPr>
          <w:rFonts w:eastAsia="" w:cs="Times New Roman" w:ascii="Times New Roman" w:hAnsi="Times New Roman" w:eastAsiaTheme="minorEastAsia"/>
          <w:sz w:val="24"/>
          <w:szCs w:val="24"/>
          <w:lang w:eastAsia="ru-RU"/>
        </w:rPr>
        <w:t>АО «ТК РусГидро»</w:t>
      </w:r>
    </w:p>
    <w:p>
      <w:pPr>
        <w:pStyle w:val="Normal"/>
        <w:spacing w:lineRule="auto" w:line="276" w:before="0" w:after="200"/>
        <w:jc w:val="right"/>
        <w:rPr>
          <w:rFonts w:ascii="Times New Roman" w:hAnsi="Times New Roman" w:eastAsia="" w:cs="Times New Roman" w:eastAsiaTheme="minorEastAsia"/>
          <w:b/>
          <w:sz w:val="24"/>
          <w:szCs w:val="24"/>
          <w:lang w:eastAsia="ru-RU"/>
        </w:rPr>
      </w:pPr>
      <w:r>
        <w:rPr>
          <w:rFonts w:eastAsia="" w:cs="Times New Roman" w:ascii="Times New Roman" w:hAnsi="Times New Roman" w:eastAsiaTheme="minorEastAsia"/>
          <w:sz w:val="24"/>
          <w:szCs w:val="24"/>
          <w:lang w:eastAsia="ru-RU"/>
        </w:rPr>
        <w:t>М</w:t>
      </w:r>
      <w:r>
        <w:rPr>
          <w:rFonts w:eastAsia="" w:cs="Times New Roman" w:ascii="Times New Roman" w:hAnsi="Times New Roman" w:eastAsiaTheme="minorEastAsia"/>
          <w:sz w:val="24"/>
          <w:szCs w:val="24"/>
          <w:lang w:eastAsia="ru-RU"/>
        </w:rPr>
        <w:t>.</w:t>
      </w:r>
      <w:r>
        <w:rPr>
          <w:rFonts w:eastAsia="" w:cs="Times New Roman" w:ascii="Times New Roman" w:hAnsi="Times New Roman" w:eastAsiaTheme="minorEastAsia"/>
          <w:sz w:val="24"/>
          <w:szCs w:val="24"/>
          <w:lang w:eastAsia="ru-RU"/>
        </w:rPr>
        <w:t>В</w:t>
      </w:r>
      <w:r>
        <w:rPr>
          <w:rFonts w:eastAsia="" w:cs="Times New Roman" w:ascii="Times New Roman" w:hAnsi="Times New Roman" w:eastAsiaTheme="minorEastAsia"/>
          <w:sz w:val="24"/>
          <w:szCs w:val="24"/>
          <w:lang w:eastAsia="ru-RU"/>
        </w:rPr>
        <w:t xml:space="preserve">. </w:t>
      </w:r>
      <w:r>
        <w:rPr>
          <w:rFonts w:eastAsia="" w:cs="Times New Roman" w:ascii="Times New Roman" w:hAnsi="Times New Roman" w:eastAsiaTheme="minorEastAsia"/>
          <w:sz w:val="24"/>
          <w:szCs w:val="24"/>
          <w:lang w:eastAsia="ru-RU"/>
        </w:rPr>
        <w:t>Неше</w:t>
      </w:r>
      <w:r>
        <w:rPr>
          <w:rFonts w:eastAsia="" w:cs="Times New Roman" w:ascii="Times New Roman" w:hAnsi="Times New Roman" w:eastAsiaTheme="minorEastAsia"/>
          <w:sz w:val="24"/>
          <w:szCs w:val="24"/>
          <w:lang w:eastAsia="ru-RU"/>
        </w:rPr>
        <w:t>в</w:t>
      </w:r>
    </w:p>
    <w:p>
      <w:pPr>
        <w:pStyle w:val="Normal"/>
        <w:spacing w:lineRule="auto" w:line="276" w:before="0" w:after="200"/>
        <w:jc w:val="right"/>
        <w:rPr>
          <w:rFonts w:ascii="Times New Roman" w:hAnsi="Times New Roman" w:eastAsia="" w:cs="Times New Roman" w:eastAsiaTheme="minorEastAsia"/>
          <w:sz w:val="24"/>
          <w:szCs w:val="24"/>
          <w:lang w:eastAsia="ru-RU"/>
        </w:rPr>
      </w:pPr>
      <w:r>
        <w:rPr>
          <w:rFonts w:eastAsia="" w:cs="Times New Roman" w:ascii="Times New Roman" w:hAnsi="Times New Roman" w:eastAsiaTheme="minorEastAsia"/>
          <w:sz w:val="24"/>
          <w:szCs w:val="24"/>
          <w:lang w:eastAsia="ru-RU"/>
        </w:rPr>
        <w:t>«____» _________202</w:t>
      </w:r>
      <w:r>
        <w:rPr>
          <w:rFonts w:eastAsia="" w:cs="Times New Roman" w:ascii="Times New Roman" w:hAnsi="Times New Roman" w:eastAsiaTheme="minorEastAsia"/>
          <w:sz w:val="24"/>
          <w:szCs w:val="24"/>
          <w:lang w:eastAsia="ru-RU"/>
        </w:rPr>
        <w:t>6</w:t>
      </w:r>
      <w:r>
        <w:rPr>
          <w:rFonts w:eastAsia="" w:cs="Times New Roman" w:ascii="Times New Roman" w:hAnsi="Times New Roman" w:eastAsiaTheme="minorEastAsia"/>
          <w:sz w:val="24"/>
          <w:szCs w:val="24"/>
          <w:lang w:eastAsia="ru-RU"/>
        </w:rPr>
        <w:t>г.</w:t>
      </w:r>
    </w:p>
    <w:p>
      <w:pPr>
        <w:pStyle w:val="Normal"/>
        <w:spacing w:lineRule="auto" w:line="276" w:before="0" w:after="20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ТЕХНИЧЕСКОЕ ТРЕБОВАНИЕ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  <w:t xml:space="preserve">на поставку подъемника четырех стоечного </w:t>
      </w:r>
      <w:r>
        <w:rPr>
          <w:rFonts w:eastAsia="Calibri" w:cs="Times New Roman" w:ascii="Times New Roman" w:hAnsi="Times New Roman"/>
          <w:b/>
          <w:sz w:val="24"/>
          <w:szCs w:val="24"/>
        </w:rPr>
        <w:t>(для 3D сход развала),</w:t>
      </w:r>
      <w:r>
        <w:rPr>
          <w:rFonts w:eastAsia="Calibri" w:cs="Times New Roman" w:ascii="Times New Roman" w:hAnsi="Times New Roman"/>
          <w:b/>
          <w:sz w:val="24"/>
          <w:szCs w:val="24"/>
        </w:rPr>
        <w:t xml:space="preserve"> для нужд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" w:cs="Times New Roman" w:eastAsiaTheme="minorEastAsia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  <w:t>Загорского транспортного участка</w:t>
      </w:r>
    </w:p>
    <w:p>
      <w:pPr>
        <w:pStyle w:val="Normal"/>
        <w:numPr>
          <w:ilvl w:val="0"/>
          <w:numId w:val="2"/>
        </w:numPr>
        <w:spacing w:lineRule="atLeast" w:line="120" w:before="0" w:after="0"/>
        <w:ind w:left="426" w:hanging="426"/>
        <w:contextualSpacing/>
        <w:rPr>
          <w:rFonts w:ascii="Times New Roman" w:hAnsi="Times New Roman" w:eastAsia="" w:cs="Times New Roman" w:eastAsiaTheme="minorEastAsia"/>
          <w:b/>
          <w:bCs/>
          <w:sz w:val="24"/>
          <w:szCs w:val="24"/>
          <w:lang w:eastAsia="ru-RU"/>
        </w:rPr>
      </w:pPr>
      <w:r>
        <w:rPr>
          <w:rFonts w:eastAsia="" w:cs="Times New Roman" w:ascii="Times New Roman" w:hAnsi="Times New Roman" w:eastAsiaTheme="minorEastAsia"/>
          <w:b/>
          <w:bCs/>
          <w:sz w:val="24"/>
          <w:szCs w:val="24"/>
          <w:lang w:eastAsia="ru-RU"/>
        </w:rPr>
        <w:t xml:space="preserve">Наименование закупаемой продукции </w:t>
      </w:r>
    </w:p>
    <w:p>
      <w:pPr>
        <w:pStyle w:val="Normal"/>
        <w:spacing w:lineRule="atLeast" w:line="120" w:before="0" w:after="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ascii="Times New Roman" w:hAnsi="Times New Roman" w:eastAsiaTheme="minorEastAsia"/>
          <w:bCs/>
          <w:sz w:val="24"/>
          <w:szCs w:val="24"/>
          <w:lang w:eastAsia="ru-RU"/>
        </w:rPr>
        <w:t xml:space="preserve">Поставка подъемника четырех стоечного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lang w:eastAsia="ru-RU"/>
        </w:rPr>
        <w:t>(для 3D сход развала),</w:t>
      </w:r>
      <w:r>
        <w:rPr>
          <w:rFonts w:eastAsia="" w:cs="Times New Roman" w:ascii="Times New Roman" w:hAnsi="Times New Roman" w:eastAsiaTheme="minorEastAsia"/>
          <w:bCs/>
          <w:sz w:val="24"/>
          <w:szCs w:val="24"/>
          <w:lang w:eastAsia="ru-RU"/>
        </w:rPr>
        <w:t xml:space="preserve"> для нужд Загорского транспортного участка.</w:t>
      </w:r>
    </w:p>
    <w:p>
      <w:pPr>
        <w:pStyle w:val="Normal"/>
        <w:numPr>
          <w:ilvl w:val="0"/>
          <w:numId w:val="2"/>
        </w:numPr>
        <w:spacing w:lineRule="atLeast" w:line="120" w:before="0" w:after="0"/>
        <w:ind w:left="426" w:hanging="426"/>
        <w:contextualSpacing/>
        <w:jc w:val="both"/>
        <w:rPr>
          <w:rFonts w:ascii="Times New Roman" w:hAnsi="Times New Roman" w:eastAsia="" w:cs="Times New Roman" w:eastAsiaTheme="minorEastAsia"/>
          <w:b/>
          <w:bCs/>
          <w:sz w:val="24"/>
          <w:szCs w:val="24"/>
          <w:lang w:eastAsia="ru-RU"/>
        </w:rPr>
      </w:pPr>
      <w:r>
        <w:rPr>
          <w:rFonts w:eastAsia="" w:cs="Times New Roman" w:ascii="Times New Roman" w:hAnsi="Times New Roman" w:eastAsiaTheme="minorEastAsia"/>
          <w:b/>
          <w:bCs/>
          <w:sz w:val="24"/>
          <w:szCs w:val="24"/>
          <w:lang w:eastAsia="ru-RU"/>
        </w:rPr>
        <w:t xml:space="preserve">Покупатель </w:t>
      </w:r>
    </w:p>
    <w:p>
      <w:pPr>
        <w:pStyle w:val="Normal"/>
        <w:spacing w:lineRule="atLeast" w:line="120" w:before="0" w:after="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ascii="Times New Roman" w:hAnsi="Times New Roman" w:eastAsiaTheme="minorEastAsia"/>
          <w:bCs/>
          <w:sz w:val="24"/>
          <w:szCs w:val="24"/>
          <w:lang w:eastAsia="ru-RU"/>
        </w:rPr>
        <w:t xml:space="preserve">Акционерное общество «Транспортная компания РусГидро» (АО «ТК РусГидро») для нужд Загорского транспортного участка Центрального филиала АО «ТК РусГидро» находящегося по адресу: 141342, Московская область, Сергиево-Посадский район, р.п. Богородское </w:t>
      </w:r>
    </w:p>
    <w:p>
      <w:pPr>
        <w:pStyle w:val="Normal"/>
        <w:numPr>
          <w:ilvl w:val="0"/>
          <w:numId w:val="2"/>
        </w:numPr>
        <w:spacing w:lineRule="atLeast" w:line="120" w:before="0" w:after="0"/>
        <w:ind w:left="426" w:hanging="426"/>
        <w:contextualSpacing/>
        <w:jc w:val="both"/>
        <w:rPr>
          <w:rFonts w:ascii="Times New Roman" w:hAnsi="Times New Roman" w:eastAsia="" w:cs="Times New Roman" w:eastAsiaTheme="minorEastAsia"/>
          <w:b/>
          <w:bCs/>
          <w:sz w:val="24"/>
          <w:szCs w:val="24"/>
          <w:lang w:eastAsia="ru-RU"/>
        </w:rPr>
      </w:pPr>
      <w:r>
        <w:rPr>
          <w:rFonts w:eastAsia="" w:cs="Times New Roman" w:ascii="Times New Roman" w:hAnsi="Times New Roman" w:eastAsiaTheme="minorEastAsia"/>
          <w:b/>
          <w:bCs/>
          <w:sz w:val="24"/>
          <w:szCs w:val="24"/>
          <w:lang w:eastAsia="ru-RU"/>
        </w:rPr>
        <w:t xml:space="preserve">Цели и задачи. </w:t>
      </w:r>
    </w:p>
    <w:p>
      <w:pPr>
        <w:pStyle w:val="Normal"/>
        <w:spacing w:lineRule="atLeast" w:line="120" w:before="0" w:after="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ascii="Times New Roman" w:hAnsi="Times New Roman" w:eastAsiaTheme="minorEastAsia"/>
          <w:bCs/>
          <w:sz w:val="24"/>
          <w:szCs w:val="24"/>
          <w:lang w:eastAsia="ru-RU"/>
        </w:rPr>
        <w:t>Подъемник предназначен для поднятия транспортных средств, позволяющий уменьшить время и трудоемкость слесарных, диагностических работ и проведения работ по регулировке углов установки колес.</w:t>
      </w:r>
    </w:p>
    <w:p>
      <w:pPr>
        <w:pStyle w:val="Normal"/>
        <w:spacing w:lineRule="atLeast" w:line="120" w:before="0" w:after="0"/>
        <w:contextualSpacing/>
        <w:jc w:val="both"/>
        <w:rPr>
          <w:rFonts w:ascii="Times New Roman" w:hAnsi="Times New Roman" w:eastAsia="" w:cs="Times New Roman" w:eastAsiaTheme="minorEastAsia"/>
          <w:b/>
          <w:bCs/>
          <w:sz w:val="24"/>
          <w:szCs w:val="24"/>
          <w:lang w:eastAsia="ru-RU"/>
        </w:rPr>
      </w:pPr>
      <w:r>
        <w:rPr>
          <w:rFonts w:eastAsia="" w:cs="Times New Roman" w:ascii="Times New Roman" w:hAnsi="Times New Roman" w:eastAsiaTheme="minorEastAsia"/>
          <w:b/>
          <w:bCs/>
          <w:sz w:val="24"/>
          <w:szCs w:val="24"/>
          <w:lang w:eastAsia="ru-RU"/>
        </w:rPr>
        <w:t>4.</w:t>
        <w:tab/>
        <w:t xml:space="preserve">Требования к закупаемой продукции (технические и иные характеристики) </w:t>
      </w:r>
    </w:p>
    <w:p>
      <w:pPr>
        <w:pStyle w:val="Normal"/>
        <w:spacing w:lineRule="atLeast" w:line="120" w:before="0" w:after="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ascii="Times New Roman" w:hAnsi="Times New Roman" w:eastAsiaTheme="minorEastAsia"/>
          <w:bCs/>
          <w:sz w:val="24"/>
          <w:szCs w:val="24"/>
          <w:lang w:eastAsia="ru-RU"/>
        </w:rPr>
        <w:t>4.1. Продукция должна быть новой, не восстановленной, заводского производства, пригодной к эксплуатации, соответствовать техническим характеристикам, указанным в настоящем техническом требовании, принадлежать Участнику на праве собственности, не состоять под залогом и арестом. Год производства – не ранее 202</w:t>
      </w:r>
      <w:r>
        <w:rPr>
          <w:rFonts w:eastAsia="" w:cs="Times New Roman" w:ascii="Times New Roman" w:hAnsi="Times New Roman" w:eastAsiaTheme="minorEastAsia"/>
          <w:bCs/>
          <w:sz w:val="24"/>
          <w:szCs w:val="24"/>
          <w:lang w:eastAsia="ru-RU"/>
        </w:rPr>
        <w:t>6</w:t>
      </w:r>
      <w:r>
        <w:rPr>
          <w:rFonts w:eastAsia="" w:cs="Times New Roman" w:ascii="Times New Roman" w:hAnsi="Times New Roman" w:eastAsiaTheme="minorEastAsia"/>
          <w:bCs/>
          <w:sz w:val="24"/>
          <w:szCs w:val="24"/>
          <w:lang w:eastAsia="ru-RU"/>
        </w:rPr>
        <w:t xml:space="preserve"> г. </w:t>
      </w:r>
    </w:p>
    <w:p>
      <w:pPr>
        <w:pStyle w:val="Normal"/>
        <w:spacing w:lineRule="atLeast" w:line="120" w:before="0" w:after="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ascii="Times New Roman" w:hAnsi="Times New Roman" w:eastAsiaTheme="minorEastAsia"/>
          <w:bCs/>
          <w:sz w:val="24"/>
          <w:szCs w:val="24"/>
          <w:lang w:eastAsia="ru-RU"/>
        </w:rPr>
        <w:t>4.2. В комплект поставки должны быть включены: руководство пользователя на русском языке, руководство по эксплуатации, гарантийный талон, сертификат соответствия требованиям ТР ТС 010/2011 «О безопасности машин и оборудования»</w:t>
      </w:r>
      <w:r>
        <w:rPr>
          <w:rFonts w:ascii="Times New Roman" w:hAnsi="Times New Roman"/>
          <w:bCs/>
          <w:sz w:val="24"/>
          <w:szCs w:val="24"/>
          <w:lang w:eastAsia="ru-RU"/>
        </w:rPr>
        <w:t>(</w:t>
      </w:r>
      <w:r>
        <w:rPr>
          <w:rFonts w:ascii="Times New Roman" w:hAnsi="Times New Roman"/>
          <w:bCs/>
          <w:i/>
          <w:sz w:val="24"/>
          <w:szCs w:val="24"/>
          <w:lang w:eastAsia="ru-RU"/>
        </w:rPr>
        <w:t>Соответствие установленному требованию подтверждается путем представления Участником закупки в составе своей заявки скан копию указанного сертификата/декларации со всеми приложениями в формате PortableDocumentFormat (*.pdf))</w:t>
      </w:r>
      <w:r>
        <w:rPr>
          <w:rFonts w:eastAsia="" w:cs="Times New Roman" w:ascii="Times New Roman" w:hAnsi="Times New Roman" w:eastAsiaTheme="minorEastAsia"/>
          <w:bCs/>
          <w:sz w:val="24"/>
          <w:szCs w:val="24"/>
          <w:lang w:eastAsia="ru-RU"/>
        </w:rPr>
        <w:t>.</w:t>
      </w:r>
    </w:p>
    <w:p>
      <w:pPr>
        <w:pStyle w:val="Normal"/>
        <w:spacing w:lineRule="atLeast" w:line="120" w:before="0" w:after="0"/>
        <w:jc w:val="both"/>
        <w:rPr>
          <w:rFonts w:ascii="Times New Roman" w:hAnsi="Times New Roman" w:eastAsia="" w:cs="Times New Roman" w:eastAsiaTheme="minorEastAsia"/>
          <w:sz w:val="24"/>
          <w:szCs w:val="24"/>
          <w:lang w:eastAsia="ru-RU"/>
        </w:rPr>
      </w:pPr>
      <w:r>
        <w:rPr>
          <w:rFonts w:eastAsia="" w:cs="Times New Roman" w:ascii="Times New Roman" w:hAnsi="Times New Roman" w:eastAsiaTheme="minorEastAsia"/>
          <w:bCs/>
          <w:sz w:val="24"/>
          <w:szCs w:val="24"/>
          <w:lang w:eastAsia="ru-RU"/>
        </w:rPr>
        <w:t>4.3. Качество и</w:t>
      </w:r>
      <w:r>
        <w:rPr>
          <w:rFonts w:eastAsia="" w:cs="Times New Roman" w:ascii="Times New Roman" w:hAnsi="Times New Roman" w:eastAsiaTheme="minorEastAsia"/>
          <w:sz w:val="24"/>
          <w:szCs w:val="24"/>
          <w:lang w:eastAsia="ru-RU"/>
        </w:rPr>
        <w:t xml:space="preserve"> безопасность поставляемой продукции должны соответствовать действующим стандартам и условиям, утвержденными на данный вид товара, оформленным в соответствии с законодательством Российской Федерации и договором.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bookmarkStart w:id="0" w:name="_GoBack"/>
      <w:bookmarkEnd w:id="0"/>
      <w:r>
        <w:rPr>
          <w:rFonts w:eastAsia="Calibri" w:cs="Times New Roman" w:ascii="Times New Roman" w:hAnsi="Times New Roman"/>
          <w:sz w:val="24"/>
          <w:szCs w:val="24"/>
        </w:rPr>
        <w:t>4.4. Гарантийный срок на поставляемый подъемник должен быть не менее гарантийного срока производителя и составлять не менее 12 (двенадцать) месяцев с даты подписания товарной накладной формы ТОРГ 12.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" w:cs="Times New Roman" w:eastAsiaTheme="minorEastAsia"/>
          <w:sz w:val="24"/>
          <w:szCs w:val="24"/>
          <w:lang w:eastAsia="ru-RU"/>
        </w:rPr>
      </w:pPr>
      <w:r>
        <w:rPr>
          <w:rFonts w:eastAsia="" w:cs="Times New Roman" w:ascii="Times New Roman" w:hAnsi="Times New Roman" w:eastAsiaTheme="minorEastAsia"/>
          <w:sz w:val="24"/>
          <w:szCs w:val="24"/>
          <w:lang w:eastAsia="ru-RU"/>
        </w:rPr>
        <w:t>4.5. Комплектность поставки должна обеспечить возможность использования продукции по прямому назначению.</w:t>
      </w:r>
    </w:p>
    <w:p>
      <w:pPr>
        <w:pStyle w:val="Normal"/>
        <w:spacing w:lineRule="atLeast" w:line="120" w:before="0" w:after="0"/>
        <w:contextualSpacing/>
        <w:jc w:val="both"/>
        <w:rPr>
          <w:rFonts w:ascii="Times New Roman" w:hAnsi="Times New Roman" w:eastAsia="" w:cs="Times New Roman" w:eastAsiaTheme="minorEastAsia"/>
          <w:b/>
          <w:bCs/>
          <w:sz w:val="24"/>
          <w:szCs w:val="24"/>
          <w:lang w:eastAsia="ru-RU"/>
        </w:rPr>
      </w:pPr>
      <w:r>
        <w:rPr>
          <w:rFonts w:eastAsia="" w:cs="Times New Roman" w:ascii="Times New Roman" w:hAnsi="Times New Roman" w:eastAsiaTheme="minorEastAsia"/>
          <w:b/>
          <w:bCs/>
          <w:sz w:val="24"/>
          <w:szCs w:val="24"/>
          <w:lang w:eastAsia="ru-RU"/>
        </w:rPr>
        <w:t>5. Требования к Участнику.</w:t>
      </w:r>
    </w:p>
    <w:p>
      <w:pPr>
        <w:pStyle w:val="ListParagraph"/>
        <w:numPr>
          <w:ilvl w:val="1"/>
          <w:numId w:val="7"/>
        </w:numPr>
        <w:tabs>
          <w:tab w:val="clear" w:pos="708"/>
          <w:tab w:val="left" w:pos="0" w:leader="none"/>
        </w:tabs>
        <w:spacing w:lineRule="auto" w:line="240" w:before="0" w:after="0"/>
        <w:ind w:left="0" w:right="282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Участник должен иметь опыт поставки электрогидравлических подъемников, при этом за последние 3 года, предшествующие дате окончания срока подачи заявок на участие в конкурентной закупке, Участником должны быть исполнены обязательства (осуществлена поставка)) в общем/совокупном объеме не менее 100% от начальной (максимальной) цены договора (лота), указанной в Извещении. (Соответствие установленному требованию подтверждается путем представления Участником закупки в составе заявки сведений о ранее выполненных договорах по форме «Справка об опыте Участника» Документации о закупке. При этом Заказчик вправе запросить подтверждающие документы (копии договоров и актов сдачи-приемки, ТОРГ-12, УПД, подписанных с обеих сторон)). Сведения, не позволяющие явно/однозначно определить наличие требуемого опыта у Участника, не оцениваются.</w:t>
      </w:r>
    </w:p>
    <w:p>
      <w:pPr>
        <w:pStyle w:val="ListParagraph"/>
        <w:numPr>
          <w:ilvl w:val="1"/>
          <w:numId w:val="7"/>
        </w:numPr>
        <w:tabs>
          <w:tab w:val="clear" w:pos="708"/>
          <w:tab w:val="left" w:pos="0" w:leader="none"/>
        </w:tabs>
        <w:spacing w:lineRule="auto" w:line="240" w:before="0" w:after="0"/>
        <w:ind w:left="0" w:right="282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№1 к ТТ обязательно к заполнению Участником и предоставляется в составе технического предложения.</w:t>
      </w:r>
    </w:p>
    <w:p>
      <w:pPr>
        <w:pStyle w:val="Normal"/>
        <w:spacing w:lineRule="atLeast" w:line="120" w:before="0" w:after="0"/>
        <w:contextualSpacing/>
        <w:jc w:val="both"/>
        <w:rPr>
          <w:rFonts w:ascii="Times New Roman" w:hAnsi="Times New Roman" w:eastAsia="" w:cs="Times New Roman" w:eastAsiaTheme="minorEastAsia"/>
          <w:b/>
          <w:bCs/>
          <w:sz w:val="24"/>
          <w:szCs w:val="24"/>
          <w:lang w:eastAsia="ru-RU"/>
        </w:rPr>
      </w:pPr>
      <w:r>
        <w:rPr>
          <w:rFonts w:eastAsia="" w:cs="Times New Roman" w:ascii="Times New Roman" w:hAnsi="Times New Roman" w:eastAsiaTheme="minorEastAsia"/>
          <w:b/>
          <w:bCs/>
          <w:sz w:val="24"/>
          <w:szCs w:val="24"/>
          <w:lang w:eastAsia="ru-RU"/>
        </w:rPr>
        <w:t>6. Требования к документации по ценообразованию.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40" w:before="0" w:after="0"/>
        <w:ind w:left="0" w:right="282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 В цену продукции должны быть включены все затраты, связанные с исполнением обязательств по поставке продукции, в том числе, все налоги, сборы и пошлины, расходы на доставку Продукции до места поставки, погрузку и разгрузку, иные расходы, связанные с исполнением обязательств по Договору.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40" w:before="0" w:after="0"/>
        <w:ind w:left="0" w:right="282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 Цена остается фиксированной и не подлежит изменению с момента подведения итогов закупочных процедур и на все время действия договора.</w:t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Приложение:</w:t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/>
          <w:bCs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Приложение №1- </w:t>
      </w:r>
      <w:r>
        <w:rPr>
          <w:rFonts w:eastAsia="Times New Roman" w:ascii="Times New Roman" w:hAnsi="Times New Roman"/>
          <w:bCs/>
          <w:sz w:val="26"/>
          <w:szCs w:val="26"/>
          <w:lang w:eastAsia="ru-RU"/>
        </w:rPr>
        <w:t>Требования к закупаемой Продукции;</w:t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eastAsia="Times New Roman" w:ascii="Times New Roman" w:hAnsi="Times New Roman"/>
          <w:bCs/>
          <w:sz w:val="24"/>
          <w:szCs w:val="24"/>
          <w:lang w:eastAsia="ru-RU"/>
        </w:rPr>
        <w:t xml:space="preserve">Приложение №1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eastAsia="Times New Roman" w:ascii="Times New Roman" w:hAnsi="Times New Roman"/>
          <w:bCs/>
          <w:sz w:val="24"/>
          <w:szCs w:val="24"/>
          <w:lang w:eastAsia="ru-RU"/>
        </w:rPr>
        <w:t>к Техническим требованиям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bCs/>
          <w:sz w:val="28"/>
          <w:szCs w:val="28"/>
          <w:lang w:eastAsia="ru-RU"/>
        </w:rPr>
        <w:t>Требования к закупаемой Продукции</w:t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12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tbl>
      <w:tblPr>
        <w:tblW w:w="500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96"/>
        <w:gridCol w:w="3135"/>
        <w:gridCol w:w="3830"/>
        <w:gridCol w:w="1693"/>
      </w:tblGrid>
      <w:tr>
        <w:trPr>
          <w:trHeight w:val="635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66" w:right="-100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66" w:right="-100"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Предложение участника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57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83" w:hRule="atLeast"/>
        </w:trPr>
        <w:tc>
          <w:tcPr>
            <w:tcW w:w="93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/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i/>
                <w:sz w:val="24"/>
                <w:szCs w:val="24"/>
              </w:rPr>
              <w:t>Технические характеристики</w:t>
            </w:r>
          </w:p>
        </w:tc>
      </w:tr>
      <w:tr>
        <w:trPr>
          <w:trHeight w:val="316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Тип подъемника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Электрогидравлический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316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Грузоподъемность, кг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Не менее 5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83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Длина c заездными трапами, мм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Не менее 6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83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Длина без заездных трапов, мм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Не менее  5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83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Общая ширина подъёмника, мм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Не менее 3 410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48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Высота подъемника, мм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Не менее 2 200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51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Высота трапов, мм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Не менее 230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378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Высота подъема, мм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Не менее 1800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378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Ширина трапа, мм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Не менее 500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378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Время подъема, сек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Не более 60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378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Мощность привода, кВт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Не менее 3,0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378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Напряжение, В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380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378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Высота траверсы (регулируемое), мм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Не менее 80 не более 450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378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Расстояние между трапами (регулируемое), мм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Не менее 860 не более 1200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378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Постановка на стопоры колонн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автоматическом режиме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340" w:hRule="atLeast"/>
        </w:trPr>
        <w:tc>
          <w:tcPr>
            <w:tcW w:w="93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/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i/>
                <w:sz w:val="24"/>
                <w:szCs w:val="24"/>
              </w:rPr>
              <w:t>Требования к комплектации</w:t>
            </w:r>
          </w:p>
        </w:tc>
      </w:tr>
      <w:tr>
        <w:trPr>
          <w:trHeight w:val="1304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lineRule="auto" w:line="240" w:before="0" w:after="0"/>
              <w:ind w:left="360" w:hanging="36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Комплект поставки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-27" w:leader="none"/>
              </w:tabs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Колонна подъемника с ребрами жесткости – 4 шт.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-27" w:leader="none"/>
              </w:tabs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Балка поперечная – 2шт.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-27" w:leader="none"/>
              </w:tabs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Колпак пластиковый на колонну – 4шт.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-27" w:leader="none"/>
              </w:tabs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Гидростанция – 1 шт.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-27" w:leader="none"/>
              </w:tabs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Трапы автомобильные продольные – 2 шт.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-27" w:leader="none"/>
              </w:tabs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Трос оцинкованный – 2 шт.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-27" w:leader="none"/>
              </w:tabs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Шланг гидравлический – 1 шт.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-27" w:leader="none"/>
              </w:tabs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Траверса гидравлическая г/п 2,0 т. – 1 шт.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-27" w:leader="none"/>
              </w:tabs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Проставки из вспененного материала – 2шт.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-27" w:leader="none"/>
              </w:tabs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Ограничитель заезда – 2 шт.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-27" w:leader="none"/>
              </w:tabs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Башмаки противооткатные – 4шт.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-27" w:leader="none"/>
              </w:tabs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Трапы заездные – 2шт.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-27" w:leader="none"/>
              </w:tabs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Болты анкерные – 16 шт.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-27" w:leader="none"/>
              </w:tabs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Переходники, гайки, болты – 1 компл.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-27" w:leader="none"/>
              </w:tabs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Инструкция по эксплуатации – 1шт.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-27" w:leader="none"/>
              </w:tabs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Поворотные круги — 2 шт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-27" w:leader="none"/>
              </w:tabs>
              <w:spacing w:lineRule="auto" w:line="240" w:before="0" w:after="0"/>
              <w:ind w:left="360" w:hang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85" w:hRule="atLeast"/>
        </w:trPr>
        <w:tc>
          <w:tcPr>
            <w:tcW w:w="93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/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i/>
                <w:sz w:val="24"/>
                <w:szCs w:val="24"/>
              </w:rPr>
              <w:t>Прочее</w:t>
            </w:r>
          </w:p>
        </w:tc>
      </w:tr>
      <w:tr>
        <w:trPr>
          <w:trHeight w:val="283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Безопасность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-27" w:leader="none"/>
                <w:tab w:val="left" w:pos="38" w:leader="none"/>
                <w:tab w:val="left" w:pos="322" w:leader="none"/>
              </w:tabs>
              <w:spacing w:lineRule="auto" w:line="240" w:before="0" w:after="0"/>
              <w:ind w:left="-101" w:hanging="0"/>
              <w:contextualSpacing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Пневматическая система безопасности с электронным контролем.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-27" w:leader="none"/>
                <w:tab w:val="left" w:pos="38" w:leader="none"/>
                <w:tab w:val="left" w:pos="322" w:leader="none"/>
              </w:tabs>
              <w:spacing w:lineRule="auto" w:line="240" w:before="0" w:after="0"/>
              <w:ind w:left="-101" w:hanging="0"/>
              <w:contextualSpacing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Многопозиционный регулируемый замок безопасности у трапов синхронизирует трапы по высоте.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-27" w:leader="none"/>
                <w:tab w:val="left" w:pos="38" w:leader="none"/>
                <w:tab w:val="left" w:pos="322" w:leader="none"/>
              </w:tabs>
              <w:spacing w:lineRule="auto" w:line="240" w:before="0" w:after="0"/>
              <w:ind w:left="-101" w:hanging="0"/>
              <w:contextualSpacing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Дублирующие замки безопасности у трапов.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-27" w:leader="none"/>
                <w:tab w:val="left" w:pos="38" w:leader="none"/>
                <w:tab w:val="left" w:pos="322" w:leader="none"/>
              </w:tabs>
              <w:spacing w:lineRule="auto" w:line="240" w:before="0" w:after="0"/>
              <w:ind w:left="-101" w:hanging="0"/>
              <w:contextualSpacing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Механизм защиты от обрыва троса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83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Год выпуска 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Не ранее 20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en-US" w:eastAsia="ru-RU"/>
              </w:rPr>
              <w:t>2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en-US" w:eastAsia="ru-RU"/>
              </w:rPr>
              <w:t>6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г. в.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</w:tr>
      <w:tr>
        <w:trPr>
          <w:trHeight w:val="283" w:hRule="atLeast"/>
        </w:trPr>
        <w:tc>
          <w:tcPr>
            <w:tcW w:w="93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/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i/>
                <w:sz w:val="24"/>
                <w:szCs w:val="24"/>
              </w:rPr>
              <w:t>Количество и место поставки.</w:t>
            </w:r>
          </w:p>
        </w:tc>
      </w:tr>
      <w:tr>
        <w:trPr>
          <w:trHeight w:val="848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Российская Федерация, Московская область, Сергиево-Посадский район, р.п. Богородское  Загорский транспортный участок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</w:tr>
      <w:tr>
        <w:trPr>
          <w:trHeight w:val="848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Количество, ед.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848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Способ транспортировки до места поставки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Доставка Продукции до места поставки (п.п. 4.1) осуществляется силами Поставщика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FF0000"/>
                <w:sz w:val="24"/>
                <w:szCs w:val="24"/>
              </w:rPr>
            </w:r>
          </w:p>
        </w:tc>
      </w:tr>
      <w:tr>
        <w:trPr>
          <w:trHeight w:val="848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4.4.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 поставки продукции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течении 45 (сорок пять) календарных дней с даты выплаты авансового платежа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FF0000"/>
                <w:sz w:val="24"/>
                <w:szCs w:val="24"/>
              </w:rPr>
            </w:r>
          </w:p>
        </w:tc>
      </w:tr>
    </w:tbl>
    <w:p>
      <w:pPr>
        <w:pStyle w:val="Normal"/>
        <w:spacing w:lineRule="atLeast" w:line="120" w:before="0" w:after="0"/>
        <w:rPr>
          <w:rFonts w:ascii="Times New Roman" w:hAnsi="Times New Roman" w:eastAsia="" w:cs="Times New Roman" w:eastAsiaTheme="minorEastAsia"/>
          <w:b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tLeast" w:line="120" w:before="0" w:after="0"/>
        <w:jc w:val="both"/>
        <w:rPr>
          <w:rFonts w:ascii="Times New Roman" w:hAnsi="Times New Roman" w:eastAsia="" w:cs="Times New Roman" w:eastAsiaTheme="minorEastAsia"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76" w:before="0" w:after="20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pacing w:lineRule="auto" w:line="276" w:before="0" w:after="20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>
          <w:rFonts w:eastAsia="" w:cs="Times New Roman" w:eastAsiaTheme="minorEastAsia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pacing w:lineRule="auto" w:line="276" w:before="0" w:after="200"/>
        <w:jc w:val="both"/>
        <w:rPr>
          <w:rFonts w:ascii="Times New Roman" w:hAnsi="Times New Roman" w:eastAsia="" w:cs="Times New Roman" w:eastAsiaTheme="minorEastAsia"/>
          <w:bCs/>
          <w:sz w:val="24"/>
          <w:szCs w:val="24"/>
          <w:lang w:eastAsia="ru-RU"/>
        </w:rPr>
      </w:pPr>
      <w:r>
        <w:rPr/>
      </w:r>
    </w:p>
    <w:sectPr>
      <w:footerReference w:type="default" r:id="rId2"/>
      <w:type w:val="nextPage"/>
      <w:pgSz w:w="11906" w:h="16838"/>
      <w:pgMar w:left="1701" w:right="850" w:gutter="0" w:header="0" w:top="1134" w:footer="708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 xml:space="preserve"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4</w:t>
    </w:r>
    <w:r>
      <w:rPr>
        <w:sz w:val="24"/>
        <w:szCs w:val="24"/>
        <w:rFonts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decimal"/>
      <w:lvlText w:val="1.%1."/>
      <w:lvlJc w:val="left"/>
      <w:pPr>
        <w:tabs>
          <w:tab w:val="num" w:pos="0"/>
        </w:tabs>
        <w:ind w:left="360" w:hanging="360"/>
      </w:pPr>
      <w:rPr>
        <w:i w:val="false"/>
        <w:b w:val="false"/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4">
    <w:lvl w:ilvl="0">
      <w:start w:val="1"/>
      <w:numFmt w:val="decimal"/>
      <w:lvlText w:val="10.%1."/>
      <w:lvlJc w:val="left"/>
      <w:pPr>
        <w:tabs>
          <w:tab w:val="num" w:pos="0"/>
        </w:tabs>
        <w:ind w:left="360" w:hanging="360"/>
      </w:pPr>
      <w:rPr>
        <w:i w:val="false"/>
        <w:b w:val="false"/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5">
    <w:lvl w:ilvl="0">
      <w:start w:val="1"/>
      <w:numFmt w:val="decimal"/>
      <w:lvlText w:val="9.%1."/>
      <w:lvlJc w:val="left"/>
      <w:pPr>
        <w:tabs>
          <w:tab w:val="num" w:pos="0"/>
        </w:tabs>
        <w:ind w:left="567" w:hanging="360"/>
      </w:pPr>
      <w:rPr>
        <w:i w:val="false"/>
        <w:b w:val="false"/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8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0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72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4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6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88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0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27" w:hanging="180"/>
      </w:pPr>
      <w:rPr>
        <w:rFonts w:cs="Times New Roman"/>
      </w:rPr>
    </w:lvl>
  </w:abstractNum>
  <w:abstractNum w:abstractNumId="6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7"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0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sid w:val="00a67f2f"/>
    <w:rPr>
      <w:rFonts w:eastAsia="" w:cs="Times New Roman" w:eastAsiaTheme="minorEastAsia"/>
      <w:lang w:eastAsia="ru-RU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34"/>
    <w:qFormat/>
    <w:rsid w:val="00a67f2f"/>
    <w:pPr>
      <w:spacing w:lineRule="auto" w:line="276" w:before="0" w:after="200"/>
      <w:ind w:left="720" w:hanging="0"/>
      <w:contextualSpacing/>
    </w:pPr>
    <w:rPr>
      <w:rFonts w:eastAsia="" w:cs="Times New Roman" w:eastAsiaTheme="minorEastAsia"/>
      <w:lang w:eastAsia="ru-RU"/>
    </w:rPr>
  </w:style>
  <w:style w:type="paragraph" w:styleId="Style12">
    <w:name w:val="Колонтитул"/>
    <w:basedOn w:val="Normal"/>
    <w:qFormat/>
    <w:pPr/>
    <w:rPr/>
  </w:style>
  <w:style w:type="paragraph" w:styleId="Footer">
    <w:name w:val="Footer"/>
    <w:basedOn w:val="Normal"/>
    <w:link w:val="Style9"/>
    <w:uiPriority w:val="99"/>
    <w:unhideWhenUsed/>
    <w:rsid w:val="00a67f2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eastAsia="" w:cs="Times New Roman" w:eastAsiaTheme="minorEastAsia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a67f2f"/>
    <w:pPr>
      <w:spacing w:after="0" w:line="240" w:lineRule="auto"/>
    </w:pPr>
    <w:rPr>
      <w:rFonts w:eastAsiaTheme="minorEastAsia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A0FA3-DE6A-477F-B0EB-BB27F0325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AlterOffice/3.4.0.9$Linux_X86_64 LibreOffice_project/b8daf9e823b1a5463a2f48435ddc2e8696e7d4fc</Application>
  <AppVersion>15.0000</AppVersion>
  <Pages>4</Pages>
  <Words>785</Words>
  <Characters>5133</Characters>
  <CharactersWithSpaces>5795</CharactersWithSpaces>
  <Paragraphs>124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2026-10-02T07:58:00Z</dcterms:created>
  <dc:creator>Толпыгина Наталья Викторовна</dc:creator>
  <dc:description/>
  <dc:language>ru-RU</dc:language>
  <cp:lastModifiedBy>urmanovav@corp.gidroogk.com</cp:lastModifiedBy>
  <cp:lastPrinted>2021-01-21T12:23:00Z</cp:lastPrinted>
  <dcterms:modified xsi:type="dcterms:W3CDTF">2026-10-02T14:40:52Z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