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3.xml.rels" ContentType="application/vnd.openxmlformats-package.relationships+xml"/>
  <Override PartName="/customXml/_rels/item6.xml.rels" ContentType="application/vnd.openxmlformats-package.relationships+xml"/>
  <Override PartName="/customXml/_rels/item2.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1.xml.rels" ContentType="application/vnd.openxmlformats-package.relationships+xml"/>
  <Override PartName="/customXml/_rels/item7.xml.rels" ContentType="application/vnd.openxmlformats-package.relationships+xml"/>
  <Override PartName="/customXml/itemProps5.xml" ContentType="application/vnd.openxmlformats-officedocument.customXmlProperties+xml"/>
  <Override PartName="/customXml/item5.xml" ContentType="application/xml"/>
  <Override PartName="/customXml/itemProps4.xml" ContentType="application/vnd.openxmlformats-officedocument.customXmlProperties+xml"/>
  <Override PartName="/customXml/item4.xml" ContentType="application/xml"/>
  <Override PartName="/customXml/item6.xml" ContentType="application/xml"/>
  <Override PartName="/customXml/itemProps6.xml" ContentType="application/vnd.openxmlformats-officedocument.customXmlProperties+xml"/>
  <Override PartName="/customXml/item7.xml" ContentType="application/xml"/>
  <Override PartName="/customXml/itemProps7.xml" ContentType="application/vnd.openxmlformats-officedocument.customXmlProperties+xml"/>
  <Override PartName="/customXml/itemProps2.xml" ContentType="application/vnd.openxmlformats-officedocument.customXmlProperties+xml"/>
  <Override PartName="/customXml/item3.xml" ContentType="application/xml"/>
  <Override PartName="/customXml/item2.xml" ContentType="application/xml"/>
  <Override PartName="/customXml/itemProps1.xml" ContentType="application/vnd.openxmlformats-officedocument.customXmlProperties+xml"/>
  <Override PartName="/customXml/item1.xml" ContentType="application/xml"/>
  <Override PartName="/customXml/itemProps3.xml" ContentType="application/vnd.openxmlformats-officedocument.customXmlProperties+xml"/>
  <Override PartName="/word/_rels/document.xml.rels" ContentType="application/vnd.openxmlformats-package.relationships+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document.xml" ContentType="application/vnd.openxmlformats-officedocument.wordprocessingml.document.main+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lang w:val="ru-RU"/>
        </w:rPr>
      </w:pPr>
      <w:r>
        <w:rPr>
          <w:b/>
          <w:lang w:val="ru-RU"/>
        </w:rPr>
        <w:t>Договор подряда № ________</w:t>
      </w:r>
    </w:p>
    <w:p>
      <w:pPr>
        <w:pStyle w:val="Normal"/>
        <w:jc w:val="center"/>
        <w:rPr>
          <w:b/>
          <w:lang w:val="ru-RU"/>
        </w:rPr>
      </w:pPr>
      <w:r>
        <w:rPr>
          <w:b/>
          <w:lang w:val="ru-RU"/>
        </w:rPr>
      </w:r>
    </w:p>
    <w:p>
      <w:pPr>
        <w:pStyle w:val="Normal"/>
        <w:tabs>
          <w:tab w:val="clear" w:pos="708"/>
          <w:tab w:val="left" w:pos="7938" w:leader="none"/>
        </w:tabs>
        <w:jc w:val="both"/>
        <w:rPr>
          <w:bCs/>
          <w:lang w:val="ru-RU"/>
        </w:rPr>
      </w:pPr>
      <w:r>
        <w:rPr>
          <w:lang w:val="ru-RU"/>
        </w:rPr>
        <w:t xml:space="preserve">г. </w:t>
      </w:r>
      <w:r>
        <w:rPr>
          <w:lang w:val="ru-RU"/>
        </w:rPr>
        <w:t>Владивосток</w:t>
      </w:r>
      <w:r>
        <w:rPr>
          <w:lang w:val="ru-RU"/>
        </w:rPr>
        <w:tab/>
      </w:r>
      <w:r>
        <w:rPr>
          <w:b/>
          <w:lang w:val="ru-RU"/>
        </w:rPr>
        <w:t>«___</w:t>
      </w:r>
      <w:r>
        <w:rPr>
          <w:bCs/>
          <w:lang w:val="ru-RU"/>
        </w:rPr>
        <w:t>» _______ 202</w:t>
      </w:r>
      <w:r>
        <w:rPr>
          <w:bCs/>
          <w:lang w:val="ru-RU"/>
        </w:rPr>
        <w:t>6</w:t>
      </w:r>
      <w:r>
        <w:rPr>
          <w:bCs/>
          <w:lang w:val="ru-RU"/>
        </w:rPr>
        <w:t xml:space="preserve"> г.</w:t>
      </w:r>
    </w:p>
    <w:p>
      <w:pPr>
        <w:pStyle w:val="Normal"/>
        <w:jc w:val="both"/>
        <w:rPr>
          <w:bCs/>
          <w:lang w:val="ru-RU"/>
        </w:rPr>
      </w:pPr>
      <w:r>
        <w:rPr>
          <w:bCs/>
          <w:lang w:val="ru-RU"/>
        </w:rPr>
      </w:r>
    </w:p>
    <w:p>
      <w:pPr>
        <w:pStyle w:val="BodyText3"/>
        <w:spacing w:before="0" w:after="0"/>
        <w:ind w:firstLine="709"/>
        <w:jc w:val="both"/>
        <w:rPr>
          <w:bCs/>
          <w:sz w:val="24"/>
          <w:szCs w:val="24"/>
          <w:lang w:val="ru-RU"/>
        </w:rPr>
      </w:pPr>
      <w:r>
        <w:rPr>
          <w:b/>
          <w:bCs/>
          <w:sz w:val="24"/>
          <w:szCs w:val="24"/>
          <w:lang w:val="ru-RU"/>
        </w:rPr>
        <w:t>Акционерное общество «Транспортная компания РусГидро» (АО «ТК РусГидро»)</w:t>
      </w:r>
      <w:r>
        <w:rPr>
          <w:bCs/>
          <w:sz w:val="24"/>
          <w:szCs w:val="24"/>
          <w:lang w:val="ru-RU"/>
        </w:rPr>
        <w:t xml:space="preserve">, именуемый в дальнейшем </w:t>
      </w:r>
      <w:r>
        <w:rPr>
          <w:b/>
          <w:sz w:val="24"/>
          <w:szCs w:val="24"/>
          <w:lang w:val="ru-RU"/>
        </w:rPr>
        <w:t>«Заказчик»</w:t>
      </w:r>
      <w:r>
        <w:rPr>
          <w:bCs/>
          <w:sz w:val="24"/>
          <w:szCs w:val="24"/>
          <w:lang w:val="ru-RU"/>
        </w:rPr>
        <w:t xml:space="preserve">,  в лице </w:t>
      </w:r>
      <w:r>
        <w:rPr>
          <w:bCs/>
          <w:sz w:val="24"/>
          <w:szCs w:val="24"/>
          <w:lang w:val="ru-RU"/>
        </w:rPr>
        <w:t>_________________________</w:t>
      </w:r>
      <w:r>
        <w:rPr>
          <w:bCs/>
          <w:sz w:val="24"/>
          <w:szCs w:val="24"/>
          <w:lang w:val="ru-RU"/>
        </w:rPr>
        <w:t xml:space="preserve"> действующего на основании доверенности №</w:t>
      </w:r>
      <w:r>
        <w:rPr>
          <w:bCs/>
          <w:sz w:val="24"/>
          <w:szCs w:val="24"/>
          <w:lang w:val="ru-RU"/>
        </w:rPr>
        <w:t>_______________________</w:t>
      </w:r>
      <w:r>
        <w:rPr>
          <w:bCs/>
          <w:sz w:val="24"/>
          <w:szCs w:val="24"/>
          <w:lang w:val="ru-RU"/>
        </w:rPr>
        <w:t xml:space="preserve">., с одной стороны, и </w:t>
      </w:r>
      <w:r>
        <w:rPr>
          <w:bCs/>
          <w:sz w:val="24"/>
          <w:szCs w:val="24"/>
          <w:lang w:val="ru-RU"/>
        </w:rPr>
        <w:t>_______________________________________</w:t>
      </w:r>
      <w:r>
        <w:rPr>
          <w:b/>
          <w:sz w:val="24"/>
          <w:szCs w:val="24"/>
          <w:lang w:val="ru-RU"/>
        </w:rPr>
        <w:t xml:space="preserve"> </w:t>
      </w:r>
      <w:r>
        <w:rPr>
          <w:bCs/>
          <w:sz w:val="24"/>
          <w:szCs w:val="24"/>
          <w:lang w:val="ru-RU"/>
        </w:rPr>
        <w:t xml:space="preserve">именуемое в дальнейшем </w:t>
      </w:r>
      <w:r>
        <w:rPr>
          <w:b/>
          <w:sz w:val="24"/>
          <w:szCs w:val="24"/>
          <w:lang w:val="ru-RU"/>
        </w:rPr>
        <w:t>«Подрядчик»</w:t>
      </w:r>
      <w:r>
        <w:rPr>
          <w:bCs/>
          <w:sz w:val="24"/>
          <w:szCs w:val="24"/>
          <w:lang w:val="ru-RU"/>
        </w:rPr>
        <w:t xml:space="preserve">,  в лице </w:t>
      </w:r>
      <w:r>
        <w:rPr>
          <w:bCs/>
          <w:sz w:val="24"/>
          <w:szCs w:val="24"/>
          <w:lang w:val="ru-RU"/>
        </w:rPr>
        <w:t>____________________________________________________</w:t>
      </w:r>
      <w:r>
        <w:rPr>
          <w:bCs/>
          <w:sz w:val="24"/>
          <w:szCs w:val="24"/>
          <w:lang w:val="ru-RU"/>
        </w:rPr>
        <w:t xml:space="preserve">, действующего на основании Устава, с другой стороны, совместно далее именуемые - </w:t>
      </w:r>
      <w:r>
        <w:rPr>
          <w:b/>
          <w:sz w:val="24"/>
          <w:szCs w:val="24"/>
          <w:lang w:val="ru-RU"/>
        </w:rPr>
        <w:t>«Стороны»</w:t>
      </w:r>
      <w:r>
        <w:rPr>
          <w:bCs/>
          <w:sz w:val="24"/>
          <w:szCs w:val="24"/>
          <w:lang w:val="ru-RU"/>
        </w:rPr>
        <w:t xml:space="preserve">, а по отдельности – </w:t>
      </w:r>
      <w:r>
        <w:rPr>
          <w:b/>
          <w:sz w:val="24"/>
          <w:szCs w:val="24"/>
          <w:lang w:val="ru-RU"/>
        </w:rPr>
        <w:t>«Сторона»</w:t>
      </w:r>
      <w:r>
        <w:rPr>
          <w:bCs/>
          <w:sz w:val="24"/>
          <w:szCs w:val="24"/>
          <w:lang w:val="ru-RU"/>
        </w:rPr>
        <w:t>,  заключили настоящий Договор (далее – Договор) о нижеследующем:</w:t>
      </w:r>
    </w:p>
    <w:p>
      <w:pPr>
        <w:pStyle w:val="BodyText3"/>
        <w:spacing w:before="0" w:after="0"/>
        <w:ind w:firstLine="709"/>
        <w:jc w:val="both"/>
        <w:rPr>
          <w:bCs/>
          <w:sz w:val="24"/>
          <w:szCs w:val="24"/>
          <w:lang w:val="ru-RU"/>
        </w:rPr>
      </w:pPr>
      <w:r>
        <w:rPr>
          <w:bCs/>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8"/>
          <w:tab w:val="left" w:pos="0" w:leader="none"/>
        </w:tabs>
        <w:overflowPunct w:val="false"/>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ind w:left="0" w:firstLine="708"/>
        <w:jc w:val="both"/>
        <w:rPr>
          <w:lang w:eastAsia="en-US"/>
        </w:rPr>
      </w:pPr>
      <w:r>
        <w:rPr>
          <w:b/>
          <w:lang w:eastAsia="en-US"/>
        </w:rPr>
        <w:t xml:space="preserve">«Акт КС-2», «Справка КС-3» – </w:t>
      </w:r>
      <w:r>
        <w:rPr>
          <w:lang w:eastAsia="en-US"/>
        </w:rPr>
        <w:t>документы, оформляемые по унифицированным формам №№ КС-2 «Акт о приемке выполненных работ» и КС-3 «Справка о стоимости выполненных работ и затрат», утвержденным постановлением Госкомстата РФ от 11.11.1999 № 100.</w:t>
      </w:r>
    </w:p>
    <w:p>
      <w:pPr>
        <w:pStyle w:val="Normal"/>
        <w:ind w:firstLine="708"/>
        <w:rPr>
          <w:lang w:val="ru-RU"/>
        </w:rPr>
      </w:pPr>
      <w:r>
        <w:rPr>
          <w:b/>
          <w:lang w:val="ru-RU" w:eastAsia="en-US"/>
        </w:rPr>
        <w:t xml:space="preserve">«Акт ОС-3» – </w:t>
      </w:r>
      <w:r>
        <w:rPr>
          <w:lang w:val="ru-RU" w:eastAsia="en-US"/>
        </w:rPr>
        <w:t>документ, оформляемый по унифицированной форме № ОС-3 «А</w:t>
      </w:r>
      <w:r>
        <w:rPr>
          <w:lang w:val="ru-RU"/>
        </w:rPr>
        <w:t>кт</w:t>
      </w:r>
      <w:r>
        <w:rPr>
          <w:bCs/>
          <w:lang w:val="ru-RU"/>
        </w:rPr>
        <w:t xml:space="preserve"> о приеме-сдаче отремонтированных, реконструированных, модернизированных объектов основных средств», утвержденной </w:t>
      </w:r>
      <w:r>
        <w:rPr>
          <w:lang w:val="ru-RU"/>
        </w:rPr>
        <w:t xml:space="preserve">Постановлением Госкомстата РФ от 21.01.2003 № 7. </w:t>
      </w:r>
    </w:p>
    <w:p>
      <w:pPr>
        <w:pStyle w:val="ListParagraph"/>
        <w:widowControl w:val="false"/>
        <w:shd w:val="clear" w:color="auto" w:fill="FFFFFF"/>
        <w:tabs>
          <w:tab w:val="clear" w:pos="708"/>
          <w:tab w:val="left" w:pos="567" w:leader="none"/>
          <w:tab w:val="left" w:pos="1134" w:leader="none"/>
        </w:tabs>
        <w:overflowPunct w:val="false"/>
        <w:ind w:left="0" w:firstLine="708"/>
        <w:jc w:val="both"/>
        <w:textAlignment w:val="baseline"/>
        <w:rPr>
          <w:lang w:eastAsia="en-US"/>
        </w:rPr>
      </w:pPr>
      <w:r>
        <w:rPr>
          <w:b/>
          <w:lang w:eastAsia="en-US"/>
        </w:rPr>
        <w:t>«Гарантийный срок»</w:t>
      </w:r>
      <w:r>
        <w:rPr/>
        <w:t xml:space="preserve"> </w:t>
      </w:r>
      <w:r>
        <w:rPr>
          <w:lang w:eastAsia="en-US"/>
        </w:rPr>
        <w:t>– период, в течение которого качество выполненных Работ, использованных Материально-технических ресурсов должно соответствовать требованиям Договора и Применимого права, и Подрядчик обязуется устранять все выявленные Заказчиком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Результата Работ.</w:t>
      </w:r>
    </w:p>
    <w:p>
      <w:pPr>
        <w:pStyle w:val="ListParagraph"/>
        <w:shd w:val="clear" w:color="auto" w:fill="FFFFFF"/>
        <w:tabs>
          <w:tab w:val="clear" w:pos="708"/>
          <w:tab w:val="left" w:pos="0" w:leader="none"/>
        </w:tabs>
        <w:overflowPunct w:val="false"/>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8"/>
          <w:tab w:val="left" w:pos="0" w:leader="none"/>
        </w:tabs>
        <w:overflowPunct w:val="false"/>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8"/>
          <w:tab w:val="left" w:pos="0" w:leader="none"/>
        </w:tabs>
        <w:overflowPunct w:val="fals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Работам.</w:t>
      </w:r>
    </w:p>
    <w:p>
      <w:pPr>
        <w:pStyle w:val="Normal"/>
        <w:tabs>
          <w:tab w:val="clear" w:pos="708"/>
          <w:tab w:val="left" w:pos="0" w:leader="none"/>
        </w:tabs>
        <w:ind w:firstLine="709"/>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8"/>
          <w:tab w:val="left" w:pos="0" w:leader="none"/>
        </w:tabs>
        <w:ind w:firstLine="709"/>
        <w:jc w:val="both"/>
        <w:rPr>
          <w:lang w:val="ru-RU" w:eastAsia="en-US"/>
        </w:rPr>
      </w:pPr>
      <w:r>
        <w:rPr>
          <w:b/>
          <w:bCs/>
          <w:lang w:val="ru-RU" w:eastAsia="en-US"/>
        </w:rPr>
        <w:t>«Цена Договора»</w:t>
      </w:r>
      <w:r>
        <w:rPr>
          <w:lang w:val="ru-RU" w:eastAsia="en-US"/>
        </w:rPr>
        <w:t xml:space="preserve"> – определяемая в соответствии с разделом 3 Договора сумма, которую Заказчик обязуется уплатить Подрядчику в порядке и на условиях, установленных Договором, включающая компенсацию всех издержек Подрядчика и причитающееся ему вознаграждение, а также инфляционные риски на весь период действия Договора.</w:t>
      </w:r>
    </w:p>
    <w:p>
      <w:pPr>
        <w:pStyle w:val="Normal"/>
        <w:tabs>
          <w:tab w:val="clear" w:pos="708"/>
          <w:tab w:val="left" w:pos="0" w:leader="none"/>
        </w:tabs>
        <w:ind w:firstLine="709"/>
        <w:jc w:val="both"/>
        <w:rPr>
          <w:lang w:val="ru-RU" w:eastAsia="en-US"/>
        </w:rPr>
      </w:pPr>
      <w:r>
        <w:rPr>
          <w:b/>
          <w:bCs/>
          <w:lang w:val="ru-RU" w:eastAsia="en-US"/>
        </w:rPr>
        <w:t>«Работы»</w:t>
      </w:r>
      <w:r>
        <w:rPr>
          <w:lang w:val="ru-RU" w:eastAsia="en-US"/>
        </w:rPr>
        <w:t xml:space="preserve"> – все производимые / выполняемые Подрядчиком на свой риск, с использованием своих и / или привлеченных за свой счет сил и средств (Материально-технических ресурсов, инструмента) в соответствии с условиями Договора и Применимым правом работы, в том числе ремонтные работы, работы по исправлению выявленных недостатков, несоответствий и / или дефектов в Результате работ, а также любые иные работы (в том числе приобретение Материально-технических ресурсов), необходимые для выполнения Подрядчиком своих обязательств по Договору, независимо от их прямого указания в Договоре. 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совместно с термином «Работы».</w:t>
      </w:r>
    </w:p>
    <w:p>
      <w:pPr>
        <w:pStyle w:val="Normal"/>
        <w:tabs>
          <w:tab w:val="clear" w:pos="708"/>
          <w:tab w:val="left" w:pos="0" w:leader="none"/>
        </w:tabs>
        <w:ind w:firstLine="709"/>
        <w:jc w:val="both"/>
        <w:rPr>
          <w:lang w:val="ru-RU" w:eastAsia="en-US"/>
        </w:rPr>
      </w:pPr>
      <w:r>
        <w:rPr>
          <w:b/>
          <w:bCs/>
          <w:lang w:val="ru-RU" w:eastAsia="en-US"/>
        </w:rPr>
        <w:t>«Результат работ»</w:t>
      </w:r>
      <w:r>
        <w:rPr>
          <w:lang w:val="ru-RU" w:eastAsia="en-US"/>
        </w:rPr>
        <w:t xml:space="preserve"> – отремонтированный Объект, принятый Заказчиком в Гарантийную эксплуатацию по Акту КС-2, соответствующий требованиям, изложенным в Технических требованиях (Приложение № 1 к Договору).</w:t>
      </w:r>
    </w:p>
    <w:p>
      <w:pPr>
        <w:pStyle w:val="Normal"/>
        <w:tabs>
          <w:tab w:val="clear" w:pos="708"/>
          <w:tab w:val="left" w:pos="0" w:leader="none"/>
        </w:tabs>
        <w:ind w:firstLine="709"/>
        <w:jc w:val="both"/>
        <w:rPr>
          <w:rFonts w:eastAsia="Calibri" w:eastAsiaTheme="minorHAnsi"/>
          <w:lang w:val="ru-RU" w:eastAsia="en-US"/>
        </w:rPr>
      </w:pPr>
      <w:r>
        <w:rPr>
          <w:b/>
          <w:bCs/>
          <w:lang w:val="ru-RU" w:eastAsia="en-US"/>
        </w:rPr>
        <w:t>«Скрытые работы»</w:t>
      </w:r>
      <w:r>
        <w:rPr>
          <w:lang w:val="ru-RU" w:eastAsia="en-US"/>
        </w:rPr>
        <w:t xml:space="preserve"> – отдельные виды работ, качество выполнения которых оказывает влияние на безопасность и (или) долговечность объекта капитального строительства, </w:t>
      </w:r>
      <w:r>
        <w:rPr>
          <w:rFonts w:eastAsia="Calibri" w:eastAsiaTheme="minorHAnsi"/>
          <w:lang w:val="ru-RU" w:eastAsia="en-US"/>
        </w:rPr>
        <w:t>но в соответствии с технологией их проведения контроль за их осуществлением не может быть проведен Заказчиком после выполнения последующих работ без вскрытия, разборки или повреждения строительных конструкций и участков сетей (систем) инженерно-технического обеспечения.</w:t>
      </w:r>
    </w:p>
    <w:p>
      <w:pPr>
        <w:pStyle w:val="Normal"/>
        <w:tabs>
          <w:tab w:val="clear" w:pos="708"/>
          <w:tab w:val="left" w:pos="0" w:leader="none"/>
        </w:tabs>
        <w:ind w:firstLine="709"/>
        <w:jc w:val="both"/>
        <w:rPr>
          <w:lang w:val="ru-RU" w:eastAsia="en-US"/>
        </w:rPr>
      </w:pPr>
      <w:r>
        <w:rPr>
          <w:b/>
          <w:bCs/>
          <w:lang w:val="ru-RU" w:eastAsia="en-US"/>
        </w:rPr>
        <w:t>«Субподрядчик»</w:t>
      </w:r>
      <w:r>
        <w:rPr>
          <w:lang w:val="ru-RU" w:eastAsia="en-US"/>
        </w:rPr>
        <w:t xml:space="preserve"> – юридическое лицо или индивидуальный предприниматель, нанятые Подрядчиком посредством заключения договора для выполнения части обязательств Подрядчика по Договору, в том числе для выполнения любых Работ по Договору.</w:t>
      </w:r>
    </w:p>
    <w:p>
      <w:pPr>
        <w:pStyle w:val="Normal"/>
        <w:tabs>
          <w:tab w:val="clear" w:pos="708"/>
          <w:tab w:val="left" w:pos="0" w:leader="none"/>
        </w:tabs>
        <w:ind w:firstLine="709"/>
        <w:jc w:val="both"/>
        <w:rPr>
          <w:lang w:val="ru-RU" w:eastAsia="en-US"/>
        </w:rPr>
      </w:pPr>
      <w:r>
        <w:rPr>
          <w:b/>
          <w:bCs/>
          <w:lang w:val="ru-RU" w:eastAsia="en-US"/>
        </w:rPr>
        <w:t>«Технические требования»</w:t>
      </w:r>
      <w:r>
        <w:rPr>
          <w:lang w:val="ru-RU" w:eastAsia="en-US"/>
        </w:rPr>
        <w:t xml:space="preserve"> – документ, содержащий характеристики Объекта, объем и состав Работ по Договору и требования Заказчика к выполнению Подрядчиком Работ по Договору в целом.</w:t>
      </w:r>
    </w:p>
    <w:p>
      <w:pPr>
        <w:pStyle w:val="ListParagraph"/>
        <w:numPr>
          <w:ilvl w:val="0"/>
          <w:numId w:val="3"/>
        </w:numPr>
        <w:shd w:val="clear" w:color="auto" w:fill="FFFFFF"/>
        <w:tabs>
          <w:tab w:val="clear" w:pos="708"/>
          <w:tab w:val="left" w:pos="284" w:leader="none"/>
          <w:tab w:val="left" w:pos="709" w:leader="none"/>
        </w:tabs>
        <w:ind w:left="0" w:hanging="0"/>
        <w:jc w:val="center"/>
        <w:rPr/>
      </w:pPr>
      <w:r>
        <w:rPr>
          <w:b/>
        </w:rPr>
        <w:t>Предмет Договора</w:t>
      </w:r>
    </w:p>
    <w:p>
      <w:pPr>
        <w:pStyle w:val="ListParagraph"/>
        <w:numPr>
          <w:ilvl w:val="1"/>
          <w:numId w:val="3"/>
        </w:numPr>
        <w:shd w:val="clear" w:color="auto" w:fill="FFFFFF"/>
        <w:tabs>
          <w:tab w:val="clear" w:pos="708"/>
          <w:tab w:val="left" w:pos="1134" w:leader="none"/>
        </w:tabs>
        <w:ind w:left="0" w:firstLine="709"/>
        <w:jc w:val="both"/>
        <w:rPr/>
      </w:pPr>
      <w:r>
        <w:rPr>
          <w:bCs/>
        </w:rPr>
        <w:t xml:space="preserve">Подрядчик обязуется по заданию Заказчика в соответствии с Техническими требованиями (Приложение № 1 к Договору) выполнить работы по текущему ремонту </w:t>
      </w:r>
      <w:r>
        <w:rPr>
          <w:bCs/>
        </w:rPr>
        <w:t xml:space="preserve">теплового узла и тепловой трассы </w:t>
      </w:r>
      <w:r>
        <w:rPr>
          <w:bCs/>
        </w:rPr>
        <w:t>автотранспортного бокса (далее по тексту – «Работы»), а также сдать Результат Работ Заказчику, а Заказчик обязуется создать Подрядчику указанные в Договоре условия для выполнения Работ, принять Результат Работ и уплатить Цену Договора</w:t>
      </w:r>
      <w:r>
        <w:rPr/>
        <w:t>.</w:t>
      </w:r>
    </w:p>
    <w:p>
      <w:pPr>
        <w:pStyle w:val="ListParagraph"/>
        <w:numPr>
          <w:ilvl w:val="1"/>
          <w:numId w:val="3"/>
        </w:numPr>
        <w:shd w:val="clear" w:color="auto" w:fill="FFFFFF"/>
        <w:tabs>
          <w:tab w:val="clear" w:pos="708"/>
          <w:tab w:val="left" w:pos="1134" w:leader="none"/>
        </w:tabs>
        <w:ind w:left="0" w:firstLine="709"/>
        <w:jc w:val="both"/>
        <w:rPr>
          <w:bCs/>
        </w:rPr>
      </w:pPr>
      <w:r>
        <w:rPr>
          <w:bCs/>
        </w:rPr>
        <w:t>Объем Работ по Договору определяется Техническими требованиями (Приложение № 1 к Договору). Работы по Договору подлежат выполнению Подрядчиком в строгом соответствии с требованиями Применимого права и указаниями Заказчика.</w:t>
      </w:r>
    </w:p>
    <w:p>
      <w:pPr>
        <w:pStyle w:val="Normal"/>
        <w:widowControl w:val="false"/>
        <w:numPr>
          <w:ilvl w:val="1"/>
          <w:numId w:val="3"/>
        </w:numPr>
        <w:shd w:val="clear" w:color="auto" w:fill="FFFFFF"/>
        <w:tabs>
          <w:tab w:val="clear" w:pos="708"/>
          <w:tab w:val="left" w:pos="1134" w:leader="none"/>
          <w:tab w:val="left" w:pos="1418" w:leader="none"/>
        </w:tabs>
        <w:ind w:left="0" w:firstLine="709"/>
        <w:jc w:val="both"/>
        <w:rPr>
          <w:bCs/>
          <w:lang w:val="ru-RU"/>
        </w:rPr>
      </w:pPr>
      <w:r>
        <w:rPr>
          <w:bCs/>
          <w:lang w:val="ru-RU"/>
        </w:rPr>
        <w:t>Работы по Договору выполняются для нужд</w:t>
      </w:r>
      <w:r>
        <w:rPr>
          <w:lang w:val="ru-RU"/>
        </w:rPr>
        <w:t xml:space="preserve">: Владивостокского представительства </w:t>
      </w:r>
    </w:p>
    <w:p>
      <w:pPr>
        <w:pStyle w:val="Normal"/>
        <w:widowControl w:val="false"/>
        <w:shd w:val="clear" w:color="auto" w:fill="FFFFFF"/>
        <w:tabs>
          <w:tab w:val="clear" w:pos="708"/>
          <w:tab w:val="left" w:pos="1134" w:leader="none"/>
          <w:tab w:val="left" w:pos="1418" w:leader="none"/>
        </w:tabs>
        <w:jc w:val="both"/>
        <w:rPr>
          <w:bCs/>
          <w:lang w:val="ru-RU"/>
        </w:rPr>
      </w:pPr>
      <w:r>
        <w:rPr>
          <w:lang w:val="ru-RU"/>
        </w:rPr>
        <w:t>АО «ТК РусГидро».</w:t>
      </w:r>
    </w:p>
    <w:p>
      <w:pPr>
        <w:pStyle w:val="Normal"/>
        <w:widowControl w:val="false"/>
        <w:numPr>
          <w:ilvl w:val="1"/>
          <w:numId w:val="3"/>
        </w:numPr>
        <w:shd w:val="clear" w:color="auto" w:fill="FFFFFF"/>
        <w:tabs>
          <w:tab w:val="clear" w:pos="708"/>
          <w:tab w:val="left" w:pos="1134" w:leader="none"/>
          <w:tab w:val="left" w:pos="1418" w:leader="none"/>
        </w:tabs>
        <w:ind w:left="0" w:firstLine="709"/>
        <w:jc w:val="both"/>
        <w:rPr>
          <w:bCs/>
        </w:rPr>
      </w:pPr>
      <w:r>
        <w:rPr>
          <w:bCs/>
          <w:lang w:val="ru-RU"/>
        </w:rPr>
        <w:t>Место выполнения Работ</w:t>
      </w:r>
      <w:r>
        <w:rPr>
          <w:lang w:val="ru-RU"/>
        </w:rPr>
        <w:t xml:space="preserve">: </w:t>
      </w:r>
      <w:r>
        <w:rPr>
          <w:color w:val="000000"/>
          <w:spacing w:val="-2"/>
          <w:lang w:val="ru-RU"/>
        </w:rPr>
        <w:t>Приморский край г. Владивосток ул. Западная, 29</w:t>
      </w:r>
    </w:p>
    <w:p>
      <w:pPr>
        <w:pStyle w:val="ListParagraph"/>
        <w:numPr>
          <w:ilvl w:val="1"/>
          <w:numId w:val="3"/>
        </w:numPr>
        <w:shd w:val="clear" w:color="auto" w:fill="FFFFFF"/>
        <w:tabs>
          <w:tab w:val="clear" w:pos="708"/>
          <w:tab w:val="left" w:pos="1134" w:leader="none"/>
        </w:tabs>
        <w:jc w:val="both"/>
        <w:rPr>
          <w:bCs/>
        </w:rPr>
      </w:pPr>
      <w:bookmarkStart w:id="0" w:name="_Ref361320424"/>
      <w:r>
        <w:rPr>
          <w:bCs/>
        </w:rPr>
        <w:t>Работы выполняются Подрядчиком в следующие сроки:</w:t>
      </w:r>
      <w:bookmarkEnd w:id="0"/>
    </w:p>
    <w:p>
      <w:pPr>
        <w:pStyle w:val="ListParagraph"/>
        <w:numPr>
          <w:ilvl w:val="2"/>
          <w:numId w:val="3"/>
        </w:numPr>
        <w:shd w:val="clear" w:color="auto" w:fill="FFFFFF"/>
        <w:tabs>
          <w:tab w:val="clear" w:pos="708"/>
          <w:tab w:val="left" w:pos="1418" w:leader="none"/>
        </w:tabs>
        <w:ind w:left="0" w:firstLine="567"/>
        <w:jc w:val="both"/>
        <w:rPr/>
      </w:pPr>
      <w:r>
        <w:rPr>
          <w:bCs/>
        </w:rPr>
        <w:t xml:space="preserve">Начало выполнения Работ: </w:t>
      </w:r>
      <w:r>
        <w:rPr/>
        <w:t>«</w:t>
      </w:r>
      <w:r>
        <w:rPr/>
        <w:t>19</w:t>
      </w:r>
      <w:r>
        <w:rPr/>
        <w:t xml:space="preserve">» </w:t>
      </w:r>
      <w:r>
        <w:rPr/>
        <w:t xml:space="preserve">октября </w:t>
      </w:r>
      <w:r>
        <w:rPr/>
        <w:t>202</w:t>
      </w:r>
      <w:r>
        <w:rPr/>
        <w:t>6</w:t>
      </w:r>
      <w:r>
        <w:rPr/>
        <w:t xml:space="preserve"> г. ;</w:t>
      </w:r>
    </w:p>
    <w:p>
      <w:pPr>
        <w:pStyle w:val="ListParagraph"/>
        <w:numPr>
          <w:ilvl w:val="2"/>
          <w:numId w:val="3"/>
        </w:numPr>
        <w:shd w:val="clear" w:color="auto" w:fill="FFFFFF"/>
        <w:tabs>
          <w:tab w:val="clear" w:pos="708"/>
          <w:tab w:val="left" w:pos="1418" w:leader="none"/>
        </w:tabs>
        <w:ind w:left="0" w:firstLine="567"/>
        <w:jc w:val="both"/>
        <w:rPr/>
      </w:pPr>
      <w:r>
        <w:rPr>
          <w:bCs/>
        </w:rPr>
        <w:t xml:space="preserve">Окончание выполнения Работ: </w:t>
      </w:r>
      <w:r>
        <w:rPr/>
        <w:t>«</w:t>
      </w:r>
      <w:r>
        <w:rPr/>
        <w:t>30</w:t>
      </w:r>
      <w:r>
        <w:rPr/>
        <w:t xml:space="preserve">» </w:t>
      </w:r>
      <w:r>
        <w:rPr/>
        <w:t>октября</w:t>
      </w:r>
      <w:r>
        <w:rPr/>
        <w:t xml:space="preserve"> 202</w:t>
      </w:r>
      <w:r>
        <w:rPr/>
        <w:t>6</w:t>
      </w:r>
      <w:r>
        <w:rPr/>
        <w:t xml:space="preserve">г. </w:t>
      </w:r>
    </w:p>
    <w:p>
      <w:pPr>
        <w:pStyle w:val="ListParagraph"/>
        <w:numPr>
          <w:ilvl w:val="1"/>
          <w:numId w:val="3"/>
        </w:numPr>
        <w:shd w:val="clear" w:color="auto" w:fill="FFFFFF"/>
        <w:tabs>
          <w:tab w:val="clear" w:pos="708"/>
          <w:tab w:val="left" w:pos="1134" w:leader="none"/>
        </w:tabs>
        <w:jc w:val="both"/>
        <w:rPr>
          <w:bCs/>
        </w:rPr>
      </w:pPr>
      <w:r>
        <w:rPr>
          <w:bCs/>
        </w:rPr>
        <w:t xml:space="preserve">Работы, указанные в </w:t>
      </w:r>
      <w:r>
        <w:rPr/>
        <w:t>пункте 1.1</w:t>
      </w:r>
      <w:r>
        <w:rPr>
          <w:bCs/>
        </w:rPr>
        <w:t xml:space="preserve"> Договора, подлежат выполнению в отношении следующего Объекта: Автотранспортный бокс.</w:t>
      </w:r>
    </w:p>
    <w:p>
      <w:pPr>
        <w:pStyle w:val="Normal"/>
        <w:widowControl w:val="false"/>
        <w:shd w:val="clear" w:color="auto" w:fill="FFFFFF"/>
        <w:tabs>
          <w:tab w:val="clear" w:pos="708"/>
          <w:tab w:val="left" w:pos="1134" w:leader="none"/>
        </w:tabs>
        <w:jc w:val="both"/>
        <w:rPr>
          <w:bCs/>
          <w:lang w:val="ru-RU"/>
        </w:rPr>
      </w:pPr>
      <w:r>
        <w:rPr>
          <w:bCs/>
          <w:lang w:val="ru-RU"/>
        </w:rPr>
      </w:r>
    </w:p>
    <w:p>
      <w:pPr>
        <w:pStyle w:val="ListParagraph"/>
        <w:numPr>
          <w:ilvl w:val="0"/>
          <w:numId w:val="3"/>
        </w:numPr>
        <w:shd w:val="clear" w:color="auto" w:fill="FFFFFF"/>
        <w:tabs>
          <w:tab w:val="clear" w:pos="708"/>
          <w:tab w:val="left" w:pos="284" w:leader="none"/>
        </w:tabs>
        <w:ind w:left="0" w:hanging="0"/>
        <w:jc w:val="center"/>
        <w:rPr>
          <w:b/>
        </w:rPr>
      </w:pPr>
      <w:r>
        <w:rPr>
          <w:b/>
        </w:rPr>
        <w:t>Права и обязанности Сторон</w:t>
      </w:r>
    </w:p>
    <w:p>
      <w:pPr>
        <w:pStyle w:val="ListParagraph"/>
        <w:numPr>
          <w:ilvl w:val="1"/>
          <w:numId w:val="3"/>
        </w:numPr>
        <w:shd w:val="clear" w:color="auto" w:fill="FFFFFF"/>
        <w:tabs>
          <w:tab w:val="clear" w:pos="708"/>
          <w:tab w:val="left" w:pos="1134" w:leader="none"/>
        </w:tabs>
        <w:ind w:left="0" w:firstLine="709"/>
        <w:jc w:val="both"/>
        <w:rPr>
          <w:b/>
          <w:bCs/>
        </w:rPr>
      </w:pPr>
      <w:r>
        <w:rPr>
          <w:b/>
          <w:bCs/>
          <w:u w:val="single"/>
        </w:rPr>
        <w:t>Заказчик обязан</w:t>
      </w:r>
      <w:r>
        <w:rPr>
          <w:b/>
          <w:bCs/>
        </w:rPr>
        <w:t>:</w:t>
      </w:r>
    </w:p>
    <w:p>
      <w:pPr>
        <w:pStyle w:val="ListParagraph"/>
        <w:numPr>
          <w:ilvl w:val="2"/>
          <w:numId w:val="3"/>
        </w:numPr>
        <w:shd w:val="clear" w:color="auto" w:fill="FFFFFF"/>
        <w:tabs>
          <w:tab w:val="clear" w:pos="708"/>
          <w:tab w:val="left" w:pos="1418" w:leader="none"/>
        </w:tabs>
        <w:ind w:left="0" w:firstLine="709"/>
        <w:jc w:val="both"/>
        <w:rPr/>
      </w:pPr>
      <w:r>
        <w:rPr>
          <w:bCs/>
        </w:rPr>
        <w:t>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Работ</w:t>
      </w:r>
      <w:r>
        <w:rPr/>
        <w:t>.</w:t>
      </w:r>
    </w:p>
    <w:p>
      <w:pPr>
        <w:pStyle w:val="ListParagraph"/>
        <w:numPr>
          <w:ilvl w:val="2"/>
          <w:numId w:val="3"/>
        </w:numPr>
        <w:shd w:val="clear" w:color="auto" w:fill="FFFFFF"/>
        <w:tabs>
          <w:tab w:val="clear" w:pos="708"/>
          <w:tab w:val="left" w:pos="1418" w:leader="none"/>
        </w:tabs>
        <w:ind w:left="0" w:firstLine="709"/>
        <w:jc w:val="both"/>
        <w:rPr/>
      </w:pPr>
      <w:r>
        <w:rPr/>
        <w:t>Принять и оплатить оказанные Подрядчиком Работы на условиях, по цене и в сроки, предусмотренные Договором.</w:t>
      </w:r>
    </w:p>
    <w:p>
      <w:pPr>
        <w:pStyle w:val="Normal"/>
        <w:numPr>
          <w:ilvl w:val="2"/>
          <w:numId w:val="3"/>
        </w:numPr>
        <w:ind w:left="0" w:firstLine="709"/>
        <w:rPr>
          <w:lang w:val="ru-RU"/>
        </w:rPr>
      </w:pPr>
      <w:r>
        <w:rPr>
          <w:lang w:val="ru-RU"/>
        </w:rPr>
        <w:t>Обеспечить доступ к месту производства Работ.</w:t>
      </w:r>
    </w:p>
    <w:p>
      <w:pPr>
        <w:pStyle w:val="Normal"/>
        <w:numPr>
          <w:ilvl w:val="2"/>
          <w:numId w:val="3"/>
        </w:numPr>
        <w:ind w:left="0" w:firstLine="709"/>
        <w:rPr>
          <w:lang w:val="ru-RU"/>
        </w:rPr>
      </w:pPr>
      <w:bookmarkStart w:id="1" w:name="_Hlk88647536"/>
      <w:r>
        <w:rPr>
          <w:lang w:val="ru-RU"/>
        </w:rPr>
        <w:t>Выполнять иные обязанности, предусмотренные Договором.</w:t>
      </w:r>
      <w:bookmarkEnd w:id="1"/>
    </w:p>
    <w:p>
      <w:pPr>
        <w:pStyle w:val="ListParagraph"/>
        <w:numPr>
          <w:ilvl w:val="1"/>
          <w:numId w:val="3"/>
        </w:numPr>
        <w:shd w:val="clear" w:color="auto" w:fill="FFFFFF"/>
        <w:tabs>
          <w:tab w:val="clear" w:pos="708"/>
          <w:tab w:val="left" w:pos="1134" w:leader="none"/>
        </w:tabs>
        <w:ind w:left="0" w:firstLine="709"/>
        <w:jc w:val="both"/>
        <w:rPr>
          <w:b/>
          <w:bCs/>
        </w:rPr>
      </w:pPr>
      <w:r>
        <w:rPr>
          <w:b/>
          <w:bCs/>
          <w:u w:val="single"/>
        </w:rPr>
        <w:t>Заказчик имеет право</w:t>
      </w:r>
      <w:r>
        <w:rPr>
          <w:b/>
          <w:bCs/>
        </w:rPr>
        <w:t>:</w:t>
      </w:r>
    </w:p>
    <w:p>
      <w:pPr>
        <w:pStyle w:val="ListParagraph"/>
        <w:numPr>
          <w:ilvl w:val="2"/>
          <w:numId w:val="8"/>
        </w:numPr>
        <w:shd w:val="clear" w:color="auto" w:fill="FFFFFF"/>
        <w:tabs>
          <w:tab w:val="clear" w:pos="708"/>
          <w:tab w:val="left" w:pos="1418" w:leader="none"/>
        </w:tabs>
        <w:ind w:left="0" w:firstLine="709"/>
        <w:jc w:val="both"/>
        <w:rPr>
          <w:bCs/>
        </w:rPr>
      </w:pPr>
      <w:bookmarkStart w:id="2" w:name="_Ref361334602"/>
      <w:bookmarkEnd w:id="2"/>
      <w:r>
        <w:rPr>
          <w:bCs/>
        </w:rPr>
        <w:t>Самостоятельно или с привлечением третьих лиц осуществлять контроль, в том числе строительный, и надзор за ходом и качеством выполняемых Подрядчиком и Субподрядчиками по Договору Работ, соблюдением сроков и качеством их выполнения, 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pPr>
        <w:pStyle w:val="ListParagraph"/>
        <w:numPr>
          <w:ilvl w:val="2"/>
          <w:numId w:val="8"/>
        </w:numPr>
        <w:shd w:val="clear" w:color="auto" w:fill="FFFFFF"/>
        <w:tabs>
          <w:tab w:val="clear" w:pos="708"/>
          <w:tab w:val="left" w:pos="1418" w:leader="none"/>
        </w:tabs>
        <w:ind w:left="0" w:firstLine="709"/>
        <w:jc w:val="both"/>
        <w:rPr/>
      </w:pPr>
      <w:bookmarkStart w:id="3" w:name="_Ref361334468"/>
      <w:bookmarkStart w:id="4" w:name="_Ref361334602_Копия_1"/>
      <w:bookmarkEnd w:id="3"/>
      <w:bookmarkEnd w:id="4"/>
      <w:r>
        <w:rPr>
          <w:bCs/>
        </w:rPr>
        <w:t>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Технических требований,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r>
        <w:rPr/>
        <w:t>.</w:t>
      </w:r>
    </w:p>
    <w:p>
      <w:pPr>
        <w:pStyle w:val="ListParagraph"/>
        <w:numPr>
          <w:ilvl w:val="2"/>
          <w:numId w:val="8"/>
        </w:numPr>
        <w:shd w:val="clear" w:color="auto" w:fill="FFFFFF"/>
        <w:tabs>
          <w:tab w:val="clear" w:pos="708"/>
          <w:tab w:val="left" w:pos="1418" w:leader="none"/>
        </w:tabs>
        <w:ind w:left="0" w:firstLine="709"/>
        <w:jc w:val="both"/>
        <w:rPr/>
      </w:pPr>
      <w:r>
        <w:rPr>
          <w:bCs/>
        </w:rPr>
        <w:t>Изымать пропуска и не допускать на территорию Заказчика работников Подрядчика и / или привлеченных им Субподрядчиков при выявлении нарушений такими работниками пропускного и внутриобъектового режима, требований охраны труда, пожарной и промышленной безопасности, природоохранного законодательства, на период до принятия совместного решения Сторон о возобновлении допуска.</w:t>
      </w:r>
    </w:p>
    <w:p>
      <w:pPr>
        <w:pStyle w:val="ListParagraph"/>
        <w:numPr>
          <w:ilvl w:val="2"/>
          <w:numId w:val="8"/>
        </w:numPr>
        <w:shd w:val="clear" w:color="auto" w:fill="FFFFFF"/>
        <w:tabs>
          <w:tab w:val="clear" w:pos="708"/>
          <w:tab w:val="left" w:pos="1418" w:leader="none"/>
        </w:tabs>
        <w:ind w:left="0" w:firstLine="709"/>
        <w:jc w:val="both"/>
        <w:rPr/>
      </w:pPr>
      <w:bookmarkStart w:id="5" w:name="_Ref361319348"/>
      <w:bookmarkStart w:id="6" w:name="_Ref361334468_Копия_1"/>
      <w:bookmarkEnd w:id="6"/>
      <w:r>
        <w:rPr>
          <w:bCs/>
        </w:rPr>
        <w:t>Вносить изменения в Технические требования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r>
        <w:rPr/>
        <w:t>.</w:t>
      </w:r>
      <w:bookmarkEnd w:id="5"/>
      <w:r>
        <w:rPr/>
        <w:t xml:space="preserve"> </w:t>
      </w:r>
    </w:p>
    <w:p>
      <w:pPr>
        <w:pStyle w:val="Normal"/>
        <w:numPr>
          <w:ilvl w:val="2"/>
          <w:numId w:val="8"/>
        </w:numPr>
        <w:tabs>
          <w:tab w:val="clear" w:pos="708"/>
          <w:tab w:val="left" w:pos="1418" w:leader="none"/>
        </w:tabs>
        <w:ind w:left="0" w:firstLine="709"/>
        <w:jc w:val="both"/>
        <w:rPr>
          <w:lang w:val="ru-RU"/>
        </w:rPr>
      </w:pPr>
      <w:r>
        <w:rPr>
          <w:bCs/>
          <w:lang w:val="ru-RU"/>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r>
        <w:rPr>
          <w:lang w:val="ru-RU"/>
        </w:rPr>
        <w:t>.</w:t>
      </w:r>
    </w:p>
    <w:p>
      <w:pPr>
        <w:pStyle w:val="Normal"/>
        <w:numPr>
          <w:ilvl w:val="2"/>
          <w:numId w:val="8"/>
        </w:numPr>
        <w:ind w:left="0" w:firstLine="709"/>
        <w:jc w:val="both"/>
        <w:rPr>
          <w:lang w:val="ru-RU"/>
        </w:rPr>
      </w:pPr>
      <w:r>
        <w:rPr>
          <w:bCs/>
          <w:lang w:val="ru-RU"/>
        </w:rPr>
        <w:t>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 привлеченным им Субподрядчикам</w:t>
      </w:r>
      <w:r>
        <w:rPr>
          <w:lang w:val="ru-RU"/>
        </w:rPr>
        <w:t>.</w:t>
      </w:r>
    </w:p>
    <w:p>
      <w:pPr>
        <w:pStyle w:val="ListParagraph"/>
        <w:numPr>
          <w:ilvl w:val="1"/>
          <w:numId w:val="8"/>
        </w:numPr>
        <w:shd w:val="clear" w:color="auto" w:fill="FFFFFF"/>
        <w:tabs>
          <w:tab w:val="clear" w:pos="708"/>
          <w:tab w:val="left" w:pos="1134" w:leader="none"/>
        </w:tabs>
        <w:ind w:left="0" w:firstLine="709"/>
        <w:jc w:val="both"/>
        <w:rPr>
          <w:b/>
          <w:bCs/>
        </w:rPr>
      </w:pPr>
      <w:r>
        <w:rPr>
          <w:b/>
          <w:bCs/>
          <w:u w:val="single"/>
        </w:rPr>
        <w:t>Подрядчик обязан</w:t>
      </w:r>
      <w:r>
        <w:rPr>
          <w:b/>
          <w:bCs/>
        </w:rPr>
        <w:t>:</w:t>
      </w:r>
    </w:p>
    <w:p>
      <w:pPr>
        <w:pStyle w:val="ListParagraph"/>
        <w:numPr>
          <w:ilvl w:val="2"/>
          <w:numId w:val="8"/>
        </w:numPr>
        <w:shd w:val="clear" w:color="auto" w:fill="FFFFFF"/>
        <w:tabs>
          <w:tab w:val="clear" w:pos="708"/>
          <w:tab w:val="left" w:pos="1418" w:leader="none"/>
        </w:tabs>
        <w:ind w:left="0" w:firstLine="709"/>
        <w:jc w:val="both"/>
        <w:rPr/>
      </w:pPr>
      <w:r>
        <w:rPr>
          <w:bCs/>
        </w:rPr>
        <w:t>Выполнить Работы в объеме, сроки и с качеством, соответствующим требованиям Договора и Применимого права</w:t>
      </w:r>
      <w:r>
        <w:rPr/>
        <w:t xml:space="preserve"> </w:t>
      </w:r>
      <w:r>
        <w:rPr>
          <w:bCs/>
        </w:rPr>
        <w:t>и сдать их результат Заказчику</w:t>
      </w:r>
      <w:r>
        <w:rPr/>
        <w:t>.</w:t>
      </w:r>
    </w:p>
    <w:p>
      <w:pPr>
        <w:pStyle w:val="ListParagraph"/>
        <w:numPr>
          <w:ilvl w:val="2"/>
          <w:numId w:val="8"/>
        </w:numPr>
        <w:shd w:val="clear" w:color="auto" w:fill="FFFFFF"/>
        <w:tabs>
          <w:tab w:val="clear" w:pos="708"/>
          <w:tab w:val="left" w:pos="1418" w:leader="none"/>
        </w:tabs>
        <w:ind w:left="0" w:firstLine="709"/>
        <w:jc w:val="both"/>
        <w:rPr>
          <w:bCs/>
        </w:rPr>
      </w:pPr>
      <w:r>
        <w:rPr>
          <w:bCs/>
        </w:rPr>
        <w:t>До фактического начала выполнения Работ предоставить Заказчику:</w:t>
      </w:r>
    </w:p>
    <w:p>
      <w:pPr>
        <w:pStyle w:val="ListParagraph"/>
        <w:numPr>
          <w:ilvl w:val="0"/>
          <w:numId w:val="9"/>
        </w:numPr>
        <w:shd w:val="clear" w:color="auto" w:fill="FFFFFF"/>
        <w:tabs>
          <w:tab w:val="clear" w:pos="708"/>
          <w:tab w:val="left" w:pos="1134" w:leader="none"/>
          <w:tab w:val="left" w:pos="1276" w:leader="none"/>
        </w:tabs>
        <w:ind w:left="0" w:firstLine="709"/>
        <w:jc w:val="both"/>
        <w:rPr>
          <w:bCs/>
        </w:rPr>
      </w:pPr>
      <w:r>
        <w:rPr/>
        <w:t>контакты</w:t>
      </w:r>
      <w:r>
        <w:rPr>
          <w:bCs/>
        </w:rPr>
        <w:t xml:space="preserve"> и должность представителей Подрядчика, уполномоченных на оперативное рассмотрение и решение технических и организационных вопросов, связанных с выполнением Работ; </w:t>
      </w:r>
    </w:p>
    <w:p>
      <w:pPr>
        <w:pStyle w:val="ListParagraph"/>
        <w:numPr>
          <w:ilvl w:val="0"/>
          <w:numId w:val="9"/>
        </w:numPr>
        <w:shd w:val="clear" w:color="auto" w:fill="FFFFFF"/>
        <w:tabs>
          <w:tab w:val="clear" w:pos="708"/>
          <w:tab w:val="left" w:pos="1134" w:leader="none"/>
          <w:tab w:val="left" w:pos="1276" w:leader="none"/>
        </w:tabs>
        <w:ind w:left="0" w:firstLine="709"/>
        <w:jc w:val="both"/>
        <w:rPr>
          <w:bCs/>
        </w:rPr>
      </w:pPr>
      <w:r>
        <w:rPr>
          <w:bCs/>
        </w:rPr>
        <w:t xml:space="preserve">контакты и должность представителя Подрядчика, ответственного за соблюдение норм и правил в области охраны труда, электробезопасности, пожарной и промышленной безопасности, природоохранного законодательства в месте производства Работ. Подрядчик обязан обеспечить присутствие указанного лица в месте производства Работ в течение всего срока их выполнения. </w:t>
      </w:r>
    </w:p>
    <w:p>
      <w:pPr>
        <w:pStyle w:val="ListParagraph"/>
        <w:numPr>
          <w:ilvl w:val="2"/>
          <w:numId w:val="8"/>
        </w:numPr>
        <w:shd w:val="clear" w:color="auto" w:fill="FFFFFF"/>
        <w:tabs>
          <w:tab w:val="clear" w:pos="708"/>
          <w:tab w:val="left" w:pos="1418" w:leader="none"/>
        </w:tabs>
        <w:ind w:left="0" w:firstLine="709"/>
        <w:jc w:val="both"/>
        <w:rPr/>
      </w:pPr>
      <w:r>
        <w:rPr/>
        <w:t xml:space="preserve">Обеспечить наличие допусков, разрешений и лицензий, необходимых для производства Работ. </w:t>
      </w:r>
    </w:p>
    <w:p>
      <w:pPr>
        <w:pStyle w:val="ListParagraph"/>
        <w:shd w:val="clear" w:color="auto" w:fill="FFFFFF"/>
        <w:tabs>
          <w:tab w:val="clear" w:pos="708"/>
          <w:tab w:val="left" w:pos="1276" w:leader="none"/>
        </w:tabs>
        <w:ind w:left="0" w:firstLine="709"/>
        <w:jc w:val="both"/>
        <w:rPr/>
      </w:pPr>
      <w:r>
        <w:rPr/>
        <w:t>Подрядчик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или утрате по другим основаниям допусков, разрешений и лицензий, необходимых для надлежащего исполнения Подрядчиком своих обязательств по Договору</w:t>
      </w:r>
      <w:r>
        <w:rPr>
          <w:bCs/>
        </w:rPr>
        <w:t>, в том числе указанных в Приложении № 4 к Договору</w:t>
      </w:r>
      <w:r>
        <w:rPr/>
        <w:t xml:space="preserve">, а также в разумный срок обеспечить получение соответствующих допусков, разрешений и лицензий в срок, обеспечивающих надлежащее исполнение Подрядчиком обязательств по Договору. </w:t>
      </w:r>
    </w:p>
    <w:p>
      <w:pPr>
        <w:pStyle w:val="ListParagraph"/>
        <w:shd w:val="clear" w:color="auto" w:fill="FFFFFF"/>
        <w:tabs>
          <w:tab w:val="clear" w:pos="708"/>
          <w:tab w:val="left" w:pos="1276" w:leader="none"/>
        </w:tabs>
        <w:ind w:left="0" w:firstLine="709"/>
        <w:jc w:val="both"/>
        <w:rPr/>
      </w:pPr>
      <w:r>
        <w:rPr/>
        <w:t xml:space="preserve">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t>
      </w:r>
    </w:p>
    <w:p>
      <w:pPr>
        <w:pStyle w:val="ListParagraph"/>
        <w:shd w:val="clear" w:color="auto" w:fill="FFFFFF"/>
        <w:tabs>
          <w:tab w:val="clear" w:pos="708"/>
          <w:tab w:val="left" w:pos="1276" w:leader="none"/>
        </w:tabs>
        <w:ind w:left="0" w:firstLine="709"/>
        <w:jc w:val="both"/>
        <w:rPr/>
      </w:pPr>
      <w:r>
        <w:rPr/>
        <w:t xml:space="preserve">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12.1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 </w:t>
      </w:r>
    </w:p>
    <w:p>
      <w:pPr>
        <w:pStyle w:val="ListParagraph"/>
        <w:numPr>
          <w:ilvl w:val="2"/>
          <w:numId w:val="8"/>
        </w:numPr>
        <w:shd w:val="clear" w:color="auto" w:fill="FFFFFF"/>
        <w:tabs>
          <w:tab w:val="clear" w:pos="708"/>
          <w:tab w:val="left" w:pos="1418" w:leader="none"/>
        </w:tabs>
        <w:ind w:left="0" w:firstLine="709"/>
        <w:jc w:val="both"/>
        <w:rPr/>
      </w:pPr>
      <w:r>
        <w:rPr/>
        <w:t>Выполнять</w:t>
      </w:r>
      <w:r>
        <w:rPr>
          <w:bCs/>
        </w:rPr>
        <w:t xml:space="preserve"> Работы силами квалифицированных специалистов, прошедших соответствующую подготовку, квалификация, опыт и компетенция которых позволяет обеспечить надлежащее и качественное выполнение Работ.</w:t>
      </w:r>
    </w:p>
    <w:p>
      <w:pPr>
        <w:pStyle w:val="ListParagraph"/>
        <w:numPr>
          <w:ilvl w:val="2"/>
          <w:numId w:val="8"/>
        </w:numPr>
        <w:shd w:val="clear" w:color="auto" w:fill="FFFFFF"/>
        <w:tabs>
          <w:tab w:val="clear" w:pos="708"/>
          <w:tab w:val="left" w:pos="1418" w:leader="none"/>
        </w:tabs>
        <w:ind w:left="0" w:firstLine="709"/>
        <w:jc w:val="both"/>
        <w:rPr/>
      </w:pPr>
      <w:r>
        <w:rPr>
          <w:bCs/>
        </w:rPr>
        <w:t>Обеспечить доставку, приемку, разгрузку, складирование и хранение прибывающих на место производства Работ Материально-технических ресурсов, необходимых для выполнения Работ.</w:t>
      </w:r>
    </w:p>
    <w:p>
      <w:pPr>
        <w:pStyle w:val="ListParagraph"/>
        <w:numPr>
          <w:ilvl w:val="2"/>
          <w:numId w:val="8"/>
        </w:numPr>
        <w:shd w:val="clear" w:color="auto" w:fill="FFFFFF"/>
        <w:tabs>
          <w:tab w:val="clear" w:pos="708"/>
          <w:tab w:val="left" w:pos="1418" w:leader="none"/>
        </w:tabs>
        <w:ind w:left="0" w:firstLine="709"/>
        <w:jc w:val="both"/>
        <w:rPr/>
      </w:pPr>
      <w:r>
        <w:rPr>
          <w:bCs/>
        </w:rPr>
        <w:t>Организовать контроль качества поступающих Материально-технических ресурсов, обеспечить наличие соответствующих сертификатов, технических паспортов и других документов, удостоверяющих качество используемых Подрядчиком в месте производства Работ Материально-технических ресурсов. Копии таких сертификатов, технических паспортов и иных документов должны быть предоставлены Заказчику до начала производства Работ.</w:t>
      </w:r>
    </w:p>
    <w:p>
      <w:pPr>
        <w:pStyle w:val="ListParagraph"/>
        <w:shd w:val="clear" w:color="auto" w:fill="FFFFFF"/>
        <w:tabs>
          <w:tab w:val="clear" w:pos="708"/>
          <w:tab w:val="left" w:pos="1418" w:leader="none"/>
        </w:tabs>
        <w:ind w:left="0" w:firstLine="709"/>
        <w:jc w:val="both"/>
        <w:rPr/>
      </w:pPr>
      <w:r>
        <w:rPr>
          <w:bCs/>
        </w:rPr>
        <w:t>Подрядчик обязуется письменно согласовать с Заказчиком планируемые к использованию Материально-технические ресурсы до начала производства Работ в случае, если они не соответствуют условиям Договора.</w:t>
      </w:r>
    </w:p>
    <w:p>
      <w:pPr>
        <w:pStyle w:val="ListParagraph"/>
        <w:numPr>
          <w:ilvl w:val="2"/>
          <w:numId w:val="8"/>
        </w:numPr>
        <w:shd w:val="clear" w:color="auto" w:fill="FFFFFF"/>
        <w:tabs>
          <w:tab w:val="clear" w:pos="708"/>
          <w:tab w:val="left" w:pos="1418" w:leader="none"/>
        </w:tabs>
        <w:ind w:left="0" w:firstLine="709"/>
        <w:jc w:val="both"/>
        <w:rPr/>
      </w:pPr>
      <w:r>
        <w:rPr>
          <w:bCs/>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производстве Работ</w:t>
      </w:r>
      <w:r>
        <w:rPr/>
        <w:t>.</w:t>
      </w:r>
    </w:p>
    <w:p>
      <w:pPr>
        <w:pStyle w:val="ListParagraph"/>
        <w:numPr>
          <w:ilvl w:val="2"/>
          <w:numId w:val="8"/>
        </w:numPr>
        <w:shd w:val="clear" w:color="auto" w:fill="FFFFFF"/>
        <w:tabs>
          <w:tab w:val="clear" w:pos="708"/>
          <w:tab w:val="left" w:pos="1418" w:leader="none"/>
        </w:tabs>
        <w:ind w:left="0" w:firstLine="709"/>
        <w:jc w:val="both"/>
        <w:rPr/>
      </w:pPr>
      <w:r>
        <w:rPr>
          <w:bCs/>
        </w:rPr>
        <w:t>Провести инструктаж персонала, задействованного при производстве Работ,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Заказчика</w:t>
      </w:r>
      <w:r>
        <w:rPr/>
        <w:t>.</w:t>
      </w:r>
    </w:p>
    <w:p>
      <w:pPr>
        <w:pStyle w:val="ListParagraph"/>
        <w:numPr>
          <w:ilvl w:val="2"/>
          <w:numId w:val="8"/>
        </w:numPr>
        <w:shd w:val="clear" w:color="auto" w:fill="FFFFFF"/>
        <w:tabs>
          <w:tab w:val="clear" w:pos="708"/>
          <w:tab w:val="left" w:pos="1418" w:leader="none"/>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8"/>
        </w:numPr>
        <w:shd w:val="clear" w:color="auto" w:fill="FFFFFF"/>
        <w:tabs>
          <w:tab w:val="clear" w:pos="708"/>
          <w:tab w:val="left" w:pos="1418" w:leader="none"/>
        </w:tabs>
        <w:ind w:left="0" w:firstLine="709"/>
        <w:jc w:val="both"/>
        <w:rPr/>
      </w:pPr>
      <w:r>
        <w:rPr>
          <w:bCs/>
        </w:rPr>
        <w:t>В случае применения контролирующими органами штрафных санкций к Заказчику по фактам нарушения 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r>
        <w:rPr/>
        <w:t>.</w:t>
      </w:r>
    </w:p>
    <w:p>
      <w:pPr>
        <w:pStyle w:val="ListParagraph"/>
        <w:numPr>
          <w:ilvl w:val="2"/>
          <w:numId w:val="8"/>
        </w:numPr>
        <w:shd w:val="clear" w:color="auto" w:fill="FFFFFF"/>
        <w:tabs>
          <w:tab w:val="clear" w:pos="708"/>
          <w:tab w:val="left" w:pos="1418" w:leader="none"/>
        </w:tabs>
        <w:ind w:left="0" w:firstLine="709"/>
        <w:jc w:val="both"/>
        <w:rPr/>
      </w:pPr>
      <w:r>
        <w:rPr/>
        <w:t xml:space="preserve">Предоставить Заказчику в полном объеме необходимую для приемки Работ приемо-сдаточную и исполнительную документацию в 3 (трех) экземплярах. </w:t>
      </w:r>
    </w:p>
    <w:p>
      <w:pPr>
        <w:pStyle w:val="ListParagraph"/>
        <w:shd w:val="clear" w:color="auto" w:fill="FFFFFF"/>
        <w:tabs>
          <w:tab w:val="clear" w:pos="708"/>
          <w:tab w:val="left" w:pos="1418" w:leader="none"/>
        </w:tabs>
        <w:ind w:left="0" w:firstLine="709"/>
        <w:jc w:val="both"/>
        <w:rPr/>
      </w:pPr>
      <w:r>
        <w:rPr/>
        <w:t>Исполнительная документация должна обеспечивать достоверность и полноту сведений о фактически выполненных Работах.</w:t>
      </w:r>
    </w:p>
    <w:p>
      <w:pPr>
        <w:pStyle w:val="ListParagraph"/>
        <w:numPr>
          <w:ilvl w:val="2"/>
          <w:numId w:val="8"/>
        </w:numPr>
        <w:shd w:val="clear" w:color="auto" w:fill="FFFFFF"/>
        <w:tabs>
          <w:tab w:val="clear" w:pos="708"/>
          <w:tab w:val="left" w:pos="1418" w:leader="none"/>
        </w:tabs>
        <w:ind w:left="0" w:firstLine="709"/>
        <w:jc w:val="both"/>
        <w:rPr/>
      </w:pPr>
      <w:r>
        <w:rPr/>
        <w:t xml:space="preserve">Обеспечивать в месте производства Работ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 </w:t>
      </w:r>
    </w:p>
    <w:p>
      <w:pPr>
        <w:pStyle w:val="ListParagraph"/>
        <w:numPr>
          <w:ilvl w:val="2"/>
          <w:numId w:val="8"/>
        </w:numPr>
        <w:shd w:val="clear" w:color="auto" w:fill="FFFFFF"/>
        <w:tabs>
          <w:tab w:val="clear" w:pos="708"/>
          <w:tab w:val="left" w:pos="1418" w:leader="none"/>
        </w:tabs>
        <w:ind w:left="0" w:firstLine="709"/>
        <w:jc w:val="both"/>
        <w:rPr/>
      </w:pPr>
      <w:r>
        <w:rPr/>
        <w:t>До даты сдачи Заказчику Результата Работ обеспечить за свой счет уборку места производства Работ, вывоз строительного мусора и отходов Подрядчика, образовавшихся в ходе выполнения Работ, в места утилизации.</w:t>
      </w:r>
    </w:p>
    <w:p>
      <w:pPr>
        <w:pStyle w:val="ListParagraph"/>
        <w:numPr>
          <w:ilvl w:val="2"/>
          <w:numId w:val="8"/>
        </w:numPr>
        <w:shd w:val="clear" w:color="auto" w:fill="FFFFFF"/>
        <w:tabs>
          <w:tab w:val="clear" w:pos="708"/>
          <w:tab w:val="left" w:pos="1418" w:leader="none"/>
        </w:tabs>
        <w:ind w:left="0" w:firstLine="709"/>
        <w:jc w:val="both"/>
        <w:rPr/>
      </w:pPr>
      <w:r>
        <w:rPr/>
        <w:t xml:space="preserve"> </w:t>
      </w:r>
      <w:r>
        <w:rPr/>
        <w:t>Передать Заказчику в полном объеме лом черных и цветных металлов, образовавшийся в ходе выполнения Работ.</w:t>
      </w:r>
    </w:p>
    <w:p>
      <w:pPr>
        <w:pStyle w:val="ListParagraph"/>
        <w:numPr>
          <w:ilvl w:val="2"/>
          <w:numId w:val="8"/>
        </w:numPr>
        <w:shd w:val="clear" w:color="auto" w:fill="FFFFFF"/>
        <w:tabs>
          <w:tab w:val="clear" w:pos="708"/>
          <w:tab w:val="left" w:pos="1418" w:leader="none"/>
        </w:tabs>
        <w:ind w:left="0" w:firstLine="709"/>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Подрядчика. </w:t>
      </w:r>
    </w:p>
    <w:p>
      <w:pPr>
        <w:pStyle w:val="ListParagraph"/>
        <w:shd w:val="clear" w:color="auto" w:fill="FFFFFF"/>
        <w:tabs>
          <w:tab w:val="clear" w:pos="708"/>
          <w:tab w:val="left" w:pos="1418" w:leader="none"/>
        </w:tabs>
        <w:ind w:left="0" w:firstLine="709"/>
        <w:jc w:val="both"/>
        <w:rPr/>
      </w:pPr>
      <w:r>
        <w:rPr/>
        <w:t xml:space="preserve">В случае, если такие указания могут привести к увеличению Цены Договора,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8"/>
          <w:tab w:val="left" w:pos="1418" w:leader="none"/>
        </w:tabs>
        <w:ind w:left="0" w:firstLine="709"/>
        <w:jc w:val="both"/>
        <w:rPr/>
      </w:pPr>
      <w:r>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о возможных негативных последствиях исполнения таких указаний в соответствии с пунктом 2.3.22.1 Договора. </w:t>
      </w:r>
    </w:p>
    <w:p>
      <w:pPr>
        <w:pStyle w:val="ListParagraph"/>
        <w:shd w:val="clear" w:color="auto" w:fill="FFFFFF"/>
        <w:tabs>
          <w:tab w:val="clear" w:pos="708"/>
          <w:tab w:val="left" w:pos="1418" w:leader="none"/>
        </w:tabs>
        <w:ind w:left="0" w:firstLine="709"/>
        <w:jc w:val="both"/>
        <w:rPr/>
      </w:pPr>
      <w:r>
        <w:rPr/>
        <w:t>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2.3.16.1 Договора</w:t>
      </w:r>
    </w:p>
    <w:p>
      <w:pPr>
        <w:pStyle w:val="ListParagraph"/>
        <w:numPr>
          <w:ilvl w:val="2"/>
          <w:numId w:val="8"/>
        </w:numPr>
        <w:shd w:val="clear" w:color="auto" w:fill="FFFFFF"/>
        <w:tabs>
          <w:tab w:val="clear" w:pos="708"/>
          <w:tab w:val="left" w:pos="1418" w:leader="none"/>
        </w:tabs>
        <w:ind w:left="0" w:firstLine="709"/>
        <w:jc w:val="both"/>
        <w:rPr/>
      </w:pPr>
      <w:bookmarkStart w:id="7" w:name="_Ref361334822"/>
      <w:r>
        <w:rPr/>
        <w:t>Немедленно в письменном виде известить Заказчика и до получения от него необходимых указаний приостановить Работу при обнаружении:</w:t>
      </w:r>
      <w:bookmarkEnd w:id="7"/>
    </w:p>
    <w:p>
      <w:pPr>
        <w:pStyle w:val="ListParagraph"/>
        <w:numPr>
          <w:ilvl w:val="3"/>
          <w:numId w:val="8"/>
        </w:numPr>
        <w:shd w:val="clear" w:color="auto" w:fill="FFFFFF"/>
        <w:tabs>
          <w:tab w:val="clear" w:pos="708"/>
          <w:tab w:val="left" w:pos="1701" w:leader="none"/>
        </w:tabs>
        <w:ind w:left="0" w:firstLine="709"/>
        <w:jc w:val="both"/>
        <w:rPr/>
      </w:pPr>
      <w:bookmarkStart w:id="8"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8"/>
      <w:r>
        <w:rPr/>
        <w:t xml:space="preserve"> </w:t>
      </w:r>
    </w:p>
    <w:p>
      <w:pPr>
        <w:pStyle w:val="ListParagraph"/>
        <w:numPr>
          <w:ilvl w:val="3"/>
          <w:numId w:val="8"/>
        </w:numPr>
        <w:shd w:val="clear" w:color="auto" w:fill="FFFFFF"/>
        <w:tabs>
          <w:tab w:val="clear" w:pos="708"/>
          <w:tab w:val="left" w:pos="1701" w:leader="none"/>
        </w:tabs>
        <w:ind w:left="0" w:firstLine="709"/>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8"/>
        </w:numPr>
        <w:shd w:val="clear" w:color="auto" w:fill="FFFFFF"/>
        <w:tabs>
          <w:tab w:val="clear" w:pos="708"/>
          <w:tab w:val="left" w:pos="1701" w:leader="none"/>
        </w:tabs>
        <w:ind w:left="0" w:firstLine="709"/>
        <w:jc w:val="both"/>
        <w:rPr/>
      </w:pPr>
      <w:r>
        <w:rPr>
          <w:bCs/>
        </w:rPr>
        <w:t>любых иных обстоятельств, угрожающих годности, прочности и /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r>
        <w:rPr/>
        <w:t xml:space="preserve">; </w:t>
      </w:r>
    </w:p>
    <w:p>
      <w:pPr>
        <w:pStyle w:val="ListParagraph"/>
        <w:shd w:val="clear" w:color="auto" w:fill="FFFFFF"/>
        <w:tabs>
          <w:tab w:val="clear" w:pos="708"/>
          <w:tab w:val="left" w:pos="1276" w:leader="none"/>
        </w:tabs>
        <w:ind w:left="0" w:firstLine="709"/>
        <w:jc w:val="both"/>
        <w:rPr/>
      </w:pPr>
      <w:r>
        <w:rPr>
          <w:bCs/>
        </w:rPr>
        <w:t>Невыполнение Подрядчиком требований пункта 2.3.16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r>
        <w:rPr/>
        <w:t>.</w:t>
      </w:r>
    </w:p>
    <w:p>
      <w:pPr>
        <w:pStyle w:val="ListParagraph"/>
        <w:numPr>
          <w:ilvl w:val="2"/>
          <w:numId w:val="8"/>
        </w:numPr>
        <w:shd w:val="clear" w:color="auto" w:fill="FFFFFF"/>
        <w:tabs>
          <w:tab w:val="clear" w:pos="708"/>
          <w:tab w:val="left" w:pos="710" w:leader="none"/>
        </w:tabs>
        <w:ind w:left="0" w:firstLine="710"/>
        <w:jc w:val="both"/>
        <w:rPr/>
      </w:pPr>
      <w:r>
        <w:rPr/>
        <w:t xml:space="preserve">По требованию и в сроки, установленные Заказчиком, своими силами, средствами и за свой счет устранять недостатки, несоответствия и / или дефекты, выявленные в процессе производства Работ, при приемке выполненных Работ и / или в Гарантийный период, а также связанные с несогласованными с Заказчиком отступлениями от требований Договора. </w:t>
      </w:r>
    </w:p>
    <w:p>
      <w:pPr>
        <w:pStyle w:val="ListParagraph"/>
        <w:shd w:val="clear" w:color="auto" w:fill="FFFFFF"/>
        <w:ind w:left="0" w:firstLine="710"/>
        <w:jc w:val="both"/>
        <w:rPr/>
      </w:pPr>
      <w:r>
        <w:rPr/>
        <w:t>Подрядчик обязан незамедлительно приступать к устранению недостатков, о которых ему стало известно.</w:t>
      </w:r>
    </w:p>
    <w:p>
      <w:pPr>
        <w:pStyle w:val="ListParagraph"/>
        <w:numPr>
          <w:ilvl w:val="2"/>
          <w:numId w:val="8"/>
        </w:numPr>
        <w:shd w:val="clear" w:color="auto" w:fill="FFFFFF"/>
        <w:tabs>
          <w:tab w:val="clear" w:pos="708"/>
          <w:tab w:val="left" w:pos="1418" w:leader="none"/>
        </w:tabs>
        <w:ind w:left="0" w:firstLine="709"/>
        <w:jc w:val="both"/>
        <w:rPr/>
      </w:pPr>
      <w:r>
        <w:rPr/>
        <w:t xml:space="preserve">Письменно уведомлять Заказчика о необходимости проведения освидетельствования и/или приемки Скрытых работ. </w:t>
      </w:r>
    </w:p>
    <w:p>
      <w:pPr>
        <w:pStyle w:val="ListParagraph"/>
        <w:shd w:val="clear" w:color="auto" w:fill="FFFFFF"/>
        <w:tabs>
          <w:tab w:val="clear" w:pos="708"/>
          <w:tab w:val="left" w:pos="1418" w:leader="none"/>
        </w:tabs>
        <w:ind w:left="0" w:firstLine="709"/>
        <w:jc w:val="both"/>
        <w:rPr/>
      </w:pPr>
      <w:r>
        <w:rPr/>
        <w:t>Указанное уведомление должно быть получено Заказчиком заблаговременно, но не позднее, чем за 5 (пять) рабочих дней до начала освидетельствования. В случае если Подрядчиком произведено закрытие Скрытых работ без их освидетельствования представителем Заказчика, то Подрядчик, по указанию Заказчика, обязан открыть любую часть Скрытых работ для их освидетельствования, а затем произвести всю необходимую восстановительную работу за свой счет, за исключением случаев, когда освидетельствование  не было произведено ввиду неявки представителя Заказчика, надлежащим образом уведомленного о месте и времени проведения освидетельствования и/или приемки Скрытых работ.</w:t>
      </w:r>
    </w:p>
    <w:p>
      <w:pPr>
        <w:pStyle w:val="ListParagraph"/>
        <w:numPr>
          <w:ilvl w:val="2"/>
          <w:numId w:val="8"/>
        </w:numPr>
        <w:shd w:val="clear" w:color="auto" w:fill="FFFFFF"/>
        <w:tabs>
          <w:tab w:val="clear" w:pos="708"/>
          <w:tab w:val="left" w:pos="1418" w:leader="none"/>
        </w:tabs>
        <w:ind w:left="0" w:firstLine="709"/>
        <w:jc w:val="both"/>
        <w:rPr/>
      </w:pPr>
      <w:r>
        <w:rPr>
          <w:bCs/>
        </w:rPr>
        <w:t>Осуществлять мероприятия строительного контроля, возложенные на Подрядчика Положением о проведении строительного контроля при осуществлении строительства, реконструкции и капитального ремонта объектов капитального строительства, утвержденным Постановлением Правительства Российской Федерации от 21.06.2010 № 468.</w:t>
      </w:r>
    </w:p>
    <w:p>
      <w:pPr>
        <w:pStyle w:val="ListParagraph"/>
        <w:numPr>
          <w:ilvl w:val="2"/>
          <w:numId w:val="8"/>
        </w:numPr>
        <w:shd w:val="clear" w:color="auto" w:fill="FFFFFF"/>
        <w:tabs>
          <w:tab w:val="clear" w:pos="708"/>
          <w:tab w:val="left" w:pos="1418" w:leader="none"/>
        </w:tabs>
        <w:ind w:left="0" w:firstLine="709"/>
        <w:jc w:val="both"/>
        <w:rPr/>
      </w:pPr>
      <w:r>
        <w:rPr>
          <w:bCs/>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выполнением Работ, а также возместить любой ущерб и штрафные санкции, связанные с причинением Подрядчиком и / или привлеченными им Субподрядчиками вреда жизни или здоровью людей, имуществу Заказчика или третьих лиц, а также фактам нарушения Подрядчиком и / или привлеченными им Субподрядчиками правил пожарной безопасности, техники безопасности, требований природоохранного законодательства, </w:t>
      </w:r>
      <w:r>
        <w:rPr>
          <w:shd w:fill="FFFFFF" w:val="clear"/>
        </w:rPr>
        <w:t>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выполненных Работ</w:t>
      </w:r>
      <w:r>
        <w:rPr/>
        <w:t xml:space="preserve">, </w:t>
      </w:r>
      <w:r>
        <w:rPr>
          <w:bCs/>
        </w:rPr>
        <w:t>без какого-либо ограничения размера такого возмещения</w:t>
      </w:r>
      <w:r>
        <w:rPr/>
        <w:t>.</w:t>
      </w:r>
    </w:p>
    <w:p>
      <w:pPr>
        <w:pStyle w:val="ListParagraph"/>
        <w:shd w:val="clear" w:color="auto" w:fill="FFFFFF"/>
        <w:tabs>
          <w:tab w:val="clear" w:pos="708"/>
          <w:tab w:val="left" w:pos="1418" w:leader="none"/>
        </w:tabs>
        <w:ind w:left="0" w:firstLine="709"/>
        <w:jc w:val="both"/>
        <w:rPr>
          <w:bCs/>
        </w:rPr>
      </w:pPr>
      <w:r>
        <w:rPr>
          <w:bCs/>
        </w:rPr>
        <w:t>В случае, когда один или несколько соответствующих рисков были застрахованы Заказчиком или в его пользу, возместить ущерб в пользу Заказчика в части, не подлежащей возмещению по договору (-ам) страхования.</w:t>
      </w:r>
    </w:p>
    <w:p>
      <w:pPr>
        <w:pStyle w:val="ListParagraph"/>
        <w:numPr>
          <w:ilvl w:val="2"/>
          <w:numId w:val="8"/>
        </w:numPr>
        <w:shd w:val="clear" w:color="auto" w:fill="FFFFFF"/>
        <w:tabs>
          <w:tab w:val="clear" w:pos="708"/>
          <w:tab w:val="left" w:pos="1418" w:leader="none"/>
        </w:tabs>
        <w:ind w:left="0" w:firstLine="709"/>
        <w:jc w:val="both"/>
        <w:rPr/>
      </w:pPr>
      <w:r>
        <w:rPr>
          <w:bCs/>
        </w:rPr>
        <w:t>В случае предъявления налоговыми органами претензий и требований к Заказчику, связанных с недобросовестностью Субподрядчиков (любого лица из цепочки субподрядчиков),</w:t>
      </w:r>
      <w:r>
        <w:rPr/>
        <w:t xml:space="preserve"> </w:t>
      </w:r>
      <w:r>
        <w:rPr>
          <w:bCs/>
        </w:rPr>
        <w:t>в том числе поставщиков Материально-технических ресурсов, привлеченных Подрядчиком к выполнению Работ по Договору, компенсировать все убытки Заказчика, вызванные такими претензиями и требованиями.</w:t>
      </w:r>
    </w:p>
    <w:p>
      <w:pPr>
        <w:pStyle w:val="ListParagraph"/>
        <w:numPr>
          <w:ilvl w:val="2"/>
          <w:numId w:val="8"/>
        </w:numPr>
        <w:shd w:val="clear" w:color="auto" w:fill="FFFFFF"/>
        <w:tabs>
          <w:tab w:val="clear" w:pos="708"/>
          <w:tab w:val="left" w:pos="1418" w:leader="none"/>
        </w:tabs>
        <w:ind w:left="0" w:firstLine="709"/>
        <w:jc w:val="both"/>
        <w:rPr/>
      </w:pPr>
      <w:r>
        <w:rP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0"/>
        </w:numPr>
        <w:tabs>
          <w:tab w:val="clear" w:pos="708"/>
          <w:tab w:val="left" w:pos="1134" w:leader="none"/>
          <w:tab w:val="left" w:pos="1276" w:leader="none"/>
        </w:tabs>
        <w:ind w:left="0" w:firstLine="709"/>
        <w:jc w:val="both"/>
        <w:rPr/>
      </w:pPr>
      <w:r>
        <w:rPr/>
        <w:t>хищении и иных противоправных действиях – в течение 24 (двадцати четырех) часов;</w:t>
      </w:r>
    </w:p>
    <w:p>
      <w:pPr>
        <w:pStyle w:val="ListParagraph"/>
        <w:numPr>
          <w:ilvl w:val="0"/>
          <w:numId w:val="10"/>
        </w:numPr>
        <w:tabs>
          <w:tab w:val="clear" w:pos="708"/>
          <w:tab w:val="left" w:pos="1134" w:leader="none"/>
          <w:tab w:val="left" w:pos="1276" w:leader="none"/>
        </w:tabs>
        <w:ind w:left="0" w:firstLine="709"/>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0"/>
        </w:numPr>
        <w:tabs>
          <w:tab w:val="clear" w:pos="708"/>
          <w:tab w:val="left" w:pos="1134" w:leader="none"/>
          <w:tab w:val="left" w:pos="1276" w:leader="none"/>
        </w:tabs>
        <w:ind w:left="0" w:firstLine="709"/>
        <w:jc w:val="both"/>
        <w:rPr/>
      </w:pPr>
      <w:r>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0"/>
        </w:numPr>
        <w:tabs>
          <w:tab w:val="clear" w:pos="708"/>
          <w:tab w:val="left" w:pos="1134" w:leader="none"/>
          <w:tab w:val="left" w:pos="1276" w:leader="none"/>
        </w:tabs>
        <w:ind w:left="0" w:firstLine="709"/>
        <w:jc w:val="both"/>
        <w:rPr/>
      </w:pPr>
      <w:r>
        <w:rPr/>
        <w:t>иных обстоятельствах, фактах, сообщениях в средствах массовой информации – в</w:t>
      </w:r>
      <w:r>
        <w:rPr>
          <w:lang w:val="en-US"/>
        </w:rPr>
        <w:t> </w:t>
      </w:r>
      <w:r>
        <w:rPr/>
        <w:t>течение 24 (двадцати четырех) часов.</w:t>
      </w:r>
    </w:p>
    <w:p>
      <w:pPr>
        <w:pStyle w:val="ListParagraph"/>
        <w:numPr>
          <w:ilvl w:val="2"/>
          <w:numId w:val="8"/>
        </w:numPr>
        <w:tabs>
          <w:tab w:val="clear" w:pos="708"/>
          <w:tab w:val="left" w:pos="1134" w:leader="none"/>
          <w:tab w:val="left" w:pos="1418" w:leader="none"/>
        </w:tabs>
        <w:ind w:left="0" w:firstLine="709"/>
        <w:jc w:val="both"/>
        <w:rPr/>
      </w:pPr>
      <w:r>
        <w:rPr/>
        <w:t>Исполнять другие обязанности в соответствии с Договором и законодательством Российской Федерации.</w:t>
      </w:r>
    </w:p>
    <w:p>
      <w:pPr>
        <w:pStyle w:val="ListParagraph"/>
        <w:numPr>
          <w:ilvl w:val="1"/>
          <w:numId w:val="8"/>
        </w:numPr>
        <w:shd w:val="clear" w:color="auto" w:fill="FFFFFF"/>
        <w:tabs>
          <w:tab w:val="clear" w:pos="708"/>
          <w:tab w:val="left" w:pos="1134" w:leader="none"/>
        </w:tabs>
        <w:ind w:left="1036" w:hanging="327"/>
        <w:jc w:val="both"/>
        <w:rPr>
          <w:b/>
          <w:bCs/>
          <w:u w:val="single"/>
        </w:rPr>
      </w:pPr>
      <w:r>
        <w:rPr>
          <w:b/>
          <w:bCs/>
          <w:u w:val="single"/>
        </w:rPr>
        <w:t>Подрядчик имеет право:</w:t>
      </w:r>
    </w:p>
    <w:p>
      <w:pPr>
        <w:pStyle w:val="ListParagraph"/>
        <w:numPr>
          <w:ilvl w:val="2"/>
          <w:numId w:val="13"/>
        </w:numPr>
        <w:shd w:val="clear" w:color="auto" w:fill="FFFFFF"/>
        <w:tabs>
          <w:tab w:val="clear" w:pos="708"/>
          <w:tab w:val="left" w:pos="1418" w:leader="none"/>
        </w:tabs>
        <w:ind w:left="0" w:firstLine="709"/>
        <w:jc w:val="both"/>
        <w:rPr/>
      </w:pPr>
      <w:r>
        <w:rPr>
          <w:bCs/>
        </w:rPr>
        <w:t>Самостоятельно организовать выполнение Работ</w:t>
      </w:r>
      <w:r>
        <w:rPr/>
        <w:t>.</w:t>
      </w:r>
    </w:p>
    <w:p>
      <w:pPr>
        <w:pStyle w:val="ListParagraph"/>
        <w:numPr>
          <w:ilvl w:val="2"/>
          <w:numId w:val="13"/>
        </w:numPr>
        <w:shd w:val="clear" w:color="auto" w:fill="FFFFFF"/>
        <w:tabs>
          <w:tab w:val="clear" w:pos="708"/>
          <w:tab w:val="left" w:pos="1418" w:leader="none"/>
        </w:tabs>
        <w:ind w:left="0" w:firstLine="709"/>
        <w:jc w:val="both"/>
        <w:rPr/>
      </w:pPr>
      <w:r>
        <w:rPr/>
        <w:t>При необходимости по предварительному письменному согласованию с Заказчиком заключать договоры субподряда в совокупности не более чем на 25 (Двадцать пять) процентов от Цены Договора, неся при этом ответственность за действия Субподрядчиков, как за свои собственные.</w:t>
      </w:r>
    </w:p>
    <w:p>
      <w:pPr>
        <w:pStyle w:val="ListParagraph"/>
        <w:shd w:val="clear" w:color="auto" w:fill="FFFFFF"/>
        <w:tabs>
          <w:tab w:val="clear" w:pos="708"/>
          <w:tab w:val="left" w:pos="1418" w:leader="none"/>
        </w:tabs>
        <w:ind w:left="709" w:hanging="0"/>
        <w:jc w:val="both"/>
        <w:rPr/>
      </w:pPr>
      <w:r>
        <w:rPr/>
        <w:t>При согласовании привлечения Субподрядчика Подрядчик представляет Заказчику:</w:t>
      </w:r>
    </w:p>
    <w:p>
      <w:pPr>
        <w:pStyle w:val="ListParagraph"/>
        <w:numPr>
          <w:ilvl w:val="0"/>
          <w:numId w:val="15"/>
        </w:numPr>
        <w:shd w:val="clear" w:color="auto" w:fill="FFFFFF"/>
        <w:tabs>
          <w:tab w:val="clear" w:pos="708"/>
          <w:tab w:val="left" w:pos="709" w:leader="none"/>
        </w:tabs>
        <w:ind w:left="0" w:firstLine="709"/>
        <w:jc w:val="both"/>
        <w:rPr>
          <w:bCs/>
        </w:rPr>
      </w:pPr>
      <w:r>
        <w:rPr>
          <w:bCs/>
        </w:rPr>
        <w:t xml:space="preserve">проект договора с Субподрядчиком; </w:t>
      </w:r>
    </w:p>
    <w:p>
      <w:pPr>
        <w:pStyle w:val="ListParagraph"/>
        <w:numPr>
          <w:ilvl w:val="0"/>
          <w:numId w:val="15"/>
        </w:numPr>
        <w:shd w:val="clear" w:color="auto" w:fill="FFFFFF"/>
        <w:tabs>
          <w:tab w:val="clear" w:pos="708"/>
          <w:tab w:val="left" w:pos="709" w:leader="none"/>
        </w:tabs>
        <w:ind w:left="0" w:firstLine="709"/>
        <w:jc w:val="both"/>
        <w:rPr>
          <w:bCs/>
        </w:rPr>
      </w:pPr>
      <w:r>
        <w:rPr>
          <w:bCs/>
        </w:rPr>
        <w:t xml:space="preserve">сведения об объемах выполнения работ Субподрядчиком; </w:t>
      </w:r>
    </w:p>
    <w:p>
      <w:pPr>
        <w:pStyle w:val="ListParagraph"/>
        <w:numPr>
          <w:ilvl w:val="0"/>
          <w:numId w:val="15"/>
        </w:numPr>
        <w:shd w:val="clear" w:color="auto" w:fill="FFFFFF"/>
        <w:tabs>
          <w:tab w:val="clear" w:pos="708"/>
          <w:tab w:val="left" w:pos="709" w:leader="none"/>
        </w:tabs>
        <w:ind w:left="0" w:firstLine="709"/>
        <w:jc w:val="both"/>
        <w:rPr>
          <w:bCs/>
        </w:rPr>
      </w:pPr>
      <w:r>
        <w:rPr>
          <w:bCs/>
        </w:rPr>
        <w:t xml:space="preserve">пофамильный перечень персонала Субподрядчика, который будет задействован при производстве Работ; </w:t>
      </w:r>
    </w:p>
    <w:p>
      <w:pPr>
        <w:pStyle w:val="ListParagraph"/>
        <w:numPr>
          <w:ilvl w:val="0"/>
          <w:numId w:val="15"/>
        </w:numPr>
        <w:shd w:val="clear" w:color="auto" w:fill="FFFFFF"/>
        <w:tabs>
          <w:tab w:val="clear" w:pos="708"/>
          <w:tab w:val="left" w:pos="709" w:leader="none"/>
        </w:tabs>
        <w:ind w:left="0" w:firstLine="709"/>
        <w:jc w:val="both"/>
        <w:rPr>
          <w:bCs/>
        </w:rPr>
      </w:pPr>
      <w:r>
        <w:rPr>
          <w:bCs/>
        </w:rPr>
        <w:t>копии документов, подтверждающих наличие у Субподрядчика и его персонала допусков, разрешений и лицензий, необходимых для выполнения Работ.</w:t>
      </w:r>
    </w:p>
    <w:p>
      <w:pPr>
        <w:pStyle w:val="ListParagraph"/>
        <w:numPr>
          <w:ilvl w:val="2"/>
          <w:numId w:val="13"/>
        </w:numPr>
        <w:shd w:val="clear" w:color="auto" w:fill="FFFFFF"/>
        <w:tabs>
          <w:tab w:val="clear" w:pos="708"/>
          <w:tab w:val="left" w:pos="1418" w:leader="none"/>
        </w:tabs>
        <w:ind w:left="0" w:firstLine="709"/>
        <w:jc w:val="both"/>
        <w:rPr>
          <w:bCs/>
        </w:rPr>
      </w:pPr>
      <w:r>
        <w:rPr>
          <w:bCs/>
        </w:rPr>
        <w:t>Получать от Заказчика разъяснения и / или указания, необходимые для исполнения обязательств по Договору.</w:t>
      </w:r>
      <w:r>
        <w:rPr>
          <w:bCs/>
          <w:highlight w:val="lightGray"/>
        </w:rPr>
        <w:t xml:space="preserve"> </w:t>
      </w:r>
    </w:p>
    <w:p>
      <w:pPr>
        <w:pStyle w:val="ListParagraph"/>
        <w:numPr>
          <w:ilvl w:val="0"/>
          <w:numId w:val="13"/>
        </w:numPr>
        <w:shd w:val="clear" w:color="auto" w:fill="FFFFFF"/>
        <w:tabs>
          <w:tab w:val="clear" w:pos="708"/>
          <w:tab w:val="left" w:pos="284" w:leader="none"/>
        </w:tabs>
        <w:ind w:left="0" w:hanging="0"/>
        <w:jc w:val="center"/>
        <w:rPr>
          <w:b/>
        </w:rPr>
      </w:pPr>
      <w:r>
        <w:rPr>
          <w:b/>
        </w:rPr>
        <w:t>Цена Договора и порядок расчетов</w:t>
      </w:r>
    </w:p>
    <w:p>
      <w:pPr>
        <w:pStyle w:val="ListParagraph"/>
        <w:widowControl w:val="false"/>
        <w:numPr>
          <w:ilvl w:val="1"/>
          <w:numId w:val="21"/>
        </w:numPr>
        <w:shd w:val="clear" w:color="auto" w:fill="FFFFFF"/>
        <w:tabs>
          <w:tab w:val="clear" w:pos="708"/>
          <w:tab w:val="left" w:pos="1134" w:leader="none"/>
          <w:tab w:val="left" w:pos="4827" w:leader="none"/>
        </w:tabs>
        <w:suppressAutoHyphens w:val="false"/>
        <w:ind w:left="0" w:firstLine="709"/>
        <w:jc w:val="both"/>
        <w:rPr/>
      </w:pPr>
      <w:r>
        <w:rPr/>
        <w:t>Цена Договора в соответствии с Локальным сметным расчетом с приложениями (Приложение № 3 к Договору) является твердой и составляет</w:t>
      </w:r>
      <w:r>
        <w:rPr/>
        <w:t>___________________________________</w:t>
      </w:r>
      <w:r>
        <w:rPr/>
        <w:t xml:space="preserve"> </w:t>
      </w:r>
      <w:r>
        <w:rPr>
          <w:b/>
          <w:bCs/>
          <w:color w:val="000000"/>
          <w:spacing w:val="-2"/>
        </w:rPr>
        <w:t xml:space="preserve">, </w:t>
      </w:r>
      <w:r>
        <w:rPr>
          <w:color w:val="000000"/>
          <w:spacing w:val="-2"/>
        </w:rPr>
        <w:t>кроме того, НДС (2</w:t>
      </w:r>
      <w:r>
        <w:rPr>
          <w:color w:val="000000"/>
          <w:spacing w:val="-2"/>
        </w:rPr>
        <w:t>2</w:t>
      </w:r>
      <w:r>
        <w:rPr>
          <w:color w:val="000000"/>
          <w:spacing w:val="-2"/>
        </w:rPr>
        <w:t>%) –</w:t>
      </w:r>
      <w:r>
        <w:rPr>
          <w:b/>
          <w:bCs/>
          <w:color w:val="000000"/>
          <w:spacing w:val="-2"/>
        </w:rPr>
        <w:t xml:space="preserve"> </w:t>
      </w:r>
      <w:r>
        <w:rPr>
          <w:b/>
          <w:bCs/>
          <w:color w:val="000000"/>
          <w:spacing w:val="-2"/>
        </w:rPr>
        <w:t>______________________</w:t>
      </w:r>
      <w:r>
        <w:rPr>
          <w:bCs/>
        </w:rPr>
        <w:t xml:space="preserve">. Итого с НДС </w:t>
      </w:r>
      <w:r>
        <w:rPr>
          <w:bCs/>
        </w:rPr>
        <w:t>_________________________.</w:t>
      </w:r>
    </w:p>
    <w:p>
      <w:pPr>
        <w:pStyle w:val="Normal"/>
        <w:widowControl w:val="false"/>
        <w:shd w:val="clear" w:color="auto" w:fill="FFFFFF"/>
        <w:tabs>
          <w:tab w:val="clear" w:pos="708"/>
          <w:tab w:val="left" w:pos="1134" w:leader="none"/>
          <w:tab w:val="left" w:pos="4827" w:leader="none"/>
        </w:tabs>
        <w:suppressAutoHyphens w:val="false"/>
        <w:ind w:firstLine="709"/>
        <w:jc w:val="both"/>
        <w:rPr>
          <w:bCs/>
          <w:lang w:val="ru-RU"/>
        </w:rPr>
      </w:pPr>
      <w:r>
        <w:rPr>
          <w:bCs/>
          <w:lang w:val="ru-RU"/>
        </w:rPr>
        <w:t xml:space="preserve">Стоимость материалов составляет </w:t>
      </w:r>
      <w:r>
        <w:rPr>
          <w:bCs/>
          <w:lang w:val="ru-RU"/>
        </w:rPr>
        <w:t>_______________________________________</w:t>
      </w:r>
      <w:r>
        <w:rPr>
          <w:bCs/>
          <w:lang w:val="ru-RU"/>
        </w:rPr>
        <w:t>Налогового кодекса РФ.</w:t>
      </w:r>
    </w:p>
    <w:p>
      <w:pPr>
        <w:pStyle w:val="Normal"/>
        <w:widowControl w:val="false"/>
        <w:shd w:val="clear" w:color="auto" w:fill="FFFFFF"/>
        <w:tabs>
          <w:tab w:val="clear" w:pos="708"/>
          <w:tab w:val="left" w:pos="1134" w:leader="none"/>
          <w:tab w:val="left" w:pos="4827" w:leader="none"/>
        </w:tabs>
        <w:suppressAutoHyphens w:val="false"/>
        <w:ind w:firstLine="709"/>
        <w:jc w:val="both"/>
        <w:rPr>
          <w:bCs/>
          <w:lang w:val="ru-RU"/>
        </w:rPr>
      </w:pPr>
      <w:r>
        <w:rPr>
          <w:bCs/>
          <w:lang w:val="ru-RU"/>
        </w:rPr>
        <w:t xml:space="preserve">Стоимость строительно-монтажных работ составляет </w:t>
      </w:r>
      <w:r>
        <w:rPr>
          <w:b/>
          <w:bCs/>
          <w:lang w:val="ru-RU"/>
        </w:rPr>
        <w:t>_________________________</w:t>
      </w:r>
      <w:r>
        <w:rPr>
          <w:bCs/>
          <w:lang w:val="ru-RU"/>
        </w:rPr>
        <w:t>при этом НДС исчисляется дополнительно по ставке, установленной статьей 164 Налогового кодекса РФ.</w:t>
      </w:r>
    </w:p>
    <w:p>
      <w:pPr>
        <w:pStyle w:val="Normal"/>
        <w:widowControl w:val="false"/>
        <w:shd w:val="clear" w:color="auto" w:fill="FFFFFF"/>
        <w:tabs>
          <w:tab w:val="clear" w:pos="708"/>
          <w:tab w:val="left" w:pos="1134" w:leader="none"/>
          <w:tab w:val="left" w:pos="4827" w:leader="none"/>
        </w:tabs>
        <w:suppressAutoHyphens w:val="false"/>
        <w:ind w:firstLine="709"/>
        <w:jc w:val="both"/>
        <w:rPr>
          <w:bCs/>
          <w:lang w:val="ru-RU"/>
        </w:rPr>
      </w:pPr>
      <w:r>
        <w:rPr>
          <w:bCs/>
          <w:lang w:val="ru-RU"/>
        </w:rPr>
        <w:t xml:space="preserve">Лимит на непредвиденные работы и затраты составляет </w:t>
      </w:r>
      <w:r>
        <w:rPr>
          <w:bCs/>
          <w:lang w:val="ru-RU"/>
        </w:rPr>
        <w:t>__________________________</w:t>
      </w:r>
      <w:r>
        <w:rPr>
          <w:b/>
          <w:lang w:val="ru-RU"/>
        </w:rPr>
        <w:t xml:space="preserve"> </w:t>
      </w:r>
      <w:r>
        <w:rPr>
          <w:bCs/>
          <w:lang w:val="ru-RU"/>
        </w:rPr>
        <w:t>при этом НДС исчисляется дополнительно по ставке, установленной статьей 164 Налогового кодекса РФ.</w:t>
      </w:r>
    </w:p>
    <w:p>
      <w:pPr>
        <w:pStyle w:val="Normal"/>
        <w:widowControl w:val="false"/>
        <w:shd w:val="clear" w:color="auto" w:fill="FFFFFF"/>
        <w:tabs>
          <w:tab w:val="clear" w:pos="708"/>
          <w:tab w:val="left" w:pos="1134" w:leader="none"/>
          <w:tab w:val="left" w:pos="4827" w:leader="none"/>
        </w:tabs>
        <w:suppressAutoHyphens w:val="false"/>
        <w:ind w:firstLine="709"/>
        <w:jc w:val="both"/>
        <w:rPr>
          <w:bCs/>
          <w:lang w:val="ru-RU"/>
        </w:rPr>
      </w:pPr>
      <w:r>
        <w:rPr>
          <w:bCs/>
          <w:lang w:val="ru-RU"/>
        </w:rPr>
        <w:t xml:space="preserve">Лимит на командировочные расходы составляет </w:t>
      </w:r>
      <w:r>
        <w:rPr>
          <w:b/>
          <w:lang w:val="ru-RU"/>
        </w:rPr>
        <w:t>________________________________________________</w:t>
      </w:r>
      <w:r>
        <w:rPr>
          <w:bCs/>
          <w:lang w:val="ru-RU"/>
        </w:rPr>
        <w:t>при этом НДС исчисляется дополнительно по ставке, установленной статьей 164 Налогового кодекса РФ.</w:t>
      </w:r>
    </w:p>
    <w:p>
      <w:pPr>
        <w:pStyle w:val="ListParagraph"/>
        <w:numPr>
          <w:ilvl w:val="1"/>
          <w:numId w:val="11"/>
        </w:numPr>
        <w:shd w:val="clear" w:color="auto" w:fill="FFFFFF"/>
        <w:tabs>
          <w:tab w:val="clear" w:pos="708"/>
          <w:tab w:val="left" w:pos="355" w:leader="none"/>
          <w:tab w:val="left" w:pos="1134" w:leader="none"/>
        </w:tabs>
        <w:jc w:val="both"/>
        <w:rPr/>
      </w:pPr>
      <w:r>
        <w:rPr/>
        <w:t>Цена Договора включает в себя прибыль Подрядчика, а также все расходы и затраты Подрядчика на:</w:t>
      </w:r>
    </w:p>
    <w:p>
      <w:pPr>
        <w:pStyle w:val="ListParagraph"/>
        <w:numPr>
          <w:ilvl w:val="2"/>
          <w:numId w:val="11"/>
        </w:numPr>
        <w:shd w:val="clear" w:color="auto" w:fill="FFFFFF"/>
        <w:tabs>
          <w:tab w:val="clear" w:pos="708"/>
          <w:tab w:val="left" w:pos="993" w:leader="none"/>
        </w:tabs>
        <w:ind w:left="0" w:firstLine="709"/>
        <w:jc w:val="both"/>
        <w:rPr/>
      </w:pPr>
      <w:r>
        <w:rPr>
          <w:bCs/>
        </w:rPr>
        <w:t>выполнение Работ</w:t>
      </w:r>
      <w:r>
        <w:rPr/>
        <w:t>;</w:t>
      </w:r>
    </w:p>
    <w:p>
      <w:pPr>
        <w:pStyle w:val="ListParagraph"/>
        <w:numPr>
          <w:ilvl w:val="2"/>
          <w:numId w:val="11"/>
        </w:numPr>
        <w:shd w:val="clear" w:color="auto" w:fill="FFFFFF"/>
        <w:tabs>
          <w:tab w:val="clear" w:pos="708"/>
          <w:tab w:val="left" w:pos="993" w:leader="none"/>
        </w:tabs>
        <w:ind w:left="0" w:firstLine="709"/>
        <w:jc w:val="both"/>
        <w:rPr/>
      </w:pPr>
      <w:r>
        <w:rPr/>
        <w:t>приобретение Материально-технических ресурсов, необходимых для выполнения Работ по Договору, включая стоимость необходимых для эксплуатации Результата Работ лицензий</w:t>
      </w:r>
    </w:p>
    <w:p>
      <w:pPr>
        <w:pStyle w:val="ListParagraph"/>
        <w:numPr>
          <w:ilvl w:val="2"/>
          <w:numId w:val="11"/>
        </w:numPr>
        <w:shd w:val="clear" w:color="auto" w:fill="FFFFFF"/>
        <w:tabs>
          <w:tab w:val="clear" w:pos="708"/>
          <w:tab w:val="left" w:pos="993" w:leader="none"/>
        </w:tabs>
        <w:ind w:left="0" w:firstLine="709"/>
        <w:jc w:val="both"/>
        <w:rPr/>
      </w:pPr>
      <w:r>
        <w:rPr/>
        <w:t xml:space="preserve">заработную плату, накладные и командировочные расходы, перемещение и размещение персонала Подрядчика; </w:t>
      </w:r>
    </w:p>
    <w:p>
      <w:pPr>
        <w:pStyle w:val="ListParagraph"/>
        <w:numPr>
          <w:ilvl w:val="2"/>
          <w:numId w:val="11"/>
        </w:numPr>
        <w:shd w:val="clear" w:color="auto" w:fill="FFFFFF"/>
        <w:tabs>
          <w:tab w:val="clear" w:pos="708"/>
          <w:tab w:val="left" w:pos="993" w:leader="none"/>
        </w:tabs>
        <w:ind w:left="0" w:firstLine="709"/>
        <w:jc w:val="both"/>
        <w:rPr/>
      </w:pPr>
      <w:r>
        <w:rPr/>
        <w:t xml:space="preserve">подлежащие уплате налоги, сборы и пошлины; </w:t>
      </w:r>
    </w:p>
    <w:p>
      <w:pPr>
        <w:pStyle w:val="ListParagraph"/>
        <w:numPr>
          <w:ilvl w:val="2"/>
          <w:numId w:val="11"/>
        </w:numPr>
        <w:shd w:val="clear" w:color="auto" w:fill="FFFFFF"/>
        <w:tabs>
          <w:tab w:val="clear" w:pos="708"/>
          <w:tab w:val="left" w:pos="993" w:leader="none"/>
        </w:tabs>
        <w:ind w:left="0" w:firstLine="709"/>
        <w:jc w:val="both"/>
        <w:rPr/>
      </w:pPr>
      <w:r>
        <w:rPr/>
        <w:t>все прочие затраты и расходы Подрядчика, связанные выполнением Работ, и исполнением иных обязательств по Договору, а также все непредвиденные расходы, которые могут возникнуть у Подрядчика в течение срока действия Договора.</w:t>
      </w:r>
    </w:p>
    <w:p>
      <w:pPr>
        <w:pStyle w:val="ListParagraph"/>
        <w:numPr>
          <w:ilvl w:val="1"/>
          <w:numId w:val="12"/>
        </w:numPr>
        <w:shd w:val="clear" w:color="auto" w:fill="FFFFFF"/>
        <w:tabs>
          <w:tab w:val="clear" w:pos="708"/>
          <w:tab w:val="left" w:pos="709" w:leader="none"/>
          <w:tab w:val="left" w:pos="851" w:leader="none"/>
        </w:tabs>
        <w:ind w:left="0" w:firstLine="710"/>
        <w:jc w:val="both"/>
        <w:rPr/>
      </w:pPr>
      <w:r>
        <w:rPr>
          <w:bCs/>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российского НДС</w:t>
      </w:r>
      <w:r>
        <w:rPr/>
        <w:t>.</w:t>
      </w:r>
    </w:p>
    <w:p>
      <w:pPr>
        <w:pStyle w:val="ListParagraph"/>
        <w:numPr>
          <w:ilvl w:val="1"/>
          <w:numId w:val="12"/>
        </w:numPr>
        <w:shd w:val="clear" w:color="auto" w:fill="FFFFFF"/>
        <w:tabs>
          <w:tab w:val="clear" w:pos="708"/>
          <w:tab w:val="left" w:pos="709" w:leader="none"/>
          <w:tab w:val="left" w:pos="851" w:leader="none"/>
          <w:tab w:val="left" w:pos="1134" w:leader="none"/>
        </w:tabs>
        <w:ind w:left="0" w:firstLine="709"/>
        <w:jc w:val="both"/>
        <w:rPr/>
      </w:pPr>
      <w:bookmarkStart w:id="9" w:name="_Ref361858588"/>
      <w:bookmarkEnd w:id="9"/>
      <w:r>
        <w:rPr/>
        <w:t>Оплата по Договору осуществляется Заказчиком в следующем порядке:</w:t>
      </w:r>
    </w:p>
    <w:p>
      <w:pPr>
        <w:pStyle w:val="ListParagraph"/>
        <w:numPr>
          <w:ilvl w:val="2"/>
          <w:numId w:val="12"/>
        </w:numPr>
        <w:shd w:val="clear" w:color="auto" w:fill="FFFFFF"/>
        <w:tabs>
          <w:tab w:val="clear" w:pos="708"/>
          <w:tab w:val="left" w:pos="851" w:leader="none"/>
          <w:tab w:val="left" w:pos="1134" w:leader="none"/>
        </w:tabs>
        <w:ind w:left="0" w:firstLine="709"/>
        <w:jc w:val="both"/>
        <w:rPr/>
      </w:pPr>
      <w:r>
        <w:rPr/>
        <w:t xml:space="preserve">Авансовый платеж в размере 10% (десяти процентов) от стоимости Работ (без учета непредвиденных работ и затрат) выплачивается в течение </w:t>
      </w:r>
      <w:r>
        <w:rPr/>
        <w:t>10</w:t>
      </w:r>
      <w:r>
        <w:rPr/>
        <w:t xml:space="preserve"> (</w:t>
      </w:r>
      <w:r>
        <w:rPr/>
        <w:t>десяти</w:t>
      </w:r>
      <w:r>
        <w:rPr/>
        <w:t xml:space="preserve">) календарных дней с даты получением Заказчиком счета, выставленного Подрядчиком, но не ранее, чем за </w:t>
      </w:r>
      <w:r>
        <w:rPr/>
        <w:t>1</w:t>
      </w:r>
      <w:r>
        <w:rPr/>
        <w:t>0 (</w:t>
      </w:r>
      <w:r>
        <w:rPr/>
        <w:t>десяти</w:t>
      </w:r>
      <w:r>
        <w:rPr/>
        <w:t>) календарных дней до даты начала работ.</w:t>
      </w:r>
    </w:p>
    <w:p>
      <w:pPr>
        <w:pStyle w:val="ListParagraph"/>
        <w:shd w:val="clear" w:color="auto" w:fill="FFFFFF"/>
        <w:tabs>
          <w:tab w:val="clear" w:pos="708"/>
          <w:tab w:val="left" w:pos="851" w:leader="none"/>
          <w:tab w:val="left" w:pos="1134" w:leader="none"/>
        </w:tabs>
        <w:ind w:left="0" w:firstLine="709"/>
        <w:jc w:val="both"/>
        <w:rPr/>
      </w:pPr>
      <w:r>
        <w:rPr/>
        <w:t>Последующие платежи в размере 90% (девяноста процентов) от стоимости выполненных работ выплачиваются в течение 20 (двадцати) рабочих дней с даты подписания Сторонами документов, указанных в пункте 4.1. Договора, на основании счета, выставленного Подрядчиком.</w:t>
      </w:r>
    </w:p>
    <w:p>
      <w:pPr>
        <w:pStyle w:val="ListParagraph"/>
        <w:shd w:val="clear" w:color="auto" w:fill="FFFFFF"/>
        <w:tabs>
          <w:tab w:val="clear" w:pos="708"/>
          <w:tab w:val="left" w:pos="851" w:leader="none"/>
          <w:tab w:val="left" w:pos="1134" w:leader="none"/>
        </w:tabs>
        <w:ind w:left="0" w:firstLine="709"/>
        <w:jc w:val="both"/>
        <w:rPr/>
      </w:pPr>
      <w:r>
        <w:rPr/>
        <w:t xml:space="preserve">Авансовый платеж в размере 30% (тридцати процентов) от стоимости материалов выплачивается в течение </w:t>
      </w:r>
      <w:r>
        <w:rPr/>
        <w:t>1</w:t>
      </w:r>
      <w:r>
        <w:rPr/>
        <w:t>0 (тридцати) календарных дней с даты получения Заказчиком счета, выставленного подрядчиком.</w:t>
      </w:r>
    </w:p>
    <w:p>
      <w:pPr>
        <w:pStyle w:val="ListParagraph"/>
        <w:shd w:val="clear" w:color="auto" w:fill="FFFFFF"/>
        <w:tabs>
          <w:tab w:val="clear" w:pos="708"/>
          <w:tab w:val="left" w:pos="851" w:leader="none"/>
          <w:tab w:val="left" w:pos="1134" w:leader="none"/>
        </w:tabs>
        <w:ind w:left="0" w:firstLine="709"/>
        <w:jc w:val="both"/>
        <w:rPr/>
      </w:pPr>
      <w:r>
        <w:rPr/>
        <w:t>Последующие платежи в размере 70% (семидесяти процентов) от стоимости материалов выплачиваются в течение 20 (двадцати) рабочих дней с даты подписания Сторонами документов, указанных в пункте 4.1 Договора, на основании счета, выставленного Подрядчиком.</w:t>
      </w:r>
    </w:p>
    <w:p>
      <w:pPr>
        <w:pStyle w:val="ListParagraph"/>
        <w:numPr>
          <w:ilvl w:val="1"/>
          <w:numId w:val="12"/>
        </w:numPr>
        <w:shd w:val="clear" w:color="auto" w:fill="FFFFFF"/>
        <w:tabs>
          <w:tab w:val="clear" w:pos="708"/>
          <w:tab w:val="left" w:pos="709" w:leader="none"/>
          <w:tab w:val="left" w:pos="851" w:leader="none"/>
          <w:tab w:val="left" w:pos="1134" w:leader="none"/>
        </w:tabs>
        <w:ind w:left="0" w:firstLine="709"/>
        <w:jc w:val="both"/>
        <w:rPr/>
      </w:pPr>
      <w:bookmarkStart w:id="10" w:name="_Ref372549497"/>
      <w:bookmarkStart w:id="11" w:name="_Ref361858588_Копия_1"/>
      <w:bookmarkEnd w:id="11"/>
      <w:r>
        <w:rPr/>
        <w:t>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10"/>
      <w:r>
        <w:rPr/>
        <w:t xml:space="preserve"> </w:t>
      </w:r>
    </w:p>
    <w:p>
      <w:pPr>
        <w:pStyle w:val="ListParagraph"/>
        <w:numPr>
          <w:ilvl w:val="1"/>
          <w:numId w:val="12"/>
        </w:numPr>
        <w:shd w:val="clear" w:color="auto" w:fill="FFFFFF"/>
        <w:tabs>
          <w:tab w:val="clear" w:pos="708"/>
          <w:tab w:val="left" w:pos="1134" w:leader="none"/>
        </w:tabs>
        <w:ind w:left="0" w:firstLine="709"/>
        <w:jc w:val="both"/>
        <w:rPr/>
      </w:pPr>
      <w:r>
        <w:rPr>
          <w:bCs/>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r>
        <w:rPr/>
        <w:t>.</w:t>
      </w:r>
    </w:p>
    <w:p>
      <w:pPr>
        <w:pStyle w:val="ListParagraph"/>
        <w:numPr>
          <w:ilvl w:val="1"/>
          <w:numId w:val="12"/>
        </w:numPr>
        <w:shd w:val="clear" w:color="auto" w:fill="FFFFFF"/>
        <w:tabs>
          <w:tab w:val="clear" w:pos="708"/>
          <w:tab w:val="left" w:pos="1134" w:leader="none"/>
        </w:tabs>
        <w:ind w:left="0" w:firstLine="709"/>
        <w:jc w:val="both"/>
        <w:rPr/>
      </w:pPr>
      <w:r>
        <w:rPr>
          <w:bCs/>
        </w:rPr>
        <w:t>За исключением случая, указанного в пункте 2.3.15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w:t>
      </w:r>
      <w:r>
        <w:rPr/>
        <w:t xml:space="preserve">. </w:t>
      </w:r>
    </w:p>
    <w:p>
      <w:pPr>
        <w:pStyle w:val="ListParagraph"/>
        <w:numPr>
          <w:ilvl w:val="1"/>
          <w:numId w:val="12"/>
        </w:numPr>
        <w:shd w:val="clear" w:color="auto" w:fill="FFFFFF"/>
        <w:tabs>
          <w:tab w:val="clear" w:pos="708"/>
          <w:tab w:val="left" w:pos="1134" w:leader="none"/>
        </w:tabs>
        <w:ind w:left="0" w:firstLine="709"/>
        <w:jc w:val="both"/>
        <w:rPr/>
      </w:pPr>
      <w:r>
        <w:rPr/>
        <w:t xml:space="preserve">Подрядчик обязан представить Заказчику счета-фактуры,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Подрядчиком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Заказчика). В случае непредоставления Подрядчиком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p>
    <w:p>
      <w:pPr>
        <w:pStyle w:val="ListParagraph"/>
        <w:numPr>
          <w:ilvl w:val="1"/>
          <w:numId w:val="12"/>
        </w:numPr>
        <w:shd w:val="clear" w:color="auto" w:fill="FFFFFF"/>
        <w:tabs>
          <w:tab w:val="clear" w:pos="708"/>
          <w:tab w:val="left" w:pos="1134" w:leader="none"/>
        </w:tabs>
        <w:ind w:left="0" w:firstLine="709"/>
        <w:jc w:val="both"/>
        <w:rPr/>
      </w:pPr>
      <w:r>
        <w:rPr/>
        <w:t>Командировочные расходы включаются в стоимость Работ в соответствии с локальным сметным расчетом (Приложение №2 к Договору). Размеры расходов, связанных со служебными командировками, определяются коллективным договором/ или локальным нормативным актом Подрядчика,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Подрядчику по запросу. Оплата командировочных расходов производится заказчиком в порядке, установленном Договором для оплаты стоимости соответствующих Работ.</w:t>
      </w:r>
    </w:p>
    <w:p>
      <w:pPr>
        <w:pStyle w:val="Normal"/>
        <w:shd w:val="clear" w:color="auto" w:fill="FFFFFF"/>
        <w:tabs>
          <w:tab w:val="clear" w:pos="708"/>
          <w:tab w:val="left" w:pos="1134" w:leader="none"/>
        </w:tabs>
        <w:jc w:val="both"/>
        <w:rPr>
          <w:lang w:val="ru-RU"/>
        </w:rPr>
      </w:pPr>
      <w:r>
        <w:rPr>
          <w:lang w:val="ru-RU"/>
        </w:rPr>
        <w:t>Подрядчик обязан представлять по запросу Заказчика копии следующих документов, заверенных Подрядчиком, в том числе: приказ о командировке, проездные билеты, счета на оплату за проживание в гостинице и авансовые отчеты, табель рабочего времени.</w:t>
      </w:r>
    </w:p>
    <w:p>
      <w:pPr>
        <w:pStyle w:val="ListParagraph"/>
        <w:numPr>
          <w:ilvl w:val="1"/>
          <w:numId w:val="12"/>
        </w:numPr>
        <w:shd w:val="clear" w:color="auto" w:fill="FFFFFF"/>
        <w:tabs>
          <w:tab w:val="clear" w:pos="708"/>
          <w:tab w:val="left" w:pos="1276" w:leader="none"/>
        </w:tabs>
        <w:ind w:left="0" w:firstLine="709"/>
        <w:jc w:val="both"/>
        <w:rPr/>
      </w:pPr>
      <w:r>
        <w:rPr/>
        <w:t>Индексация Цены Договора не допускается.</w:t>
      </w:r>
    </w:p>
    <w:p>
      <w:pPr>
        <w:pStyle w:val="ListParagraph"/>
        <w:shd w:val="clear" w:color="auto" w:fill="FFFFFF"/>
        <w:tabs>
          <w:tab w:val="clear" w:pos="708"/>
          <w:tab w:val="left" w:pos="1276" w:leader="none"/>
        </w:tabs>
        <w:ind w:left="709" w:hanging="0"/>
        <w:jc w:val="both"/>
        <w:rPr/>
      </w:pPr>
      <w:r>
        <w:rPr/>
      </w:r>
    </w:p>
    <w:p>
      <w:pPr>
        <w:pStyle w:val="ListParagraph"/>
        <w:numPr>
          <w:ilvl w:val="0"/>
          <w:numId w:val="14"/>
        </w:numPr>
        <w:shd w:val="clear" w:color="auto" w:fill="FFFFFF"/>
        <w:tabs>
          <w:tab w:val="clear" w:pos="708"/>
          <w:tab w:val="left" w:pos="284" w:leader="none"/>
        </w:tabs>
        <w:jc w:val="center"/>
        <w:rPr>
          <w:b/>
          <w:bCs/>
        </w:rPr>
      </w:pPr>
      <w:r>
        <w:rPr>
          <w:b/>
          <w:bCs/>
        </w:rPr>
        <w:t>Порядок сдачи-приемки Работ</w:t>
      </w:r>
    </w:p>
    <w:p>
      <w:pPr>
        <w:pStyle w:val="ListParagraph"/>
        <w:numPr>
          <w:ilvl w:val="1"/>
          <w:numId w:val="14"/>
        </w:numPr>
        <w:shd w:val="clear" w:color="auto" w:fill="FFFFFF"/>
        <w:tabs>
          <w:tab w:val="clear" w:pos="708"/>
          <w:tab w:val="left" w:pos="284" w:leader="none"/>
          <w:tab w:val="left" w:pos="1134" w:leader="none"/>
        </w:tabs>
        <w:ind w:left="0" w:firstLine="709"/>
        <w:jc w:val="both"/>
        <w:rPr/>
      </w:pPr>
      <w:r>
        <w:rPr>
          <w:bCs/>
        </w:rPr>
        <w:t xml:space="preserve">По завершении выполнения Работ по Договору Подрядчик в течение 3 (трех) рабочих дней представляет Заказчику подписанные со своей стороны Акт о приемке выполненных работ (по форме КС-2) (далее по тексту «Акт»), Справку о </w:t>
      </w:r>
      <w:r>
        <w:rPr/>
        <w:t>стоимости выполненных работ и затрат (по форме КС-3) и комплект исполнительной документации в 2 (двух) экземплярах.</w:t>
      </w:r>
    </w:p>
    <w:p>
      <w:pPr>
        <w:pStyle w:val="ListParagraph"/>
        <w:numPr>
          <w:ilvl w:val="1"/>
          <w:numId w:val="14"/>
        </w:numPr>
        <w:shd w:val="clear" w:color="auto" w:fill="FFFFFF"/>
        <w:tabs>
          <w:tab w:val="clear" w:pos="708"/>
          <w:tab w:val="left" w:pos="284" w:leader="none"/>
          <w:tab w:val="left" w:pos="1134" w:leader="none"/>
        </w:tabs>
        <w:ind w:left="0" w:firstLine="709"/>
        <w:jc w:val="both"/>
        <w:rPr/>
      </w:pPr>
      <w:r>
        <w:rPr/>
        <w:t>В течение 15 (пятнадцати) рабочих дней с даты получения полного комплекта документов, указанных в пункте 4.1 Договора, Заказчик подписывает и передает Подрядчику 1 (один) экземпляр каждого указанного акта, либо направляет Подрядчику письменный мотивированный отказ от приемки Работ (далее – «Ведомость замечаний»), в котором отражает недостатки, несоответствия и / или дефекты Работ, а также срок на их устранение</w:t>
      </w:r>
    </w:p>
    <w:p>
      <w:pPr>
        <w:pStyle w:val="ListParagraph"/>
        <w:numPr>
          <w:ilvl w:val="1"/>
          <w:numId w:val="14"/>
        </w:numPr>
        <w:shd w:val="clear" w:color="auto" w:fill="FFFFFF"/>
        <w:tabs>
          <w:tab w:val="clear" w:pos="708"/>
          <w:tab w:val="left" w:pos="568" w:leader="none"/>
          <w:tab w:val="left" w:pos="1134" w:leader="none"/>
        </w:tabs>
        <w:ind w:left="0" w:firstLine="709"/>
        <w:jc w:val="both"/>
        <w:rPr>
          <w:bCs/>
        </w:rPr>
      </w:pPr>
      <w:r>
        <w:rPr>
          <w:bCs/>
        </w:rPr>
        <w:t xml:space="preserve">Устранение указанных недостатков, несоответствий и / или дефектов,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и не исключает ответственности Подрядчика за его нарушение. </w:t>
      </w:r>
    </w:p>
    <w:p>
      <w:pPr>
        <w:pStyle w:val="ListParagraph"/>
        <w:numPr>
          <w:ilvl w:val="1"/>
          <w:numId w:val="14"/>
        </w:numPr>
        <w:shd w:val="clear" w:color="auto" w:fill="FFFFFF"/>
        <w:tabs>
          <w:tab w:val="clear" w:pos="708"/>
          <w:tab w:val="left" w:pos="1134" w:leader="none"/>
        </w:tabs>
        <w:ind w:left="0" w:firstLine="709"/>
        <w:jc w:val="both"/>
        <w:rPr>
          <w:bCs/>
        </w:rPr>
      </w:pPr>
      <w:r>
        <w:rPr>
          <w:bCs/>
        </w:rPr>
        <w:t>Повторная приемка Заказчиком выполненных Работ после устранения недостатков, указанных в Ведомости замечаний, осуществляется в порядке, предусмотренном пунктами 4.1-4.2 Договора.</w:t>
      </w:r>
    </w:p>
    <w:p>
      <w:pPr>
        <w:pStyle w:val="ListParagraph"/>
        <w:numPr>
          <w:ilvl w:val="1"/>
          <w:numId w:val="14"/>
        </w:numPr>
        <w:shd w:val="clear" w:color="auto" w:fill="FFFFFF"/>
        <w:tabs>
          <w:tab w:val="clear" w:pos="708"/>
          <w:tab w:val="left" w:pos="1134" w:leader="none"/>
        </w:tabs>
        <w:ind w:left="0" w:firstLine="709"/>
        <w:jc w:val="both"/>
        <w:rPr>
          <w:bCs/>
        </w:rPr>
      </w:pPr>
      <w:r>
        <w:rPr>
          <w:bCs/>
        </w:rPr>
        <w:t>Если Подрядчик не устранит недостатки, несоответствия и / или дефекты Работ в срок, установленный Заказчиком в соответствии с пунктом 4.3 Договора, Заказчик вправе собственными силами и (или) силами третьих лиц выполнить работы по устранению недостатков, выявленных в ходе приемки результатов Работ, с отнесением на Подрядчика соответствующих расходов. Подрядчик обязан возместить указанные расходы в течение 10 (десяти) рабочих дней с даты получения соответствующего письменного требования Заказчика.</w:t>
      </w:r>
    </w:p>
    <w:p>
      <w:pPr>
        <w:pStyle w:val="ListParagraph"/>
        <w:numPr>
          <w:ilvl w:val="1"/>
          <w:numId w:val="14"/>
        </w:numPr>
        <w:shd w:val="clear" w:color="auto" w:fill="FFFFFF"/>
        <w:tabs>
          <w:tab w:val="clear" w:pos="708"/>
          <w:tab w:val="left" w:pos="1134" w:leader="none"/>
        </w:tabs>
        <w:ind w:left="0" w:firstLine="709"/>
        <w:jc w:val="both"/>
        <w:rPr>
          <w:bCs/>
        </w:rPr>
      </w:pPr>
      <w:r>
        <w:rPr>
          <w:bCs/>
        </w:rPr>
        <w:t>Досрочное исполнение Подрядчиком обязательств по Договору возможно только при условии предварительного письменного согласия Заказчика.</w:t>
      </w:r>
    </w:p>
    <w:p>
      <w:pPr>
        <w:pStyle w:val="Normal"/>
        <w:shd w:val="clear" w:color="auto" w:fill="FFFFFF"/>
        <w:tabs>
          <w:tab w:val="clear" w:pos="708"/>
          <w:tab w:val="left" w:pos="284" w:leader="none"/>
          <w:tab w:val="left" w:pos="1134" w:leader="none"/>
        </w:tabs>
        <w:jc w:val="both"/>
        <w:rPr>
          <w:lang w:val="ru-RU"/>
        </w:rPr>
      </w:pPr>
      <w:r>
        <w:rPr>
          <w:lang w:val="ru-RU"/>
        </w:rPr>
      </w:r>
    </w:p>
    <w:p>
      <w:pPr>
        <w:pStyle w:val="ListParagraph"/>
        <w:numPr>
          <w:ilvl w:val="0"/>
          <w:numId w:val="14"/>
        </w:numPr>
        <w:jc w:val="center"/>
        <w:rPr>
          <w:b/>
        </w:rPr>
      </w:pPr>
      <w:r>
        <w:rPr>
          <w:b/>
        </w:rPr>
        <w:t>Право собственности и переход рисков</w:t>
      </w:r>
    </w:p>
    <w:p>
      <w:pPr>
        <w:pStyle w:val="ListParagraph"/>
        <w:numPr>
          <w:ilvl w:val="1"/>
          <w:numId w:val="16"/>
        </w:numPr>
        <w:shd w:val="clear" w:color="auto" w:fill="FFFFFF"/>
        <w:tabs>
          <w:tab w:val="clear" w:pos="708"/>
          <w:tab w:val="left" w:pos="1418" w:leader="none"/>
        </w:tabs>
        <w:ind w:left="0" w:firstLine="709"/>
        <w:jc w:val="both"/>
        <w:rPr>
          <w:bCs/>
        </w:rPr>
      </w:pPr>
      <w:r>
        <w:rPr>
          <w:bCs/>
        </w:rPr>
        <w:t>Риск случайной гибели или повреждения результата Работ, включая материально-технические ресурсы, поставляемые Подрядчиком, переходит к Заказчику с момента подписания А</w:t>
      </w:r>
      <w:r>
        <w:rPr/>
        <w:t>кта о приеме-сдаче Работ (КС-2)</w:t>
      </w:r>
      <w:r>
        <w:rPr>
          <w:bCs/>
        </w:rPr>
        <w:t xml:space="preserve">. До подписания Сторонами указанного Акта риск случайной гибели или повреждения результата Работ, и материально-технических ресурсов несет Подрядчик. </w:t>
      </w:r>
    </w:p>
    <w:p>
      <w:pPr>
        <w:pStyle w:val="ListParagraph"/>
        <w:numPr>
          <w:ilvl w:val="1"/>
          <w:numId w:val="16"/>
        </w:numPr>
        <w:shd w:val="clear" w:color="auto" w:fill="FFFFFF"/>
        <w:tabs>
          <w:tab w:val="clear" w:pos="708"/>
          <w:tab w:val="left" w:pos="1418" w:leader="none"/>
        </w:tabs>
        <w:ind w:left="0" w:firstLine="709"/>
        <w:jc w:val="both"/>
        <w:rPr>
          <w:bCs/>
        </w:rPr>
      </w:pPr>
      <w:r>
        <w:rPr>
          <w:bCs/>
        </w:rPr>
        <w:t xml:space="preserve">Право собственности на результат Работ, включая материально-технические ресурсы, переходит к Заказчику с момента подписания Акта о приеме-сдаче Работ (КС-2). </w:t>
      </w:r>
    </w:p>
    <w:p>
      <w:pPr>
        <w:pStyle w:val="ListParagraph"/>
        <w:numPr>
          <w:ilvl w:val="1"/>
          <w:numId w:val="16"/>
        </w:numPr>
        <w:shd w:val="clear" w:color="auto" w:fill="FFFFFF"/>
        <w:tabs>
          <w:tab w:val="clear" w:pos="708"/>
          <w:tab w:val="left" w:pos="1418" w:leader="none"/>
        </w:tabs>
        <w:ind w:left="0" w:firstLine="709"/>
        <w:jc w:val="both"/>
        <w:rPr>
          <w:bCs/>
        </w:rPr>
      </w:pPr>
      <w:r>
        <w:rPr>
          <w:bCs/>
        </w:rPr>
        <w:t>Во избежание сомнений, любое одобрение, утверждение, согласование и разрешение Заказчика, кроме приемки Работ в соответствии с п. 4.6 Договора, не освобождает Подрядчика от ответственности за недостатки результата Работ или пропуск сроков, установленных Договором.</w:t>
      </w:r>
    </w:p>
    <w:p>
      <w:pPr>
        <w:pStyle w:val="ListParagraph"/>
        <w:shd w:val="clear" w:color="auto" w:fill="FFFFFF"/>
        <w:tabs>
          <w:tab w:val="clear" w:pos="708"/>
          <w:tab w:val="left" w:pos="284" w:leader="none"/>
        </w:tabs>
        <w:ind w:left="0" w:hanging="0"/>
        <w:rPr>
          <w:b/>
        </w:rPr>
      </w:pPr>
      <w:r>
        <w:rPr>
          <w:b/>
        </w:rPr>
      </w:r>
    </w:p>
    <w:p>
      <w:pPr>
        <w:pStyle w:val="ListParagraph"/>
        <w:numPr>
          <w:ilvl w:val="0"/>
          <w:numId w:val="14"/>
        </w:numPr>
        <w:shd w:val="clear" w:color="auto" w:fill="FFFFFF"/>
        <w:tabs>
          <w:tab w:val="clear" w:pos="708"/>
          <w:tab w:val="left" w:pos="284" w:leader="none"/>
        </w:tabs>
        <w:jc w:val="center"/>
        <w:rPr>
          <w:b/>
        </w:rPr>
      </w:pPr>
      <w:r>
        <w:rPr>
          <w:b/>
        </w:rPr>
        <w:t>Ответственность Сторон</w:t>
      </w:r>
    </w:p>
    <w:p>
      <w:pPr>
        <w:pStyle w:val="ListParagraph"/>
        <w:numPr>
          <w:ilvl w:val="1"/>
          <w:numId w:val="22"/>
        </w:numPr>
        <w:shd w:val="clear" w:color="auto" w:fill="FFFFFF"/>
        <w:tabs>
          <w:tab w:val="clear" w:pos="708"/>
          <w:tab w:val="left" w:pos="1134" w:leader="none"/>
        </w:tabs>
        <w:jc w:val="both"/>
        <w:rPr>
          <w:bCs/>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в Договором прямо не предусмотрено иное. </w:t>
      </w:r>
    </w:p>
    <w:p>
      <w:pPr>
        <w:pStyle w:val="Normal"/>
        <w:numPr>
          <w:ilvl w:val="1"/>
          <w:numId w:val="22"/>
        </w:numPr>
        <w:tabs>
          <w:tab w:val="clear" w:pos="708"/>
          <w:tab w:val="left" w:pos="1134" w:leader="none"/>
        </w:tabs>
        <w:jc w:val="both"/>
        <w:rPr>
          <w:lang w:val="ru-RU"/>
        </w:rPr>
      </w:pPr>
      <w:r>
        <w:rPr>
          <w:bCs/>
          <w:lang w:val="ru-RU"/>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сроков оплаты авансовых платежей Подрядчик имеет право приостановить выполнение Работ по Договору при условии предварительного письменного уведомления Заказчика о таком приостановлении.</w:t>
      </w:r>
    </w:p>
    <w:p>
      <w:pPr>
        <w:pStyle w:val="Normal"/>
        <w:numPr>
          <w:ilvl w:val="1"/>
          <w:numId w:val="22"/>
        </w:numPr>
        <w:tabs>
          <w:tab w:val="clear" w:pos="708"/>
          <w:tab w:val="left" w:pos="1134" w:leader="none"/>
        </w:tabs>
        <w:jc w:val="both"/>
        <w:rPr>
          <w:bCs/>
          <w:lang w:val="ru-RU"/>
        </w:rPr>
      </w:pPr>
      <w:r>
        <w:rPr>
          <w:bCs/>
          <w:lang w:val="ru-RU"/>
        </w:rPr>
        <w:t xml:space="preserve">В случае нарушения Заказчиком сроков оплаты, установленных разделом 3 Договора (за исключением срока оплаты авансовых платежей), Подрядчик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w:t>
      </w:r>
    </w:p>
    <w:p>
      <w:pPr>
        <w:pStyle w:val="Normal"/>
        <w:numPr>
          <w:ilvl w:val="1"/>
          <w:numId w:val="22"/>
        </w:numPr>
        <w:tabs>
          <w:tab w:val="clear" w:pos="708"/>
          <w:tab w:val="left" w:pos="1134" w:leader="none"/>
        </w:tabs>
        <w:jc w:val="both"/>
        <w:rPr>
          <w:bCs/>
          <w:lang w:val="ru-RU"/>
        </w:rPr>
      </w:pPr>
      <w:r>
        <w:rPr>
          <w:bCs/>
          <w:lang w:val="ru-RU"/>
        </w:rPr>
        <w:t>В случае нарушения Подрядчиком обязательств по выполнению Работ, в том числе сроков выполнения Работ, а также в случае несвоевременного устранения выявленных недостатков Результата работ, Заказчик вправе требовать уплаты Подрядчиком штрафной неустойки в размере 0,1 (ноль целых и одна десятая) процента от Цены Договора за каждый день просрочки.</w:t>
      </w:r>
    </w:p>
    <w:p>
      <w:pPr>
        <w:pStyle w:val="ListParagraph"/>
        <w:numPr>
          <w:ilvl w:val="1"/>
          <w:numId w:val="22"/>
        </w:numPr>
        <w:tabs>
          <w:tab w:val="clear" w:pos="708"/>
          <w:tab w:val="left" w:pos="1701" w:leader="none"/>
        </w:tabs>
        <w:rPr/>
      </w:pPr>
      <w:r>
        <w:rPr>
          <w:rFonts w:eastAsia="Calibri"/>
          <w:bCs/>
        </w:rPr>
        <w:t>На сумму подлежащего возврату аванса начисляется штрафная неустойка в размере 0,1 (ноль целых и одна десятая) процента с даты, установленной для возврата аванса</w:t>
      </w:r>
      <w:r>
        <w:rPr/>
        <w:t>.</w:t>
      </w:r>
    </w:p>
    <w:p>
      <w:pPr>
        <w:pStyle w:val="ListParagraph"/>
        <w:numPr>
          <w:ilvl w:val="1"/>
          <w:numId w:val="22"/>
        </w:numPr>
        <w:shd w:val="clear" w:color="auto" w:fill="FFFFFF"/>
        <w:tabs>
          <w:tab w:val="clear" w:pos="708"/>
          <w:tab w:val="left" w:pos="1134" w:leader="none"/>
        </w:tabs>
        <w:jc w:val="both"/>
        <w:rPr>
          <w:bCs/>
        </w:rPr>
      </w:pPr>
      <w:r>
        <w:rPr>
          <w:bCs/>
        </w:rPr>
        <w:t xml:space="preserve">В случае нарушения Подрядчиком или привлеченными им Субподрядчиками требований пропускного и внутриобъектового режима, требований охраны труда, пожарной и промышленной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Подрядчиком штрафа в размерах, установленных Приложением № 2 к Договору. </w:t>
      </w:r>
    </w:p>
    <w:p>
      <w:pPr>
        <w:pStyle w:val="ListParagraph"/>
        <w:numPr>
          <w:ilvl w:val="1"/>
          <w:numId w:val="22"/>
        </w:numPr>
        <w:shd w:val="clear" w:color="auto" w:fill="FFFFFF"/>
        <w:tabs>
          <w:tab w:val="clear" w:pos="708"/>
          <w:tab w:val="left" w:pos="1134" w:leader="none"/>
        </w:tabs>
        <w:jc w:val="both"/>
        <w:rPr/>
      </w:pPr>
      <w:r>
        <w:rPr>
          <w:bCs/>
        </w:rPr>
        <w:t>Если в результате составления и выставления Подрядчиком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 установленных пунктом 3.9 Договора, Заказчик вправе требовать уплаты Подрядчиком штрафа в размере 50 000 (пятидесяти тысяч) рублей за каждый случай нарушения.</w:t>
      </w:r>
    </w:p>
    <w:p>
      <w:pPr>
        <w:pStyle w:val="ListParagraph"/>
        <w:numPr>
          <w:ilvl w:val="1"/>
          <w:numId w:val="22"/>
        </w:numPr>
        <w:shd w:val="clear" w:color="auto" w:fill="FFFFFF"/>
        <w:tabs>
          <w:tab w:val="clear" w:pos="708"/>
          <w:tab w:val="left" w:pos="1134" w:leader="none"/>
        </w:tabs>
        <w:jc w:val="both"/>
        <w:rPr>
          <w:bCs/>
        </w:rPr>
      </w:pPr>
      <w:r>
        <w:rPr>
          <w:bCs/>
        </w:rPr>
        <w:t>Подрядчик несет ответственность перед Заказчиком за причиненный ущерб в размере фактически понесенных и документально подтвержденных расходов, возникших 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p>
    <w:p>
      <w:pPr>
        <w:pStyle w:val="ListParagraph"/>
        <w:numPr>
          <w:ilvl w:val="1"/>
          <w:numId w:val="22"/>
        </w:numPr>
        <w:tabs>
          <w:tab w:val="clear" w:pos="708"/>
          <w:tab w:val="left" w:pos="1701" w:leader="none"/>
        </w:tabs>
        <w:jc w:val="both"/>
        <w:rPr/>
      </w:pPr>
      <w:r>
        <w:rPr>
          <w:rFonts w:eastAsia="Calibri"/>
          <w:bCs/>
        </w:rPr>
        <w:t>Предусмотренная Договором неустойка за неисполнение (ненадлежащее исполнение) Подрядчиком обязательств является штрафной. Убытки подлежат возмещению в полной сумме сверх неустойки.</w:t>
      </w:r>
    </w:p>
    <w:p>
      <w:pPr>
        <w:pStyle w:val="ListParagraph"/>
        <w:numPr>
          <w:ilvl w:val="1"/>
          <w:numId w:val="22"/>
        </w:numPr>
        <w:shd w:val="clear" w:color="auto" w:fill="FFFFFF"/>
        <w:tabs>
          <w:tab w:val="clear" w:pos="708"/>
          <w:tab w:val="left" w:pos="1134" w:leader="none"/>
        </w:tabs>
        <w:jc w:val="both"/>
        <w:rPr/>
      </w:pPr>
      <w:r>
        <w:rPr/>
        <w:t>Ответственность Заказчика за причиненные Подрядчику убытки ограничивается реальным ущербом, но не более Цены Договора.</w:t>
      </w:r>
    </w:p>
    <w:p>
      <w:pPr>
        <w:pStyle w:val="ListParagraph"/>
        <w:numPr>
          <w:ilvl w:val="1"/>
          <w:numId w:val="22"/>
        </w:numPr>
        <w:shd w:val="clear" w:color="auto" w:fill="FFFFFF"/>
        <w:tabs>
          <w:tab w:val="clear" w:pos="708"/>
          <w:tab w:val="left" w:pos="1134" w:leader="none"/>
        </w:tabs>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22"/>
        </w:numPr>
        <w:shd w:val="clear" w:color="auto" w:fill="FFFFFF"/>
        <w:tabs>
          <w:tab w:val="clear" w:pos="708"/>
          <w:tab w:val="left" w:pos="1134" w:leader="none"/>
        </w:tabs>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22"/>
        </w:numPr>
        <w:shd w:val="clear" w:color="auto" w:fill="FFFFFF"/>
        <w:tabs>
          <w:tab w:val="clear" w:pos="708"/>
          <w:tab w:val="left" w:pos="1134" w:leader="none"/>
        </w:tabs>
        <w:jc w:val="both"/>
        <w:rPr>
          <w:bCs/>
        </w:rPr>
      </w:pPr>
      <w:r>
        <w:rPr>
          <w:bCs/>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pPr>
        <w:pStyle w:val="ListParagraph"/>
        <w:numPr>
          <w:ilvl w:val="1"/>
          <w:numId w:val="22"/>
        </w:numPr>
        <w:jc w:val="both"/>
        <w:rPr>
          <w:color w:val="000000"/>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Normal"/>
        <w:shd w:val="clear" w:color="auto" w:fill="FFFFFF"/>
        <w:tabs>
          <w:tab w:val="clear" w:pos="708"/>
          <w:tab w:val="left" w:pos="496" w:leader="none"/>
          <w:tab w:val="left" w:pos="1418" w:leader="none"/>
        </w:tabs>
        <w:jc w:val="both"/>
        <w:rPr>
          <w:lang w:val="ru-RU"/>
        </w:rPr>
      </w:pPr>
      <w:r>
        <w:rPr>
          <w:lang w:val="ru-RU"/>
        </w:rPr>
      </w:r>
    </w:p>
    <w:p>
      <w:pPr>
        <w:pStyle w:val="ListParagraph"/>
        <w:numPr>
          <w:ilvl w:val="0"/>
          <w:numId w:val="17"/>
        </w:numPr>
        <w:shd w:val="clear" w:color="auto" w:fill="FFFFFF"/>
        <w:tabs>
          <w:tab w:val="clear" w:pos="708"/>
          <w:tab w:val="left" w:pos="0" w:leader="none"/>
          <w:tab w:val="left" w:pos="284" w:leader="none"/>
        </w:tabs>
        <w:jc w:val="center"/>
        <w:rPr>
          <w:b/>
          <w:bCs/>
        </w:rPr>
      </w:pPr>
      <w:r>
        <w:rPr>
          <w:b/>
          <w:bCs/>
        </w:rPr>
        <w:t>Гарантия качества Результата Работ</w:t>
      </w:r>
    </w:p>
    <w:p>
      <w:pPr>
        <w:pStyle w:val="ListParagraph"/>
        <w:numPr>
          <w:ilvl w:val="1"/>
          <w:numId w:val="17"/>
        </w:numPr>
        <w:ind w:left="0" w:firstLine="851"/>
        <w:rPr/>
      </w:pPr>
      <w:r>
        <w:rPr>
          <w:bCs/>
        </w:rPr>
        <w:t xml:space="preserve">Гарантийный срок </w:t>
      </w:r>
      <w:r>
        <w:rPr/>
        <w:t xml:space="preserve">на выполненные Работы составляет 24 (двадцать четыре) месяца с даты подписания Сторонами Акта о приемке выполненных работ </w:t>
      </w:r>
      <w:r>
        <w:rPr>
          <w:bCs/>
        </w:rPr>
        <w:t>(по форме КС-2)</w:t>
      </w:r>
      <w:r>
        <w:rPr/>
        <w:t>.</w:t>
      </w:r>
      <w:r>
        <w:rPr>
          <w:bCs/>
        </w:rPr>
        <w:t xml:space="preserve"> Гарантийный срок может быть продлен в соответствии с условиями Договора. </w:t>
      </w:r>
    </w:p>
    <w:p>
      <w:pPr>
        <w:pStyle w:val="ListParagraph"/>
        <w:numPr>
          <w:ilvl w:val="1"/>
          <w:numId w:val="17"/>
        </w:numPr>
        <w:ind w:left="0" w:firstLine="851"/>
        <w:jc w:val="both"/>
        <w:rPr>
          <w:bCs/>
        </w:rPr>
      </w:pPr>
      <w:r>
        <w:rPr>
          <w:bCs/>
        </w:rPr>
        <w:t xml:space="preserve">Гарантийные обязательства Подрядчика наступают с даты подписания Акта КС-2 либо даты прекращения (расторжения) Договора (подписания Сторонами соглашения о расторжении Договора, получения любой из Сторон уведомления об отказе от Договора или иного документа, свидетельствующего о воле Стороны, направленной на расторжение Договора), поскольку прекращение (расторжение) Договора не является основанием для прекращения гарантийных обязательств по выполненным Подрядчиком Работам. </w:t>
      </w:r>
    </w:p>
    <w:p>
      <w:pPr>
        <w:pStyle w:val="ListParagraph"/>
        <w:numPr>
          <w:ilvl w:val="1"/>
          <w:numId w:val="17"/>
        </w:numPr>
        <w:ind w:left="0" w:firstLine="709"/>
        <w:jc w:val="both"/>
        <w:rPr>
          <w:bCs/>
        </w:rPr>
      </w:pPr>
      <w:r>
        <w:rPr>
          <w:bCs/>
        </w:rPr>
        <w:t xml:space="preserve">В течение Гарантийного срока Подрядчик гарантирует соответствие качества результата Работ требованиям технической и иной документации, возможность эксплуатации результата Работ в соответствии с его целевым назначением, а также несет безусловную ответственность за обнаруженные недостатки, несоответствия и / или дефекты Результата Работ, если не докажет, что они явились следствием несоблюдения Заказчиком требований по эксплуатации Результата Работ, прямо предусмотренных в инструкциях и иных документах, переданных Заказчику. </w:t>
      </w:r>
    </w:p>
    <w:p>
      <w:pPr>
        <w:pStyle w:val="ListParagraph"/>
        <w:numPr>
          <w:ilvl w:val="1"/>
          <w:numId w:val="17"/>
        </w:numPr>
        <w:ind w:left="0" w:firstLine="709"/>
        <w:jc w:val="both"/>
        <w:rPr>
          <w:bCs/>
        </w:rPr>
      </w:pPr>
      <w:r>
        <w:rPr>
          <w:bCs/>
        </w:rPr>
        <w:t xml:space="preserve">В случае обнаружения в течение Гарантийного срока недостатков, несоответствий и / или дефектов результата Работ, Заказчик направляет Подрядчику соответствующее письменное уведомление, в котором указывает перечень выявленных недостатков и срок на их устранение. Подрядчик обязан незамедлительно обеспечить прибытие своего представителя, уполномоченного надлежащим образом оформленной доверенностью, для составления Акта о недостатках и согласования порядка и сроков их устранения. </w:t>
      </w:r>
    </w:p>
    <w:p>
      <w:pPr>
        <w:pStyle w:val="ListParagraph"/>
        <w:numPr>
          <w:ilvl w:val="1"/>
          <w:numId w:val="17"/>
        </w:numPr>
        <w:ind w:left="0" w:firstLine="709"/>
        <w:jc w:val="both"/>
        <w:rPr>
          <w:bCs/>
        </w:rPr>
      </w:pPr>
      <w:r>
        <w:rPr>
          <w:bCs/>
        </w:rPr>
        <w:t>Наличие и полный перечень недостатков, несоответствий и / или дефектов Результата Работ, а также разумные сроки их устранения, оформляются Актом о недостатках, составляемым Сторонами, а при отказе или уклонении Подрядчика от составления данного акта – Заказчиком в одностороннем порядке. Подрядчик признается уклонившимся от составления Акта о недостатках в случае не подписания Подрядчиком данного акта в течение 5 (пяти) календарных дней с момента получения письменного уведомления Заказчика об обнаружении недостатков Результата Работ и при отсутствии мотивированных письменных возражений Подрядчика. Составленный Заказчиком в одностороннем порядке Акт о недостатках имеет для Подрядчика юридическую силу и является основанием для привлечения его к ответственности в порядке и размерах, установленных Договором.</w:t>
      </w:r>
    </w:p>
    <w:p>
      <w:pPr>
        <w:pStyle w:val="ListParagraph"/>
        <w:numPr>
          <w:ilvl w:val="1"/>
          <w:numId w:val="17"/>
        </w:numPr>
        <w:ind w:left="0" w:firstLine="709"/>
        <w:jc w:val="both"/>
        <w:rPr>
          <w:bCs/>
        </w:rPr>
      </w:pPr>
      <w:r>
        <w:rPr>
          <w:bCs/>
        </w:rPr>
        <w:t xml:space="preserve">Подрядчик обязан своими силами и за свой счет устранить недостатки, несоответствия и / или дефекты, обнаруженные Заказчиком в течение Гарантийного срока, в срок, указанный в Акте о недостатках, составленном в порядке, установленном п. 7.5 Договора. </w:t>
      </w:r>
    </w:p>
    <w:p>
      <w:pPr>
        <w:pStyle w:val="ListParagraph"/>
        <w:numPr>
          <w:ilvl w:val="1"/>
          <w:numId w:val="17"/>
        </w:numPr>
        <w:ind w:left="0" w:firstLine="709"/>
        <w:jc w:val="both"/>
        <w:rPr>
          <w:bCs/>
        </w:rPr>
      </w:pPr>
      <w:r>
        <w:rPr>
          <w:bCs/>
        </w:rPr>
        <w:t xml:space="preserve">Если Подрядчик не устранит недостатки в установленный срок, Заказчик вправе собственными силами и / или силами третьих лиц выполнить необходимые работы по устранению недостатков Результата Работ, с отнесением на Подрядчика соответствующих расходов. Подрядчик обязан возместить стоимость расходов Заказчика на устранение недостатков, несоответствий и / или дефектов Результата Работ в течение 10 (десяти) рабочих дней с даты получения соответствующего письменного требования Заказчика. </w:t>
      </w:r>
    </w:p>
    <w:p>
      <w:pPr>
        <w:pStyle w:val="ListParagraph"/>
        <w:numPr>
          <w:ilvl w:val="1"/>
          <w:numId w:val="17"/>
        </w:numPr>
        <w:ind w:left="0" w:firstLine="709"/>
        <w:jc w:val="both"/>
        <w:rPr>
          <w:bCs/>
        </w:rPr>
      </w:pPr>
      <w:r>
        <w:rPr>
          <w:bCs/>
        </w:rPr>
        <w:t>Гарантийный срок на Результат Работ увеличивается на тот период времени, в течение которого Заказчик не мог эксплуатировать Результат Работ в целом или его часть вследствие указанных в настоящем разделе недостатков. Гарантийный срок на замененную или отремонтированную составную часть Результата Работ устанавливается продолжительностью, указанной в п. 7.1 Договора, и начинает исчисляться заново с даты приемки Заказчиком работ по устранению недостатков.</w:t>
      </w:r>
    </w:p>
    <w:p>
      <w:pPr>
        <w:pStyle w:val="ListParagraph"/>
        <w:numPr>
          <w:ilvl w:val="1"/>
          <w:numId w:val="17"/>
        </w:numPr>
        <w:ind w:left="0" w:firstLine="709"/>
        <w:jc w:val="both"/>
        <w:rPr>
          <w:bCs/>
        </w:rPr>
      </w:pPr>
      <w:r>
        <w:rPr>
          <w:bCs/>
        </w:rPr>
        <w:t xml:space="preserve">Устранение недостатков, несоответствий и / или дефектов Результата Работ, в том числе в рамках срока, установленного в соответствии с п. 7.5 Договора, не освобождает Подрядчика от обязанности возмещения убытков, причиненных Заказчику вследствие наличия таких недостатков. </w:t>
      </w:r>
    </w:p>
    <w:p>
      <w:pPr>
        <w:pStyle w:val="ListParagraph"/>
        <w:numPr>
          <w:ilvl w:val="0"/>
          <w:numId w:val="17"/>
        </w:numPr>
        <w:shd w:val="clear" w:color="auto" w:fill="FFFFFF"/>
        <w:tabs>
          <w:tab w:val="clear" w:pos="708"/>
          <w:tab w:val="left" w:pos="0" w:leader="none"/>
          <w:tab w:val="left" w:pos="284" w:leader="none"/>
        </w:tabs>
        <w:jc w:val="center"/>
        <w:rPr>
          <w:b/>
          <w:bCs/>
        </w:rPr>
      </w:pPr>
      <w:r>
        <w:rPr>
          <w:b/>
          <w:bCs/>
        </w:rPr>
        <w:t>Конфиденциальность</w:t>
      </w:r>
    </w:p>
    <w:p>
      <w:pPr>
        <w:pStyle w:val="ListParagraph"/>
        <w:numPr>
          <w:ilvl w:val="1"/>
          <w:numId w:val="19"/>
        </w:numPr>
        <w:shd w:val="clear" w:color="auto" w:fill="FFFFFF"/>
        <w:tabs>
          <w:tab w:val="clear" w:pos="708"/>
          <w:tab w:val="left" w:pos="1418" w:leader="none"/>
        </w:tabs>
        <w:ind w:left="0" w:firstLine="709"/>
        <w:jc w:val="both"/>
        <w:rPr>
          <w:bCs/>
        </w:rPr>
      </w:pPr>
      <w:r>
        <w:rPr>
          <w:bCs/>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место производство Работ,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ListParagraph"/>
        <w:numPr>
          <w:ilvl w:val="3"/>
          <w:numId w:val="18"/>
        </w:numPr>
        <w:shd w:val="clear" w:color="auto" w:fill="FFFFFF"/>
        <w:tabs>
          <w:tab w:val="clear" w:pos="708"/>
          <w:tab w:val="left" w:pos="567" w:leader="none"/>
          <w:tab w:val="left" w:pos="1134" w:leader="none"/>
        </w:tabs>
        <w:ind w:left="0" w:firstLine="709"/>
        <w:jc w:val="both"/>
        <w:rPr>
          <w:bCs/>
        </w:rPr>
      </w:pPr>
      <w:r>
        <w:rPr>
          <w:bCs/>
        </w:rPr>
        <w:t xml:space="preserve"> </w:t>
      </w:r>
      <w:r>
        <w:rPr>
          <w:bCs/>
        </w:rPr>
        <w:t>данная Информация имеет действительную или потенциальную коммерческую ценность для Заказчика в силу неизвестности ее третьим лицам;</w:t>
      </w:r>
    </w:p>
    <w:p>
      <w:pPr>
        <w:pStyle w:val="ListParagraph"/>
        <w:numPr>
          <w:ilvl w:val="3"/>
          <w:numId w:val="18"/>
        </w:numPr>
        <w:shd w:val="clear" w:color="auto" w:fill="FFFFFF"/>
        <w:tabs>
          <w:tab w:val="clear" w:pos="708"/>
          <w:tab w:val="left" w:pos="567" w:leader="none"/>
          <w:tab w:val="left" w:pos="1134" w:leader="none"/>
        </w:tabs>
        <w:ind w:left="0" w:firstLine="709"/>
        <w:jc w:val="both"/>
        <w:rPr>
          <w:bCs/>
        </w:rPr>
      </w:pPr>
      <w:r>
        <w:rPr>
          <w:bCs/>
        </w:rPr>
        <w:t xml:space="preserve"> </w:t>
      </w:r>
      <w:r>
        <w:rPr>
          <w:bCs/>
        </w:rPr>
        <w:t xml:space="preserve">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 </w:t>
      </w:r>
    </w:p>
    <w:p>
      <w:pPr>
        <w:pStyle w:val="ListParagraph"/>
        <w:numPr>
          <w:ilvl w:val="1"/>
          <w:numId w:val="19"/>
        </w:numPr>
        <w:shd w:val="clear" w:color="auto" w:fill="FFFFFF"/>
        <w:tabs>
          <w:tab w:val="clear" w:pos="708"/>
          <w:tab w:val="left" w:pos="1418" w:leader="none"/>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19"/>
        </w:numPr>
        <w:shd w:val="clear" w:color="auto" w:fill="FFFFFF"/>
        <w:tabs>
          <w:tab w:val="clear" w:pos="708"/>
          <w:tab w:val="left" w:pos="1418" w:leader="none"/>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9"/>
        </w:numPr>
        <w:shd w:val="clear" w:color="auto" w:fill="FFFFFF"/>
        <w:tabs>
          <w:tab w:val="clear" w:pos="708"/>
          <w:tab w:val="left" w:pos="1418" w:leader="none"/>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9"/>
        </w:numPr>
        <w:shd w:val="clear" w:color="auto" w:fill="FFFFFF"/>
        <w:tabs>
          <w:tab w:val="clear" w:pos="708"/>
          <w:tab w:val="left" w:pos="1418" w:leader="none"/>
        </w:tabs>
        <w:ind w:left="0" w:firstLine="709"/>
        <w:jc w:val="both"/>
        <w:rPr>
          <w:bCs/>
        </w:rPr>
      </w:pPr>
      <w:r>
        <w:rPr>
          <w:bCs/>
        </w:rPr>
        <w:t>Информация, подлежащая сохранению в тайне и неразглашению, может включать в себя, без ограничения приведенным перечнем:</w:t>
      </w:r>
    </w:p>
    <w:p>
      <w:pPr>
        <w:pStyle w:val="ListParagraph"/>
        <w:numPr>
          <w:ilvl w:val="3"/>
          <w:numId w:val="18"/>
        </w:numPr>
        <w:shd w:val="clear" w:color="auto" w:fill="FFFFFF"/>
        <w:tabs>
          <w:tab w:val="clear" w:pos="708"/>
          <w:tab w:val="left" w:pos="567" w:leader="none"/>
          <w:tab w:val="left" w:pos="1134" w:leader="none"/>
        </w:tabs>
        <w:ind w:left="0" w:firstLine="709"/>
        <w:jc w:val="both"/>
        <w:rPr>
          <w:bCs/>
        </w:rPr>
      </w:pPr>
      <w:r>
        <w:rPr>
          <w:bCs/>
        </w:rPr>
        <w:t xml:space="preserve"> </w:t>
      </w:r>
      <w:r>
        <w:rPr>
          <w:bCs/>
        </w:rPr>
        <w:t>финансовую отчетность;</w:t>
      </w:r>
    </w:p>
    <w:p>
      <w:pPr>
        <w:pStyle w:val="ListParagraph"/>
        <w:numPr>
          <w:ilvl w:val="3"/>
          <w:numId w:val="18"/>
        </w:numPr>
        <w:shd w:val="clear" w:color="auto" w:fill="FFFFFF"/>
        <w:tabs>
          <w:tab w:val="clear" w:pos="708"/>
          <w:tab w:val="left" w:pos="567" w:leader="none"/>
          <w:tab w:val="left" w:pos="1134" w:leader="none"/>
        </w:tabs>
        <w:ind w:left="0" w:firstLine="709"/>
        <w:jc w:val="both"/>
        <w:rPr>
          <w:bCs/>
        </w:rPr>
      </w:pPr>
      <w:r>
        <w:rPr>
          <w:bCs/>
        </w:rPr>
        <w:t xml:space="preserve"> </w:t>
      </w:r>
      <w:r>
        <w:rPr>
          <w:bCs/>
        </w:rPr>
        <w:t>учетные регистры бухгалтерского учета;</w:t>
      </w:r>
    </w:p>
    <w:p>
      <w:pPr>
        <w:pStyle w:val="ListParagraph"/>
        <w:numPr>
          <w:ilvl w:val="3"/>
          <w:numId w:val="18"/>
        </w:numPr>
        <w:shd w:val="clear" w:color="auto" w:fill="FFFFFF"/>
        <w:tabs>
          <w:tab w:val="clear" w:pos="708"/>
          <w:tab w:val="left" w:pos="567" w:leader="none"/>
          <w:tab w:val="left" w:pos="1134" w:leader="none"/>
        </w:tabs>
        <w:ind w:left="0" w:firstLine="709"/>
        <w:jc w:val="both"/>
        <w:rPr>
          <w:bCs/>
        </w:rPr>
      </w:pPr>
      <w:r>
        <w:rPr>
          <w:bCs/>
        </w:rPr>
        <w:t xml:space="preserve"> </w:t>
      </w:r>
      <w:r>
        <w:rPr>
          <w:bCs/>
        </w:rPr>
        <w:t xml:space="preserve">бизнес-планы;  </w:t>
      </w:r>
    </w:p>
    <w:p>
      <w:pPr>
        <w:pStyle w:val="ListParagraph"/>
        <w:numPr>
          <w:ilvl w:val="3"/>
          <w:numId w:val="18"/>
        </w:numPr>
        <w:shd w:val="clear" w:color="auto" w:fill="FFFFFF"/>
        <w:tabs>
          <w:tab w:val="clear" w:pos="708"/>
          <w:tab w:val="left" w:pos="567" w:leader="none"/>
          <w:tab w:val="left" w:pos="1134" w:leader="none"/>
        </w:tabs>
        <w:ind w:left="0" w:firstLine="709"/>
        <w:jc w:val="both"/>
        <w:rPr>
          <w:bCs/>
        </w:rPr>
      </w:pPr>
      <w:r>
        <w:rPr>
          <w:bCs/>
        </w:rPr>
        <w:t xml:space="preserve"> </w:t>
      </w:r>
      <w:r>
        <w:rPr>
          <w:bCs/>
        </w:rPr>
        <w:t>договоры и соглашения, заключаемые или заключенные непосредственно Заказчиком либо в его пользу, а также информацию и сведения, содержащиеся в данных договорах и соглашениях;</w:t>
      </w:r>
    </w:p>
    <w:p>
      <w:pPr>
        <w:pStyle w:val="ListParagraph"/>
        <w:numPr>
          <w:ilvl w:val="3"/>
          <w:numId w:val="18"/>
        </w:numPr>
        <w:shd w:val="clear" w:color="auto" w:fill="FFFFFF"/>
        <w:tabs>
          <w:tab w:val="clear" w:pos="708"/>
          <w:tab w:val="left" w:pos="567" w:leader="none"/>
          <w:tab w:val="left" w:pos="1134" w:leader="none"/>
        </w:tabs>
        <w:ind w:left="0" w:firstLine="709"/>
        <w:jc w:val="both"/>
        <w:rPr>
          <w:bCs/>
        </w:rPr>
      </w:pPr>
      <w:r>
        <w:rPr>
          <w:bCs/>
        </w:rPr>
        <w:t xml:space="preserve"> </w:t>
      </w:r>
      <w:r>
        <w:rPr>
          <w:bCs/>
        </w:rPr>
        <w:t>сведения о финансовых, правовых, организационных и других взаимоотношениях между Заказчиком и его аффилированными лицами или контрагентами;</w:t>
      </w:r>
    </w:p>
    <w:p>
      <w:pPr>
        <w:pStyle w:val="ListParagraph"/>
        <w:numPr>
          <w:ilvl w:val="3"/>
          <w:numId w:val="18"/>
        </w:numPr>
        <w:shd w:val="clear" w:color="auto" w:fill="FFFFFF"/>
        <w:tabs>
          <w:tab w:val="clear" w:pos="708"/>
          <w:tab w:val="left" w:pos="567" w:leader="none"/>
          <w:tab w:val="left" w:pos="1134" w:leader="none"/>
        </w:tabs>
        <w:ind w:left="0" w:firstLine="709"/>
        <w:jc w:val="both"/>
        <w:rPr>
          <w:bCs/>
        </w:rPr>
      </w:pPr>
      <w:r>
        <w:rPr>
          <w:bCs/>
        </w:rPr>
        <w:t xml:space="preserve"> </w:t>
      </w:r>
      <w:r>
        <w:rPr>
          <w:bCs/>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ListParagraph"/>
        <w:numPr>
          <w:ilvl w:val="3"/>
          <w:numId w:val="18"/>
        </w:numPr>
        <w:shd w:val="clear" w:color="auto" w:fill="FFFFFF"/>
        <w:tabs>
          <w:tab w:val="clear" w:pos="708"/>
          <w:tab w:val="left" w:pos="567" w:leader="none"/>
          <w:tab w:val="left" w:pos="1134" w:leader="none"/>
        </w:tabs>
        <w:ind w:left="0" w:firstLine="709"/>
        <w:jc w:val="both"/>
        <w:rPr>
          <w:bCs/>
        </w:rPr>
      </w:pPr>
      <w:r>
        <w:rPr>
          <w:bCs/>
        </w:rPr>
        <w:t xml:space="preserve"> </w:t>
      </w:r>
      <w:r>
        <w:rPr>
          <w:bCs/>
        </w:rPr>
        <w:t>сведения о подрядчиках, поставщиках оборудования, сырья и материалов, а также сведения о покупателях продукции и их аффилированных лицах;</w:t>
      </w:r>
    </w:p>
    <w:p>
      <w:pPr>
        <w:pStyle w:val="ListParagraph"/>
        <w:numPr>
          <w:ilvl w:val="3"/>
          <w:numId w:val="18"/>
        </w:numPr>
        <w:shd w:val="clear" w:color="auto" w:fill="FFFFFF"/>
        <w:tabs>
          <w:tab w:val="clear" w:pos="708"/>
          <w:tab w:val="left" w:pos="567" w:leader="none"/>
          <w:tab w:val="left" w:pos="1134" w:leader="none"/>
        </w:tabs>
        <w:ind w:left="0" w:firstLine="709"/>
        <w:jc w:val="both"/>
        <w:rPr>
          <w:bCs/>
        </w:rPr>
      </w:pPr>
      <w:r>
        <w:rPr>
          <w:bCs/>
        </w:rPr>
        <w:t xml:space="preserve"> </w:t>
      </w:r>
      <w:r>
        <w:rPr>
          <w:bCs/>
        </w:rPr>
        <w:t>сведения об объемах производства и/или реализации продукции и услуг Заказчика или его аффилированных лиц;</w:t>
      </w:r>
    </w:p>
    <w:p>
      <w:pPr>
        <w:pStyle w:val="ListParagraph"/>
        <w:numPr>
          <w:ilvl w:val="3"/>
          <w:numId w:val="18"/>
        </w:numPr>
        <w:shd w:val="clear" w:color="auto" w:fill="FFFFFF"/>
        <w:tabs>
          <w:tab w:val="clear" w:pos="708"/>
          <w:tab w:val="left" w:pos="567" w:leader="none"/>
          <w:tab w:val="left" w:pos="1134" w:leader="none"/>
        </w:tabs>
        <w:ind w:left="0" w:firstLine="709"/>
        <w:jc w:val="both"/>
        <w:rPr>
          <w:bCs/>
        </w:rPr>
      </w:pPr>
      <w:r>
        <w:rPr>
          <w:bCs/>
        </w:rPr>
        <w:t xml:space="preserve"> </w:t>
      </w:r>
      <w:r>
        <w:rPr>
          <w:bCs/>
        </w:rPr>
        <w:t>материалы обобщения, анализа, оценки, иных действий по обработке вышеуказанной Информации и документов.</w:t>
      </w:r>
    </w:p>
    <w:p>
      <w:pPr>
        <w:pStyle w:val="ListParagraph"/>
        <w:numPr>
          <w:ilvl w:val="1"/>
          <w:numId w:val="19"/>
        </w:numPr>
        <w:shd w:val="clear" w:color="auto" w:fill="FFFFFF"/>
        <w:tabs>
          <w:tab w:val="clear" w:pos="708"/>
          <w:tab w:val="left" w:pos="1418" w:leader="none"/>
        </w:tabs>
        <w:ind w:left="0" w:firstLine="709"/>
        <w:jc w:val="both"/>
        <w:rPr>
          <w:bCs/>
        </w:rPr>
      </w:pPr>
      <w:r>
        <w:rPr>
          <w:bCs/>
        </w:rPr>
        <w:t xml:space="preserve">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ListParagraph"/>
        <w:shd w:val="clear" w:color="auto" w:fill="FFFFFF"/>
        <w:tabs>
          <w:tab w:val="clear" w:pos="708"/>
          <w:tab w:val="left" w:pos="1276" w:leader="none"/>
          <w:tab w:val="left" w:pos="1418" w:leader="none"/>
        </w:tabs>
        <w:ind w:left="0" w:firstLine="709"/>
        <w:jc w:val="both"/>
        <w:rPr>
          <w:bCs/>
        </w:rPr>
      </w:pPr>
      <w:r>
        <w:rPr>
          <w:bCs/>
        </w:rPr>
        <w:t>8.6.1.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если иное не предусмотрено законодательством Российской Федерации и п. 8.6.7 Договора;</w:t>
      </w:r>
    </w:p>
    <w:p>
      <w:pPr>
        <w:pStyle w:val="ListParagraph"/>
        <w:shd w:val="clear" w:color="auto" w:fill="FFFFFF"/>
        <w:tabs>
          <w:tab w:val="clear" w:pos="708"/>
          <w:tab w:val="left" w:pos="1276" w:leader="none"/>
          <w:tab w:val="left" w:pos="1418" w:leader="none"/>
        </w:tabs>
        <w:ind w:left="0" w:firstLine="709"/>
        <w:jc w:val="both"/>
        <w:rPr>
          <w:bCs/>
        </w:rPr>
      </w:pPr>
      <w:r>
        <w:rPr>
          <w:bCs/>
        </w:rPr>
        <w:t>8.6.2. принимать меры предосторожности, обычно используемые для защиты такого рода информации в деловом обороте, однако, если в организации Подрядчика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Подрядчик обязан использовать в отношении защиты Информации, обычно используемые им меры защиты;</w:t>
      </w:r>
    </w:p>
    <w:p>
      <w:pPr>
        <w:pStyle w:val="ListParagraph"/>
        <w:shd w:val="clear" w:color="auto" w:fill="FFFFFF"/>
        <w:tabs>
          <w:tab w:val="clear" w:pos="708"/>
          <w:tab w:val="left" w:pos="1276" w:leader="none"/>
          <w:tab w:val="left" w:pos="1418" w:leader="none"/>
        </w:tabs>
        <w:ind w:left="0" w:firstLine="709"/>
        <w:jc w:val="both"/>
        <w:rPr>
          <w:bCs/>
        </w:rPr>
      </w:pPr>
      <w:r>
        <w:rPr>
          <w:bCs/>
        </w:rPr>
        <w:t xml:space="preserve">8.6.3. использовать Информацию исключительно для целей, для которых она был предоставлена; </w:t>
      </w:r>
    </w:p>
    <w:p>
      <w:pPr>
        <w:pStyle w:val="ListParagraph"/>
        <w:shd w:val="clear" w:color="auto" w:fill="FFFFFF"/>
        <w:tabs>
          <w:tab w:val="clear" w:pos="708"/>
          <w:tab w:val="left" w:pos="1276" w:leader="none"/>
          <w:tab w:val="left" w:pos="1418" w:leader="none"/>
        </w:tabs>
        <w:ind w:left="0" w:firstLine="709"/>
        <w:jc w:val="both"/>
        <w:rPr>
          <w:bCs/>
        </w:rPr>
      </w:pPr>
      <w:r>
        <w:rPr>
          <w:bCs/>
        </w:rPr>
        <w:t xml:space="preserve">8.6.4. не осуществлять действий (бездействия), результатом которых может быть несанкционированное раскрытие Информации третьим лицам; </w:t>
      </w:r>
    </w:p>
    <w:p>
      <w:pPr>
        <w:pStyle w:val="ListParagraph"/>
        <w:shd w:val="clear" w:color="auto" w:fill="FFFFFF"/>
        <w:tabs>
          <w:tab w:val="clear" w:pos="708"/>
          <w:tab w:val="left" w:pos="1276" w:leader="none"/>
          <w:tab w:val="left" w:pos="1418" w:leader="none"/>
        </w:tabs>
        <w:ind w:left="0" w:firstLine="709"/>
        <w:jc w:val="both"/>
        <w:rPr>
          <w:bCs/>
        </w:rPr>
      </w:pPr>
      <w:r>
        <w:rPr>
          <w:bCs/>
        </w:rPr>
        <w:t>8.6.5.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несанкционированного раскрытия;</w:t>
      </w:r>
    </w:p>
    <w:p>
      <w:pPr>
        <w:pStyle w:val="ListParagraph"/>
        <w:shd w:val="clear" w:color="auto" w:fill="FFFFFF"/>
        <w:tabs>
          <w:tab w:val="clear" w:pos="708"/>
          <w:tab w:val="left" w:pos="1276" w:leader="none"/>
          <w:tab w:val="left" w:pos="1418" w:leader="none"/>
        </w:tabs>
        <w:ind w:left="0" w:firstLine="709"/>
        <w:jc w:val="both"/>
        <w:rPr>
          <w:bCs/>
        </w:rPr>
      </w:pPr>
      <w:r>
        <w:rPr>
          <w:bCs/>
        </w:rPr>
        <w:t xml:space="preserve">8.6.6. 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shd w:val="clear" w:color="auto" w:fill="FFFFFF"/>
        <w:tabs>
          <w:tab w:val="clear" w:pos="708"/>
          <w:tab w:val="left" w:pos="1276" w:leader="none"/>
          <w:tab w:val="left" w:pos="1418" w:leader="none"/>
        </w:tabs>
        <w:ind w:left="0" w:firstLine="709"/>
        <w:jc w:val="both"/>
        <w:rPr>
          <w:bCs/>
        </w:rPr>
      </w:pPr>
      <w:r>
        <w:rPr>
          <w:bCs/>
        </w:rPr>
        <w:t>8.6.7. 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ListParagraph"/>
        <w:shd w:val="clear" w:color="auto" w:fill="FFFFFF"/>
        <w:tabs>
          <w:tab w:val="clear" w:pos="708"/>
          <w:tab w:val="left" w:pos="1276" w:leader="none"/>
          <w:tab w:val="left" w:pos="1418" w:leader="none"/>
        </w:tabs>
        <w:ind w:left="0" w:firstLine="709"/>
        <w:jc w:val="both"/>
        <w:rPr>
          <w:bCs/>
        </w:rPr>
      </w:pPr>
      <w:r>
        <w:rPr>
          <w:bCs/>
        </w:rPr>
        <w:t>8.6.8. не разглашать третьим лицам факта передачи или получения Информации.</w:t>
      </w:r>
    </w:p>
    <w:p>
      <w:pPr>
        <w:pStyle w:val="ListParagraph"/>
        <w:numPr>
          <w:ilvl w:val="1"/>
          <w:numId w:val="19"/>
        </w:numPr>
        <w:shd w:val="clear" w:color="auto" w:fill="FFFFFF"/>
        <w:tabs>
          <w:tab w:val="clear" w:pos="708"/>
          <w:tab w:val="left" w:pos="1418" w:leader="none"/>
        </w:tabs>
        <w:ind w:left="0" w:firstLine="709"/>
        <w:jc w:val="both"/>
        <w:rPr>
          <w:bCs/>
        </w:rPr>
      </w:pPr>
      <w:r>
        <w:rPr>
          <w:bCs/>
        </w:rPr>
        <w:t>Подрядчик, нарушивший условия настоящего раздела Договора, возмещает Заказчику все понесенные расходы и убытки, вызванные таким нарушением, в течение 10 (десяти) дней с даты получения соответствующего требования.</w:t>
      </w:r>
    </w:p>
    <w:p>
      <w:pPr>
        <w:pStyle w:val="ListParagraph"/>
        <w:numPr>
          <w:ilvl w:val="1"/>
          <w:numId w:val="19"/>
        </w:numPr>
        <w:shd w:val="clear" w:color="auto" w:fill="FFFFFF"/>
        <w:tabs>
          <w:tab w:val="clear" w:pos="708"/>
          <w:tab w:val="left" w:pos="1418" w:leader="none"/>
        </w:tabs>
        <w:ind w:left="0" w:firstLine="709"/>
        <w:jc w:val="both"/>
        <w:rPr>
          <w:bCs/>
        </w:rPr>
      </w:pPr>
      <w:r>
        <w:rPr>
          <w:bCs/>
        </w:rPr>
        <w:t xml:space="preserve">Подрядчик обязуется в договорах с субподрядчиками обеспечить повторение условий Договора в части соблюдения режима конфиденциальности. </w:t>
      </w:r>
    </w:p>
    <w:p>
      <w:pPr>
        <w:pStyle w:val="ListParagraph"/>
        <w:numPr>
          <w:ilvl w:val="1"/>
          <w:numId w:val="19"/>
        </w:numPr>
        <w:shd w:val="clear" w:color="auto" w:fill="FFFFFF"/>
        <w:tabs>
          <w:tab w:val="clear" w:pos="708"/>
          <w:tab w:val="left" w:pos="1418" w:leader="none"/>
        </w:tabs>
        <w:ind w:left="0" w:firstLine="709"/>
        <w:jc w:val="both"/>
        <w:rPr>
          <w:bCs/>
        </w:rPr>
      </w:pPr>
      <w:r>
        <w:rPr>
          <w:bCs/>
        </w:rPr>
        <w:t>Условия защиты конфиденциальной информации, представляемой Подрядчиком Заказчику, могут быть урегулированы отдельно заключаемым Сторонами соглашением.</w:t>
      </w:r>
    </w:p>
    <w:p>
      <w:pPr>
        <w:pStyle w:val="ListParagraph"/>
        <w:shd w:val="clear" w:color="auto" w:fill="FFFFFF"/>
        <w:tabs>
          <w:tab w:val="clear" w:pos="708"/>
          <w:tab w:val="left" w:pos="1418" w:leader="none"/>
        </w:tabs>
        <w:ind w:left="709" w:hanging="0"/>
        <w:jc w:val="both"/>
        <w:rPr>
          <w:bCs/>
        </w:rPr>
      </w:pPr>
      <w:r>
        <w:rPr>
          <w:bCs/>
        </w:rPr>
      </w:r>
    </w:p>
    <w:p>
      <w:pPr>
        <w:pStyle w:val="ListParagraph"/>
        <w:shd w:val="clear" w:color="auto" w:fill="FFFFFF"/>
        <w:tabs>
          <w:tab w:val="clear" w:pos="708"/>
          <w:tab w:val="left" w:pos="284" w:leader="none"/>
        </w:tabs>
        <w:ind w:left="0" w:hanging="0"/>
        <w:rPr>
          <w:b/>
          <w:bCs/>
        </w:rPr>
      </w:pPr>
      <w:r>
        <w:rPr>
          <w:b/>
          <w:bCs/>
        </w:rPr>
      </w:r>
    </w:p>
    <w:p>
      <w:pPr>
        <w:pStyle w:val="ListParagraph"/>
        <w:numPr>
          <w:ilvl w:val="0"/>
          <w:numId w:val="17"/>
        </w:numPr>
        <w:shd w:val="clear" w:color="auto" w:fill="FFFFFF"/>
        <w:tabs>
          <w:tab w:val="clear" w:pos="708"/>
          <w:tab w:val="left" w:pos="284" w:leader="none"/>
          <w:tab w:val="left" w:pos="426" w:leader="none"/>
        </w:tabs>
        <w:ind w:left="0" w:hanging="0"/>
        <w:jc w:val="center"/>
        <w:rPr>
          <w:b/>
          <w:bCs/>
        </w:rPr>
      </w:pPr>
      <w:r>
        <w:rPr>
          <w:b/>
          <w:bCs/>
        </w:rPr>
        <w:t>Исключительные права и патенты</w:t>
      </w:r>
    </w:p>
    <w:p>
      <w:pPr>
        <w:pStyle w:val="ListParagraph"/>
        <w:numPr>
          <w:ilvl w:val="1"/>
          <w:numId w:val="20"/>
        </w:numPr>
        <w:shd w:val="clear" w:color="auto" w:fill="FFFFFF"/>
        <w:tabs>
          <w:tab w:val="clear" w:pos="708"/>
          <w:tab w:val="left" w:pos="1418" w:leader="none"/>
        </w:tabs>
        <w:ind w:left="0" w:firstLine="709"/>
        <w:jc w:val="both"/>
        <w:rPr>
          <w:bCs/>
        </w:rPr>
      </w:pPr>
      <w:r>
        <w:rPr>
          <w:bCs/>
        </w:rPr>
        <w:t>Подрядчик гарантирует, что выполнение Работ, предусмотренных Договором, а также передача Заказчику Результата Работ не нарушит исключительных и иных интеллектуальных прав третьих лиц</w:t>
      </w:r>
      <w:r>
        <w:rP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20"/>
        </w:numPr>
        <w:shd w:val="clear" w:color="auto" w:fill="FFFFFF"/>
        <w:tabs>
          <w:tab w:val="clear" w:pos="708"/>
          <w:tab w:val="left" w:pos="1276" w:leader="none"/>
        </w:tabs>
        <w:ind w:left="0" w:firstLine="709"/>
        <w:jc w:val="both"/>
        <w:rPr>
          <w:bCs/>
        </w:rPr>
      </w:pPr>
      <w:r>
        <w:rPr>
          <w:bCs/>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20"/>
        </w:numPr>
        <w:shd w:val="clear" w:color="auto" w:fill="FFFFFF"/>
        <w:tabs>
          <w:tab w:val="clear" w:pos="708"/>
          <w:tab w:val="left" w:pos="1418" w:leader="none"/>
        </w:tabs>
        <w:ind w:left="0" w:firstLine="709"/>
        <w:jc w:val="both"/>
        <w:rPr>
          <w:bCs/>
        </w:rPr>
      </w:pPr>
      <w:r>
        <w:rPr>
          <w:bCs/>
        </w:rPr>
        <w:t xml:space="preserve">В состав Результата Работ по Договору считаются включенными все разрешения (лицензии), необходимые для эксплуатации Заказчиком Результата Работ в течение всего установленного срока эксплуатации, его технического обслуживания и ремонта, а также реконструкции и / или модернизации. </w:t>
      </w:r>
    </w:p>
    <w:p>
      <w:pPr>
        <w:pStyle w:val="ListParagraph"/>
        <w:shd w:val="clear" w:color="auto" w:fill="FFFFFF"/>
        <w:tabs>
          <w:tab w:val="clear" w:pos="708"/>
          <w:tab w:val="left" w:pos="284" w:leader="none"/>
          <w:tab w:val="left" w:pos="426" w:leader="none"/>
        </w:tabs>
        <w:ind w:left="0" w:hanging="0"/>
        <w:rPr>
          <w:bCs/>
        </w:rPr>
      </w:pPr>
      <w:r>
        <w:rPr>
          <w:bCs/>
        </w:rPr>
        <w:t>В случае, если Заказчику будут предъявлены требования, связанные 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shd w:val="clear" w:color="auto" w:fill="FFFFFF"/>
        <w:tabs>
          <w:tab w:val="clear" w:pos="708"/>
          <w:tab w:val="left" w:pos="284" w:leader="none"/>
          <w:tab w:val="left" w:pos="426" w:leader="none"/>
        </w:tabs>
        <w:ind w:left="0" w:hanging="0"/>
        <w:rPr>
          <w:b/>
          <w:bCs/>
        </w:rPr>
      </w:pPr>
      <w:r>
        <w:rPr>
          <w:b/>
          <w:bCs/>
        </w:rPr>
      </w:r>
    </w:p>
    <w:p>
      <w:pPr>
        <w:pStyle w:val="ListParagraph"/>
        <w:numPr>
          <w:ilvl w:val="0"/>
          <w:numId w:val="17"/>
        </w:numPr>
        <w:shd w:val="clear" w:color="auto" w:fill="FFFFFF"/>
        <w:tabs>
          <w:tab w:val="clear" w:pos="708"/>
          <w:tab w:val="left" w:pos="284" w:leader="none"/>
          <w:tab w:val="left" w:pos="426" w:leader="none"/>
        </w:tabs>
        <w:ind w:left="0" w:hanging="0"/>
        <w:jc w:val="center"/>
        <w:rPr>
          <w:b/>
          <w:bCs/>
        </w:rPr>
      </w:pPr>
      <w:r>
        <w:rPr>
          <w:b/>
          <w:bCs/>
        </w:rPr>
        <w:t>Разрешение споров</w:t>
      </w:r>
    </w:p>
    <w:p>
      <w:pPr>
        <w:pStyle w:val="ListParagraph"/>
        <w:numPr>
          <w:ilvl w:val="1"/>
          <w:numId w:val="17"/>
        </w:numPr>
        <w:shd w:val="clear" w:color="auto" w:fill="FFFFFF"/>
        <w:tabs>
          <w:tab w:val="clear" w:pos="708"/>
          <w:tab w:val="left" w:pos="709" w:leader="none"/>
          <w:tab w:val="left" w:pos="1134" w:leader="none"/>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17"/>
        </w:numPr>
        <w:shd w:val="clear" w:color="auto" w:fill="FFFFFF"/>
        <w:tabs>
          <w:tab w:val="clear" w:pos="708"/>
          <w:tab w:val="left" w:pos="709" w:leader="none"/>
          <w:tab w:val="left" w:pos="1134" w:leader="none"/>
        </w:tabs>
        <w:ind w:left="0" w:firstLine="709"/>
        <w:jc w:val="both"/>
        <w:rPr>
          <w:bCs/>
        </w:rPr>
      </w:pPr>
      <w:r>
        <w:rPr>
          <w:bCs/>
        </w:rPr>
        <w:t>Споры, указанные в пункте 10.1 Договора, которые не были урегулированы Сторонами путем переговоров, подлежат разрешению в Арбитражном суде  в соответствии с законодательством Российской Федерации.</w:t>
      </w:r>
    </w:p>
    <w:p>
      <w:pPr>
        <w:pStyle w:val="ListParagraph"/>
        <w:numPr>
          <w:ilvl w:val="1"/>
          <w:numId w:val="17"/>
        </w:numPr>
        <w:shd w:val="clear" w:color="auto" w:fill="FFFFFF"/>
        <w:tabs>
          <w:tab w:val="clear" w:pos="708"/>
          <w:tab w:val="left" w:pos="709" w:leader="none"/>
          <w:tab w:val="left" w:pos="1134" w:leader="none"/>
        </w:tabs>
        <w:ind w:left="0" w:firstLine="709"/>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15.7 Договора.</w:t>
      </w:r>
    </w:p>
    <w:p>
      <w:pPr>
        <w:pStyle w:val="ListParagraph"/>
        <w:numPr>
          <w:ilvl w:val="1"/>
          <w:numId w:val="17"/>
        </w:numPr>
        <w:shd w:val="clear" w:color="auto" w:fill="FFFFFF"/>
        <w:tabs>
          <w:tab w:val="clear" w:pos="708"/>
          <w:tab w:val="left" w:pos="709" w:leader="none"/>
          <w:tab w:val="left" w:pos="1134" w:leader="none"/>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17"/>
        </w:numPr>
        <w:shd w:val="clear" w:color="auto" w:fill="FFFFFF"/>
        <w:tabs>
          <w:tab w:val="clear" w:pos="708"/>
          <w:tab w:val="left" w:pos="709" w:leader="none"/>
          <w:tab w:val="left" w:pos="1134" w:leader="none"/>
        </w:tabs>
        <w:ind w:left="0" w:firstLine="709"/>
        <w:jc w:val="both"/>
        <w:rPr>
          <w:bCs/>
        </w:rPr>
      </w:pPr>
      <w:r>
        <w:rPr>
          <w:bCs/>
        </w:rPr>
        <w:t>Условия настоящего раздела сохраняют свою силу в случае признания Договора незаключенным и / или недействительным.</w:t>
      </w:r>
    </w:p>
    <w:p>
      <w:pPr>
        <w:pStyle w:val="ListParagraph"/>
        <w:shd w:val="clear" w:color="auto" w:fill="FFFFFF"/>
        <w:tabs>
          <w:tab w:val="clear" w:pos="708"/>
          <w:tab w:val="left" w:pos="1418" w:leader="none"/>
        </w:tabs>
        <w:ind w:left="0" w:firstLine="851"/>
        <w:jc w:val="both"/>
        <w:rPr/>
      </w:pPr>
      <w:r>
        <w:rPr/>
      </w:r>
    </w:p>
    <w:p>
      <w:pPr>
        <w:pStyle w:val="ListParagraph"/>
        <w:numPr>
          <w:ilvl w:val="0"/>
          <w:numId w:val="17"/>
        </w:numPr>
        <w:shd w:val="clear" w:color="auto" w:fill="FFFFFF"/>
        <w:tabs>
          <w:tab w:val="clear" w:pos="708"/>
          <w:tab w:val="left" w:pos="284" w:leader="none"/>
        </w:tabs>
        <w:ind w:left="0" w:hanging="0"/>
        <w:jc w:val="center"/>
        <w:rPr>
          <w:b/>
        </w:rPr>
      </w:pPr>
      <w:r>
        <w:rPr>
          <w:b/>
          <w:bCs/>
        </w:rPr>
        <w:t>Антикоррупционная оговорка</w:t>
      </w:r>
    </w:p>
    <w:p>
      <w:pPr>
        <w:pStyle w:val="ListParagraph"/>
        <w:numPr>
          <w:ilvl w:val="1"/>
          <w:numId w:val="17"/>
        </w:numPr>
        <w:shd w:val="clear" w:color="auto" w:fill="FFFFFF"/>
        <w:tabs>
          <w:tab w:val="clear" w:pos="708"/>
          <w:tab w:val="left" w:pos="1134" w:leader="none"/>
        </w:tabs>
        <w:ind w:left="0" w:firstLine="709"/>
        <w:jc w:val="both"/>
        <w:rPr>
          <w:bCs/>
          <w:color w:val="000000"/>
          <w:szCs w:val="28"/>
        </w:rPr>
      </w:pPr>
      <w:r>
        <w:rPr>
          <w:color w:val="000000"/>
          <w:szCs w:val="28"/>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Cs w:val="28"/>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1"/>
          <w:numId w:val="17"/>
        </w:numPr>
        <w:shd w:val="clear" w:color="auto" w:fill="FFFFFF"/>
        <w:tabs>
          <w:tab w:val="clear" w:pos="708"/>
          <w:tab w:val="left" w:pos="1134" w:leader="none"/>
        </w:tabs>
        <w:ind w:left="0" w:firstLine="709"/>
        <w:jc w:val="both"/>
        <w:rPr>
          <w:bCs/>
          <w:color w:val="000000"/>
          <w:szCs w:val="28"/>
        </w:rPr>
      </w:pPr>
      <w:r>
        <w:rPr>
          <w:bCs/>
          <w:color w:val="000000"/>
          <w:szCs w:val="28"/>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17"/>
        </w:numPr>
        <w:shd w:val="clear" w:color="auto" w:fill="FFFFFF"/>
        <w:tabs>
          <w:tab w:val="clear" w:pos="708"/>
          <w:tab w:val="left" w:pos="1134" w:leader="none"/>
        </w:tabs>
        <w:ind w:left="0" w:firstLine="709"/>
        <w:jc w:val="both"/>
        <w:rPr>
          <w:bCs/>
          <w:color w:val="000000"/>
          <w:szCs w:val="28"/>
        </w:rPr>
      </w:pPr>
      <w:r>
        <w:rPr>
          <w:bCs/>
          <w:color w:val="000000"/>
          <w:szCs w:val="28"/>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17"/>
        </w:numPr>
        <w:shd w:val="clear" w:color="auto" w:fill="FFFFFF"/>
        <w:tabs>
          <w:tab w:val="clear" w:pos="708"/>
          <w:tab w:val="left" w:pos="1134" w:leader="none"/>
        </w:tabs>
        <w:ind w:left="0" w:firstLine="709"/>
        <w:jc w:val="both"/>
        <w:rPr>
          <w:bCs/>
          <w:color w:val="000000"/>
          <w:szCs w:val="28"/>
        </w:rPr>
      </w:pPr>
      <w:r>
        <w:rPr>
          <w:bCs/>
          <w:color w:val="000000"/>
          <w:szCs w:val="28"/>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17"/>
        </w:numPr>
        <w:shd w:val="clear" w:color="auto" w:fill="FFFFFF"/>
        <w:tabs>
          <w:tab w:val="clear" w:pos="708"/>
          <w:tab w:val="left" w:pos="1134" w:leader="none"/>
        </w:tabs>
        <w:ind w:left="0" w:firstLine="709"/>
        <w:jc w:val="both"/>
        <w:rPr>
          <w:bCs/>
          <w:color w:val="000000"/>
          <w:szCs w:val="28"/>
        </w:rPr>
      </w:pPr>
      <w:r>
        <w:rPr>
          <w:bCs/>
          <w:color w:val="000000"/>
          <w:szCs w:val="28"/>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1"/>
          <w:numId w:val="17"/>
        </w:numPr>
        <w:shd w:val="clear" w:color="auto" w:fill="FFFFFF"/>
        <w:tabs>
          <w:tab w:val="clear" w:pos="708"/>
          <w:tab w:val="left" w:pos="1134" w:leader="none"/>
        </w:tabs>
        <w:ind w:left="0" w:firstLine="709"/>
        <w:jc w:val="both"/>
        <w:rPr>
          <w:bCs/>
          <w:color w:val="000000"/>
          <w:szCs w:val="28"/>
        </w:rPr>
      </w:pPr>
      <w:bookmarkStart w:id="12" w:name="_Hlk90891635"/>
      <w:r>
        <w:rPr>
          <w:bCs/>
          <w:color w:val="000000"/>
          <w:szCs w:val="28"/>
        </w:rPr>
        <w:t>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bookmarkEnd w:id="12"/>
      <w:r>
        <w:rPr>
          <w:bCs/>
          <w:color w:val="000000"/>
          <w:szCs w:val="28"/>
        </w:rPr>
        <w:t xml:space="preserve">. </w:t>
      </w:r>
    </w:p>
    <w:p>
      <w:pPr>
        <w:pStyle w:val="ListParagraph"/>
        <w:numPr>
          <w:ilvl w:val="1"/>
          <w:numId w:val="17"/>
        </w:numPr>
        <w:shd w:val="clear" w:color="auto" w:fill="FFFFFF"/>
        <w:tabs>
          <w:tab w:val="clear" w:pos="708"/>
          <w:tab w:val="left" w:pos="1134" w:leader="none"/>
        </w:tabs>
        <w:ind w:left="0" w:firstLine="709"/>
        <w:jc w:val="both"/>
        <w:rPr>
          <w:bCs/>
          <w:color w:val="000000"/>
          <w:szCs w:val="28"/>
        </w:rPr>
      </w:pPr>
      <w:bookmarkStart w:id="13" w:name="_Hlk90891651"/>
      <w:r>
        <w:rPr>
          <w:color w:val="000000"/>
          <w:szCs w:val="28"/>
        </w:rPr>
        <w:t>Каналы связи Линия доверия Группы РусГидро</w:t>
      </w:r>
      <w:bookmarkEnd w:id="13"/>
      <w:r>
        <w:rPr>
          <w:color w:val="000000"/>
          <w:szCs w:val="28"/>
        </w:rPr>
        <w:t xml:space="preserve">: </w:t>
      </w:r>
    </w:p>
    <w:p>
      <w:pPr>
        <w:pStyle w:val="ListParagraph"/>
        <w:widowControl w:val="false"/>
        <w:numPr>
          <w:ilvl w:val="2"/>
          <w:numId w:val="17"/>
        </w:numPr>
        <w:shd w:val="clear" w:color="auto" w:fill="FFFFFF"/>
        <w:tabs>
          <w:tab w:val="clear" w:pos="708"/>
          <w:tab w:val="left" w:pos="567" w:leader="none"/>
          <w:tab w:val="left" w:pos="1418" w:leader="none"/>
        </w:tabs>
        <w:ind w:left="0" w:firstLine="709"/>
        <w:jc w:val="both"/>
        <w:rPr>
          <w:szCs w:val="28"/>
        </w:rPr>
      </w:pPr>
      <w:bookmarkStart w:id="14" w:name="_Hlk90892447"/>
      <w:bookmarkStart w:id="15" w:name="_Hlk90892235"/>
      <w:r>
        <w:rPr>
          <w:szCs w:val="28"/>
        </w:rPr>
        <w:t xml:space="preserve">Электронная почта: </w:t>
      </w:r>
      <w:hyperlink r:id="rId2">
        <w:r>
          <w:rPr>
            <w:rStyle w:val="Hyperlink"/>
            <w:color w:val="auto"/>
            <w:szCs w:val="28"/>
          </w:rPr>
          <w:t>ld@rushydro.ru</w:t>
        </w:r>
      </w:hyperlink>
      <w:bookmarkEnd w:id="15"/>
      <w:r>
        <w:rPr>
          <w:szCs w:val="28"/>
        </w:rPr>
        <w:t>.</w:t>
      </w:r>
      <w:bookmarkEnd w:id="14"/>
    </w:p>
    <w:p>
      <w:pPr>
        <w:pStyle w:val="ListParagraph"/>
        <w:widowControl w:val="false"/>
        <w:numPr>
          <w:ilvl w:val="2"/>
          <w:numId w:val="17"/>
        </w:numPr>
        <w:shd w:val="clear" w:color="auto" w:fill="FFFFFF"/>
        <w:tabs>
          <w:tab w:val="clear" w:pos="708"/>
          <w:tab w:val="left" w:pos="567" w:leader="none"/>
          <w:tab w:val="left" w:pos="1418" w:leader="none"/>
        </w:tabs>
        <w:ind w:left="0" w:firstLine="709"/>
        <w:jc w:val="both"/>
        <w:rPr>
          <w:szCs w:val="28"/>
        </w:rPr>
      </w:pPr>
      <w:r>
        <w:rPr>
          <w:szCs w:val="28"/>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widowControl w:val="false"/>
        <w:numPr>
          <w:ilvl w:val="2"/>
          <w:numId w:val="17"/>
        </w:numPr>
        <w:shd w:val="clear" w:color="auto" w:fill="FFFFFF"/>
        <w:tabs>
          <w:tab w:val="clear" w:pos="708"/>
          <w:tab w:val="left" w:pos="567" w:leader="none"/>
          <w:tab w:val="left" w:pos="1418" w:leader="none"/>
        </w:tabs>
        <w:ind w:left="0" w:firstLine="709"/>
        <w:jc w:val="both"/>
        <w:rPr>
          <w:szCs w:val="28"/>
        </w:rPr>
      </w:pPr>
      <w:bookmarkStart w:id="16" w:name="_Hlk90891724"/>
      <w:r>
        <w:rPr>
          <w:szCs w:val="28"/>
        </w:rPr>
        <w:t>Телефонный автоответчик (необходимо позвонить по телефону +7(495) 785-09-37 (круглосуточно), дождаться сигнала о начале записи и оставить устное обращение).</w:t>
      </w:r>
      <w:bookmarkEnd w:id="16"/>
    </w:p>
    <w:p>
      <w:pPr>
        <w:pStyle w:val="Normal"/>
        <w:tabs>
          <w:tab w:val="clear" w:pos="708"/>
          <w:tab w:val="left" w:pos="709" w:leader="none"/>
        </w:tabs>
        <w:rPr>
          <w:b/>
          <w:lang w:val="ru-RU"/>
        </w:rPr>
      </w:pPr>
      <w:r>
        <w:rPr>
          <w:b/>
          <w:lang w:val="ru-RU"/>
        </w:rPr>
      </w:r>
    </w:p>
    <w:p>
      <w:pPr>
        <w:pStyle w:val="ListParagraph"/>
        <w:numPr>
          <w:ilvl w:val="0"/>
          <w:numId w:val="17"/>
        </w:numPr>
        <w:shd w:val="clear" w:color="auto" w:fill="FFFFFF"/>
        <w:tabs>
          <w:tab w:val="clear" w:pos="708"/>
          <w:tab w:val="left" w:pos="426" w:leader="none"/>
        </w:tabs>
        <w:ind w:left="0" w:hanging="0"/>
        <w:jc w:val="center"/>
        <w:rPr>
          <w:b/>
          <w:bCs/>
        </w:rPr>
      </w:pPr>
      <w:r>
        <w:rPr>
          <w:b/>
          <w:bCs/>
        </w:rPr>
        <w:t>Обстоятельства непреодолимой силы (форс-мажор)</w:t>
      </w:r>
    </w:p>
    <w:p>
      <w:pPr>
        <w:pStyle w:val="ListParagraph"/>
        <w:numPr>
          <w:ilvl w:val="1"/>
          <w:numId w:val="17"/>
        </w:numPr>
        <w:shd w:val="clear" w:color="auto" w:fill="FFFFFF"/>
        <w:tabs>
          <w:tab w:val="clear" w:pos="708"/>
          <w:tab w:val="left" w:pos="709" w:leader="none"/>
          <w:tab w:val="left" w:pos="1276" w:leader="none"/>
        </w:tabs>
        <w:ind w:left="0" w:firstLine="851"/>
        <w:jc w:val="both"/>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17"/>
        </w:numPr>
        <w:shd w:val="clear" w:color="auto" w:fill="FFFFFF"/>
        <w:tabs>
          <w:tab w:val="clear" w:pos="708"/>
          <w:tab w:val="left" w:pos="709" w:leader="none"/>
          <w:tab w:val="left" w:pos="1276" w:leader="none"/>
        </w:tabs>
        <w:ind w:left="0" w:firstLine="851"/>
        <w:jc w:val="both"/>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17"/>
        </w:numPr>
        <w:shd w:val="clear" w:color="auto" w:fill="FFFFFF"/>
        <w:tabs>
          <w:tab w:val="clear" w:pos="708"/>
          <w:tab w:val="left" w:pos="709" w:leader="none"/>
          <w:tab w:val="left" w:pos="1276" w:leader="none"/>
        </w:tabs>
        <w:ind w:left="0" w:firstLine="851"/>
        <w:jc w:val="both"/>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17"/>
        </w:numPr>
        <w:shd w:val="clear" w:color="auto" w:fill="FFFFFF"/>
        <w:tabs>
          <w:tab w:val="clear" w:pos="708"/>
          <w:tab w:val="left" w:pos="426" w:leader="none"/>
          <w:tab w:val="left" w:pos="1276" w:leader="none"/>
        </w:tabs>
        <w:ind w:left="0" w:firstLine="851"/>
        <w:jc w:val="both"/>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17"/>
        </w:numPr>
        <w:shd w:val="clear" w:color="auto" w:fill="FFFFFF"/>
        <w:tabs>
          <w:tab w:val="clear" w:pos="708"/>
          <w:tab w:val="left" w:pos="709" w:leader="none"/>
          <w:tab w:val="left" w:pos="1276" w:leader="none"/>
        </w:tabs>
        <w:ind w:left="0" w:firstLine="851"/>
        <w:jc w:val="both"/>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17"/>
        </w:numPr>
        <w:shd w:val="clear" w:color="auto" w:fill="FFFFFF"/>
        <w:tabs>
          <w:tab w:val="clear" w:pos="708"/>
          <w:tab w:val="left" w:pos="709" w:leader="none"/>
          <w:tab w:val="left" w:pos="1276" w:leader="none"/>
        </w:tabs>
        <w:ind w:left="0" w:firstLine="851"/>
        <w:jc w:val="both"/>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8"/>
          <w:tab w:val="left" w:pos="568" w:leader="none"/>
          <w:tab w:val="left" w:pos="1276" w:leader="none"/>
        </w:tabs>
        <w:ind w:left="0" w:firstLine="851"/>
        <w:jc w:val="both"/>
        <w:rPr>
          <w:bCs/>
        </w:rPr>
      </w:pPr>
      <w:r>
        <w:rPr>
          <w:bCs/>
        </w:rPr>
        <w:t>При этом любая из Сторон вправе отказаться от исполнения Договора в одностороннем внесудебном порядке.</w:t>
      </w:r>
    </w:p>
    <w:p>
      <w:pPr>
        <w:pStyle w:val="ListParagraph"/>
        <w:numPr>
          <w:ilvl w:val="0"/>
          <w:numId w:val="17"/>
        </w:numPr>
        <w:shd w:val="clear" w:color="auto" w:fill="FFFFFF"/>
        <w:tabs>
          <w:tab w:val="clear" w:pos="708"/>
          <w:tab w:val="left" w:pos="426" w:leader="none"/>
        </w:tabs>
        <w:ind w:left="0" w:hanging="0"/>
        <w:jc w:val="center"/>
        <w:rPr>
          <w:b/>
        </w:rPr>
      </w:pPr>
      <w:r>
        <w:rPr>
          <w:b/>
          <w:bCs/>
        </w:rPr>
        <w:t>Заверения</w:t>
      </w:r>
      <w:r>
        <w:rPr>
          <w:b/>
        </w:rPr>
        <w:t xml:space="preserve"> Сторон</w:t>
      </w:r>
    </w:p>
    <w:p>
      <w:pPr>
        <w:pStyle w:val="ListParagraph"/>
        <w:numPr>
          <w:ilvl w:val="1"/>
          <w:numId w:val="17"/>
        </w:numPr>
        <w:shd w:val="clear" w:color="auto" w:fill="FFFFFF"/>
        <w:tabs>
          <w:tab w:val="clear" w:pos="708"/>
          <w:tab w:val="left" w:pos="426" w:leader="none"/>
        </w:tabs>
        <w:ind w:left="0" w:firstLine="709"/>
        <w:jc w:val="both"/>
        <w:rPr>
          <w:b/>
        </w:rPr>
      </w:pPr>
      <w:r>
        <w:rPr>
          <w:bCs/>
        </w:rPr>
        <w:t>Каждая</w:t>
      </w:r>
      <w:r>
        <w:rPr/>
        <w:t xml:space="preserve"> из Сторон заявляет и подтверждает другой Стороне, что: </w:t>
      </w:r>
    </w:p>
    <w:p>
      <w:pPr>
        <w:pStyle w:val="ListParagraph"/>
        <w:numPr>
          <w:ilvl w:val="0"/>
          <w:numId w:val="5"/>
        </w:numPr>
        <w:shd w:val="clear" w:color="auto" w:fill="FFFFFF"/>
        <w:tabs>
          <w:tab w:val="clear" w:pos="708"/>
          <w:tab w:val="left" w:pos="709" w:leader="none"/>
          <w:tab w:val="left" w:pos="1418" w:leader="none"/>
        </w:tabs>
        <w:ind w:left="0" w:firstLine="709"/>
        <w:jc w:val="both"/>
        <w:rPr/>
      </w:pPr>
      <w:r>
        <w:rPr/>
        <w:t xml:space="preserve">она является юридическим лицом, надлежащим образом учрежденным </w:t>
      </w:r>
      <w:r>
        <w:rPr>
          <w:highlight w:val="lightGray"/>
        </w:rPr>
        <w:t>зарегистрированным</w:t>
      </w:r>
      <w:r>
        <w:rPr/>
        <w:t xml:space="preserve"> и правомерно осуществляющим свою деятельность в соответствии с законодательством Российской Федерации;</w:t>
      </w:r>
    </w:p>
    <w:p>
      <w:pPr>
        <w:pStyle w:val="ListParagraph"/>
        <w:numPr>
          <w:ilvl w:val="0"/>
          <w:numId w:val="5"/>
        </w:numPr>
        <w:shd w:val="clear" w:color="auto" w:fill="FFFFFF"/>
        <w:tabs>
          <w:tab w:val="clear" w:pos="708"/>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5"/>
        </w:numPr>
        <w:shd w:val="clear" w:color="auto" w:fill="FFFFFF"/>
        <w:tabs>
          <w:tab w:val="clear" w:pos="708"/>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5"/>
        </w:numPr>
        <w:shd w:val="clear" w:color="auto" w:fill="FFFFFF"/>
        <w:tabs>
          <w:tab w:val="clear" w:pos="708"/>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5"/>
        </w:numPr>
        <w:shd w:val="clear" w:color="auto" w:fill="FFFFFF"/>
        <w:tabs>
          <w:tab w:val="clear" w:pos="708"/>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17"/>
        </w:numPr>
        <w:shd w:val="clear" w:color="auto" w:fill="FFFFFF"/>
        <w:tabs>
          <w:tab w:val="clear" w:pos="708"/>
          <w:tab w:val="left" w:pos="355" w:leader="none"/>
          <w:tab w:val="left" w:pos="1418" w:leader="none"/>
        </w:tabs>
        <w:ind w:left="0" w:firstLine="709"/>
        <w:jc w:val="both"/>
        <w:rPr/>
      </w:pPr>
      <w:r>
        <w:rPr>
          <w:bCs/>
        </w:rPr>
        <w:t>Подрядчик</w:t>
      </w:r>
      <w:r>
        <w:rPr/>
        <w:t xml:space="preserve"> заявляет и заверяет Заказчика в том, что на момент заключения Договора:</w:t>
      </w:r>
    </w:p>
    <w:p>
      <w:pPr>
        <w:pStyle w:val="ListParagraph"/>
        <w:numPr>
          <w:ilvl w:val="0"/>
          <w:numId w:val="7"/>
        </w:numPr>
        <w:shd w:val="clear" w:color="auto" w:fill="FFFFFF"/>
        <w:tabs>
          <w:tab w:val="clear" w:pos="708"/>
          <w:tab w:val="left" w:pos="709" w:leader="none"/>
          <w:tab w:val="left" w:pos="1418" w:leader="none"/>
        </w:tabs>
        <w:ind w:left="0" w:firstLine="709"/>
        <w:jc w:val="both"/>
        <w:rPr/>
      </w:pPr>
      <w:r>
        <w:rPr/>
        <w:t>учредителем / учредителями Подрядчика являются лица, не являющиеся массовыми учредителем / учредителями;</w:t>
      </w:r>
    </w:p>
    <w:p>
      <w:pPr>
        <w:pStyle w:val="ListParagraph"/>
        <w:numPr>
          <w:ilvl w:val="0"/>
          <w:numId w:val="7"/>
        </w:numPr>
        <w:shd w:val="clear" w:color="auto" w:fill="FFFFFF"/>
        <w:tabs>
          <w:tab w:val="clear" w:pos="708"/>
          <w:tab w:val="left" w:pos="709" w:leader="none"/>
          <w:tab w:val="left" w:pos="1418" w:leader="none"/>
        </w:tabs>
        <w:ind w:left="0" w:firstLine="709"/>
        <w:jc w:val="both"/>
        <w:rPr/>
      </w:pPr>
      <w:r>
        <w:rPr/>
        <w:t>руководителем Подрядчика является лицо, не являющееся массовым руководителем;</w:t>
      </w:r>
    </w:p>
    <w:p>
      <w:pPr>
        <w:pStyle w:val="ListParagraph"/>
        <w:numPr>
          <w:ilvl w:val="0"/>
          <w:numId w:val="7"/>
        </w:numPr>
        <w:shd w:val="clear" w:color="auto" w:fill="FFFFFF"/>
        <w:tabs>
          <w:tab w:val="clear" w:pos="708"/>
          <w:tab w:val="left" w:pos="709" w:leader="none"/>
          <w:tab w:val="left" w:pos="1418" w:leader="none"/>
        </w:tabs>
        <w:ind w:left="0" w:firstLine="709"/>
        <w:jc w:val="both"/>
        <w:rPr/>
      </w:pPr>
      <w:r>
        <w:rPr/>
        <w:t xml:space="preserve">Подрядчик фактически находится по адресу, указанному в Едином государственном реестре юридических лиц; </w:t>
      </w:r>
    </w:p>
    <w:p>
      <w:pPr>
        <w:pStyle w:val="ListParagraph"/>
        <w:numPr>
          <w:ilvl w:val="0"/>
          <w:numId w:val="7"/>
        </w:numPr>
        <w:shd w:val="clear" w:color="auto" w:fill="FFFFFF"/>
        <w:tabs>
          <w:tab w:val="clear" w:pos="708"/>
          <w:tab w:val="left" w:pos="709" w:leader="none"/>
          <w:tab w:val="left" w:pos="1418" w:leader="none"/>
        </w:tabs>
        <w:ind w:left="0" w:firstLine="709"/>
        <w:jc w:val="both"/>
        <w:rPr/>
      </w:pPr>
      <w:r>
        <w:rPr/>
        <w:t>Подрядчик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6"/>
        </w:numPr>
        <w:shd w:val="clear" w:color="auto" w:fill="FFFFFF"/>
        <w:tabs>
          <w:tab w:val="clear" w:pos="708"/>
          <w:tab w:val="left" w:pos="567" w:leader="none"/>
          <w:tab w:val="left" w:pos="1418" w:leader="none"/>
        </w:tabs>
        <w:ind w:left="0" w:firstLine="709"/>
        <w:jc w:val="both"/>
        <w:rPr/>
      </w:pPr>
      <w:r>
        <w:rPr/>
        <w:t>Подрядчик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Договору или в связи с ним;</w:t>
      </w:r>
    </w:p>
    <w:p>
      <w:pPr>
        <w:pStyle w:val="ListParagraph"/>
        <w:numPr>
          <w:ilvl w:val="0"/>
          <w:numId w:val="6"/>
        </w:numPr>
        <w:shd w:val="clear" w:color="auto" w:fill="FFFFFF"/>
        <w:tabs>
          <w:tab w:val="clear" w:pos="708"/>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pPr>
        <w:pStyle w:val="ListParagraph"/>
        <w:numPr>
          <w:ilvl w:val="0"/>
          <w:numId w:val="6"/>
        </w:numPr>
        <w:shd w:val="clear" w:color="auto" w:fill="FFFFFF"/>
        <w:tabs>
          <w:tab w:val="clear" w:pos="708"/>
          <w:tab w:val="left" w:pos="567" w:leader="none"/>
          <w:tab w:val="left" w:pos="1418" w:leader="none"/>
        </w:tabs>
        <w:ind w:left="0" w:firstLine="709"/>
        <w:jc w:val="both"/>
        <w:rPr/>
      </w:pPr>
      <w:r>
        <w:rPr/>
        <w:t>Подрядчик 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оказания Работ,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6"/>
        </w:numPr>
        <w:shd w:val="clear" w:color="auto" w:fill="FFFFFF"/>
        <w:tabs>
          <w:tab w:val="clear" w:pos="708"/>
          <w:tab w:val="left" w:pos="567" w:leader="none"/>
          <w:tab w:val="left" w:pos="1418" w:leader="none"/>
        </w:tabs>
        <w:ind w:left="0" w:firstLine="709"/>
        <w:jc w:val="both"/>
        <w:rPr/>
      </w:pPr>
      <w:r>
        <w:rP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6"/>
        </w:numPr>
        <w:shd w:val="clear" w:color="auto" w:fill="FFFFFF"/>
        <w:tabs>
          <w:tab w:val="clear" w:pos="708"/>
          <w:tab w:val="left" w:pos="567" w:leader="none"/>
          <w:tab w:val="left" w:pos="1418" w:leader="none"/>
        </w:tabs>
        <w:ind w:left="0" w:firstLine="709"/>
        <w:jc w:val="both"/>
        <w:rPr/>
      </w:pPr>
      <w:r>
        <w:rPr/>
        <w:t>Подрядчик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6"/>
        </w:numPr>
        <w:shd w:val="clear" w:color="auto" w:fill="FFFFFF"/>
        <w:tabs>
          <w:tab w:val="clear" w:pos="708"/>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Подрядчик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17"/>
        </w:numPr>
        <w:shd w:val="clear" w:color="auto" w:fill="FFFFFF"/>
        <w:tabs>
          <w:tab w:val="clear" w:pos="708"/>
          <w:tab w:val="left" w:pos="355" w:leader="none"/>
          <w:tab w:val="left" w:pos="1418" w:leader="none"/>
        </w:tabs>
        <w:ind w:left="0" w:firstLine="709"/>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17"/>
        </w:numPr>
        <w:shd w:val="clear" w:color="auto" w:fill="FFFFFF"/>
        <w:tabs>
          <w:tab w:val="clear" w:pos="708"/>
          <w:tab w:val="left" w:pos="355" w:leader="none"/>
          <w:tab w:val="left" w:pos="1418" w:leader="none"/>
        </w:tabs>
        <w:ind w:left="0" w:firstLine="709"/>
        <w:jc w:val="both"/>
        <w:rPr/>
      </w:pPr>
      <w:r>
        <w:rPr/>
        <w:t xml:space="preserve">В случае, если </w:t>
      </w:r>
      <w:r>
        <w:rPr>
          <w:bCs/>
        </w:rPr>
        <w:t xml:space="preserve">Подрядчик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Подрядчик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17"/>
        </w:numPr>
        <w:shd w:val="clear" w:color="auto" w:fill="FFFFFF"/>
        <w:tabs>
          <w:tab w:val="clear" w:pos="708"/>
          <w:tab w:val="left" w:pos="355" w:leader="none"/>
          <w:tab w:val="left" w:pos="1418" w:leader="none"/>
        </w:tabs>
        <w:ind w:left="0" w:firstLine="709"/>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8"/>
          <w:tab w:val="left" w:pos="1134" w:leader="none"/>
          <w:tab w:val="left" w:pos="1418" w:leader="none"/>
        </w:tabs>
        <w:ind w:left="0" w:firstLine="709"/>
        <w:jc w:val="both"/>
        <w:rPr>
          <w:b/>
        </w:rPr>
      </w:pPr>
      <w:r>
        <w:rPr>
          <w:b/>
        </w:rPr>
      </w:r>
    </w:p>
    <w:p>
      <w:pPr>
        <w:pStyle w:val="ListParagraph"/>
        <w:numPr>
          <w:ilvl w:val="0"/>
          <w:numId w:val="17"/>
        </w:numPr>
        <w:shd w:val="clear" w:color="auto" w:fill="FFFFFF"/>
        <w:tabs>
          <w:tab w:val="clear" w:pos="708"/>
          <w:tab w:val="left" w:pos="426" w:leader="none"/>
        </w:tabs>
        <w:ind w:left="0" w:hanging="0"/>
        <w:jc w:val="center"/>
        <w:rPr>
          <w:b/>
        </w:rPr>
      </w:pPr>
      <w:r>
        <w:rPr>
          <w:b/>
          <w:bCs/>
        </w:rPr>
        <w:t>П</w:t>
      </w:r>
      <w:r>
        <w:rPr>
          <w:b/>
        </w:rPr>
        <w:t>рекращение (расторжение) Договора</w:t>
      </w:r>
    </w:p>
    <w:p>
      <w:pPr>
        <w:pStyle w:val="ListParagraph"/>
        <w:numPr>
          <w:ilvl w:val="1"/>
          <w:numId w:val="17"/>
        </w:numPr>
        <w:shd w:val="clear" w:color="auto" w:fill="FFFFFF"/>
        <w:tabs>
          <w:tab w:val="clear" w:pos="708"/>
          <w:tab w:val="left" w:pos="355" w:leader="none"/>
          <w:tab w:val="left" w:pos="1418" w:leader="none"/>
        </w:tabs>
        <w:ind w:left="0" w:firstLine="709"/>
        <w:jc w:val="both"/>
        <w:rPr>
          <w:b/>
          <w:bCs/>
        </w:rPr>
      </w:pPr>
      <w:r>
        <w:rPr>
          <w:bCs/>
        </w:rPr>
        <w:t>Расторжение Договора по инициативе Заказчика:</w:t>
      </w:r>
    </w:p>
    <w:p>
      <w:pPr>
        <w:pStyle w:val="ConsPlusNormal"/>
        <w:tabs>
          <w:tab w:val="clear" w:pos="708"/>
          <w:tab w:val="left" w:pos="1418" w:leader="none"/>
        </w:tabs>
        <w:ind w:firstLine="709"/>
        <w:jc w:val="both"/>
        <w:rPr>
          <w:rFonts w:ascii="Times New Roman" w:hAnsi="Times New Roman" w:cs="Times New Roman"/>
          <w:sz w:val="24"/>
          <w:szCs w:val="24"/>
        </w:rPr>
      </w:pPr>
      <w:r>
        <w:rPr>
          <w:rFonts w:cs="Times New Roman" w:ascii="Times New Roman" w:hAnsi="Times New Roman"/>
          <w:sz w:val="24"/>
          <w:szCs w:val="24"/>
        </w:rPr>
        <w:t>14.1.1.</w:t>
        <w:tab/>
        <w:t xml:space="preserve">Заказчик вправе расторгнуть настоящий Договор в одностороннем внесудебном порядке в любое время в течение срока действия Договора путем уведомления Подрядчика не позднее, чем за 7 (семи) календарных дней до предполагаемой даты расторжения. В этом случае Договор будет считаться расторгнутым с даты, указанной в уведомлении Заказчика. </w:t>
      </w:r>
    </w:p>
    <w:p>
      <w:pPr>
        <w:pStyle w:val="ConsPlusNormal"/>
        <w:tabs>
          <w:tab w:val="clear" w:pos="708"/>
          <w:tab w:val="left" w:pos="1418" w:leader="none"/>
        </w:tabs>
        <w:ind w:firstLine="709"/>
        <w:jc w:val="both"/>
        <w:rPr>
          <w:rFonts w:ascii="Times New Roman" w:hAnsi="Times New Roman" w:cs="Times New Roman"/>
          <w:sz w:val="24"/>
          <w:szCs w:val="24"/>
        </w:rPr>
      </w:pPr>
      <w:r>
        <w:rPr>
          <w:rFonts w:cs="Times New Roman" w:ascii="Times New Roman" w:hAnsi="Times New Roman"/>
          <w:sz w:val="24"/>
          <w:szCs w:val="24"/>
        </w:rPr>
        <w:t>14.1.2.</w:t>
        <w:tab/>
        <w:t>Заказчик вправе в одностороннем внесудебном порядке отказаться от исполнения настоящего Договора в случае существенного нарушения Подрядчиком своих обязательств по настоящему Договору, уведомив об этом Подрядчика за 5 (пяти) календарных дней до даты расторжения. Существенным нарушением Подрядчиком обязательств в смысле настоящей статьи признается любой из перечисленных ниже случаев:</w:t>
      </w:r>
    </w:p>
    <w:p>
      <w:pPr>
        <w:pStyle w:val="ListParagraph"/>
        <w:numPr>
          <w:ilvl w:val="3"/>
          <w:numId w:val="18"/>
        </w:numPr>
        <w:shd w:val="clear" w:color="auto" w:fill="FFFFFF"/>
        <w:tabs>
          <w:tab w:val="clear" w:pos="708"/>
          <w:tab w:val="left" w:pos="567" w:leader="none"/>
          <w:tab w:val="left" w:pos="1134" w:leader="none"/>
        </w:tabs>
        <w:ind w:left="0" w:firstLine="709"/>
        <w:jc w:val="both"/>
        <w:rPr>
          <w:bCs/>
        </w:rPr>
      </w:pPr>
      <w:r>
        <w:rPr>
          <w:bCs/>
        </w:rPr>
        <w:t>Подрядчик не приступает к выполнению Работ в течение 3 (трех) рабочих дней с даты вступления Договора в силу;</w:t>
      </w:r>
    </w:p>
    <w:p>
      <w:pPr>
        <w:pStyle w:val="ListParagraph"/>
        <w:numPr>
          <w:ilvl w:val="3"/>
          <w:numId w:val="18"/>
        </w:numPr>
        <w:shd w:val="clear" w:color="auto" w:fill="FFFFFF"/>
        <w:tabs>
          <w:tab w:val="clear" w:pos="708"/>
          <w:tab w:val="left" w:pos="567" w:leader="none"/>
          <w:tab w:val="left" w:pos="1134" w:leader="none"/>
        </w:tabs>
        <w:ind w:left="0" w:firstLine="709"/>
        <w:jc w:val="both"/>
        <w:rPr>
          <w:bCs/>
        </w:rPr>
      </w:pPr>
      <w:r>
        <w:rPr>
          <w:bCs/>
        </w:rPr>
        <w:t>Подрядчик систематически нарушает технологию выполнения Работ в соответствии с Техническими требованиями, технику безопасности при выполнении Работ в соответствии с настоящим Договором (свидетельством по настоящему пункту является регистрация таких нарушений);</w:t>
      </w:r>
    </w:p>
    <w:p>
      <w:pPr>
        <w:pStyle w:val="ListParagraph"/>
        <w:numPr>
          <w:ilvl w:val="3"/>
          <w:numId w:val="18"/>
        </w:numPr>
        <w:shd w:val="clear" w:color="auto" w:fill="FFFFFF"/>
        <w:tabs>
          <w:tab w:val="clear" w:pos="708"/>
          <w:tab w:val="left" w:pos="567" w:leader="none"/>
          <w:tab w:val="left" w:pos="1134" w:leader="none"/>
        </w:tabs>
        <w:ind w:left="0" w:firstLine="709"/>
        <w:jc w:val="both"/>
        <w:rPr>
          <w:bCs/>
        </w:rPr>
      </w:pPr>
      <w:r>
        <w:rPr>
          <w:bCs/>
        </w:rPr>
        <w:t>Подрядчик ненадлежащим образом выполняет и/или не выполняет обязательства по настоящему Договору и не устраняет допущенные нарушения в течение срока, установленного в требовании Заказчика и/или Технического заказчика об устранении допущенных нарушений, либо указанные нарушения являются неустранимыми.</w:t>
      </w:r>
    </w:p>
    <w:p>
      <w:pPr>
        <w:pStyle w:val="ListParagraph"/>
        <w:numPr>
          <w:ilvl w:val="3"/>
          <w:numId w:val="18"/>
        </w:numPr>
        <w:shd w:val="clear" w:color="auto" w:fill="FFFFFF"/>
        <w:tabs>
          <w:tab w:val="clear" w:pos="708"/>
          <w:tab w:val="left" w:pos="567" w:leader="none"/>
          <w:tab w:val="left" w:pos="1134" w:leader="none"/>
        </w:tabs>
        <w:ind w:left="0" w:firstLine="709"/>
        <w:jc w:val="both"/>
        <w:rPr>
          <w:bCs/>
        </w:rPr>
      </w:pPr>
      <w:r>
        <w:rPr>
          <w:bCs/>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3"/>
          <w:numId w:val="18"/>
        </w:numPr>
        <w:shd w:val="clear" w:color="auto" w:fill="FFFFFF"/>
        <w:tabs>
          <w:tab w:val="clear" w:pos="708"/>
          <w:tab w:val="left" w:pos="567" w:leader="none"/>
          <w:tab w:val="left" w:pos="1134" w:leader="none"/>
        </w:tabs>
        <w:ind w:left="0" w:firstLine="709"/>
        <w:jc w:val="both"/>
        <w:rPr>
          <w:bCs/>
        </w:rPr>
      </w:pPr>
      <w:r>
        <w:rPr>
          <w:bCs/>
        </w:rPr>
        <w:t>Прекращение членства в СРО, основанной на членстве лиц, осуществляющих строительство, предоставляющих Подрядчику право на производство Работ по Договору;</w:t>
      </w:r>
    </w:p>
    <w:p>
      <w:pPr>
        <w:pStyle w:val="ListParagraph"/>
        <w:numPr>
          <w:ilvl w:val="3"/>
          <w:numId w:val="18"/>
        </w:numPr>
        <w:shd w:val="clear" w:color="auto" w:fill="FFFFFF"/>
        <w:tabs>
          <w:tab w:val="clear" w:pos="708"/>
          <w:tab w:val="left" w:pos="567" w:leader="none"/>
          <w:tab w:val="left" w:pos="1134" w:leader="none"/>
        </w:tabs>
        <w:ind w:left="0" w:firstLine="709"/>
        <w:jc w:val="both"/>
        <w:rPr>
          <w:bCs/>
        </w:rPr>
      </w:pPr>
      <w:r>
        <w:rPr>
          <w:bCs/>
        </w:rPr>
        <w:t>Принятие актов государственных органов или организаций, лишающих Подрядчика в установленном порядке права на производство Работ по Договору;</w:t>
      </w:r>
    </w:p>
    <w:p>
      <w:pPr>
        <w:pStyle w:val="ListParagraph"/>
        <w:numPr>
          <w:ilvl w:val="3"/>
          <w:numId w:val="18"/>
        </w:numPr>
        <w:shd w:val="clear" w:color="auto" w:fill="FFFFFF"/>
        <w:tabs>
          <w:tab w:val="clear" w:pos="708"/>
          <w:tab w:val="left" w:pos="567" w:leader="none"/>
          <w:tab w:val="left" w:pos="1134" w:leader="none"/>
        </w:tabs>
        <w:ind w:left="0" w:firstLine="709"/>
        <w:jc w:val="both"/>
        <w:rPr>
          <w:bCs/>
        </w:rPr>
      </w:pPr>
      <w:r>
        <w:rPr>
          <w:bCs/>
        </w:rPr>
        <w:t>Наложение ареста на имущество Подрядчика, введение арбитражным судом процедуры несостоятельности (банкротства) в отношении Подрядчика.</w:t>
      </w:r>
    </w:p>
    <w:p>
      <w:pPr>
        <w:pStyle w:val="ListParagraph"/>
        <w:numPr>
          <w:ilvl w:val="1"/>
          <w:numId w:val="17"/>
        </w:numPr>
        <w:shd w:val="clear" w:color="auto" w:fill="FFFFFF"/>
        <w:tabs>
          <w:tab w:val="clear" w:pos="708"/>
          <w:tab w:val="left" w:pos="355" w:leader="none"/>
          <w:tab w:val="left" w:pos="1418" w:leader="none"/>
        </w:tabs>
        <w:ind w:left="0" w:firstLine="709"/>
        <w:jc w:val="both"/>
        <w:rPr>
          <w:b/>
          <w:bCs/>
        </w:rPr>
      </w:pPr>
      <w:r>
        <w:rPr>
          <w:bCs/>
        </w:rPr>
        <w:t>Подрядчик обязан при получении от Заказчика уведомления о расторжении Договора, предусмотренного п. 14.1.1. и п. 14.1.2. Договора, в течение 5 (пяти) рабочих дней подготовить к сдаче Заказчику все Работы, выполненные Подрядчиком до даты расторжения Договора.</w:t>
      </w:r>
    </w:p>
    <w:p>
      <w:pPr>
        <w:pStyle w:val="ListParagraph"/>
        <w:numPr>
          <w:ilvl w:val="1"/>
          <w:numId w:val="17"/>
        </w:numPr>
        <w:shd w:val="clear" w:color="auto" w:fill="FFFFFF"/>
        <w:tabs>
          <w:tab w:val="clear" w:pos="708"/>
          <w:tab w:val="left" w:pos="355" w:leader="none"/>
          <w:tab w:val="left" w:pos="1418" w:leader="none"/>
        </w:tabs>
        <w:ind w:left="0" w:firstLine="709"/>
        <w:jc w:val="both"/>
        <w:rPr>
          <w:b/>
          <w:bCs/>
        </w:rPr>
      </w:pPr>
      <w:r>
        <w:rPr>
          <w:bCs/>
        </w:rPr>
        <w:t>Возмещение убытков Подрядчика, вызванных отказом от Договора (исполнения Договора), Заказчиком не производится.</w:t>
      </w:r>
    </w:p>
    <w:p>
      <w:pPr>
        <w:pStyle w:val="ListParagraph"/>
        <w:numPr>
          <w:ilvl w:val="1"/>
          <w:numId w:val="17"/>
        </w:numPr>
        <w:shd w:val="clear" w:color="auto" w:fill="FFFFFF"/>
        <w:tabs>
          <w:tab w:val="clear" w:pos="708"/>
          <w:tab w:val="left" w:pos="355" w:leader="none"/>
          <w:tab w:val="left" w:pos="1418" w:leader="none"/>
        </w:tabs>
        <w:ind w:left="0" w:firstLine="709"/>
        <w:jc w:val="both"/>
        <w:rPr>
          <w:b/>
          <w:bCs/>
        </w:rPr>
      </w:pPr>
      <w:r>
        <w:rPr>
          <w:bCs/>
        </w:rPr>
        <w:t>Расторжение Договора по инициативе Подрядчика:</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14.4.1.</w:t>
        <w:tab/>
        <w:t xml:space="preserve">В случае нарушения Заказчиком сроков оплаты более чем на 45 (сорок пять) календарных дней, Подрядчик вправе, предварительно письменно уведомив Заказчика за 30 (тридцать) календарных дней расторгнуть Договор в одностороннем порядке. </w:t>
      </w:r>
    </w:p>
    <w:p>
      <w:pPr>
        <w:pStyle w:val="ListParagraph"/>
        <w:numPr>
          <w:ilvl w:val="1"/>
          <w:numId w:val="17"/>
        </w:numPr>
        <w:shd w:val="clear" w:color="auto" w:fill="FFFFFF"/>
        <w:tabs>
          <w:tab w:val="clear" w:pos="708"/>
          <w:tab w:val="left" w:pos="355" w:leader="none"/>
          <w:tab w:val="left" w:pos="1418" w:leader="none"/>
        </w:tabs>
        <w:ind w:left="0" w:firstLine="709"/>
        <w:jc w:val="both"/>
        <w:rPr>
          <w:b/>
          <w:bCs/>
        </w:rPr>
      </w:pPr>
      <w:r>
        <w:rPr>
          <w:bCs/>
        </w:rPr>
        <w:t>С даты прекращения (расторжения) Договора Подрядчик обязан прекратить производство Работ (за исключением тех, которые необходимо завершить для обеспечения безопасности Объекта (-ов)), и в согласованные Сторонами сроки:</w:t>
      </w:r>
    </w:p>
    <w:p>
      <w:pPr>
        <w:pStyle w:val="ListParagraph"/>
        <w:numPr>
          <w:ilvl w:val="3"/>
          <w:numId w:val="18"/>
        </w:numPr>
        <w:shd w:val="clear" w:color="auto" w:fill="FFFFFF"/>
        <w:tabs>
          <w:tab w:val="clear" w:pos="708"/>
          <w:tab w:val="left" w:pos="567" w:leader="none"/>
          <w:tab w:val="left" w:pos="1134" w:leader="none"/>
        </w:tabs>
        <w:ind w:left="0" w:firstLine="709"/>
        <w:jc w:val="both"/>
        <w:rPr>
          <w:bCs/>
        </w:rPr>
      </w:pPr>
      <w:r>
        <w:rPr/>
        <w:t xml:space="preserve">передать Заказчику Результат Работ, техническую и иную полученную </w:t>
      </w:r>
      <w:r>
        <w:rPr>
          <w:bCs/>
        </w:rPr>
        <w:t>документацию, закупленные Материально-технические ресурсы;</w:t>
      </w:r>
    </w:p>
    <w:p>
      <w:pPr>
        <w:pStyle w:val="ListParagraph"/>
        <w:numPr>
          <w:ilvl w:val="3"/>
          <w:numId w:val="18"/>
        </w:numPr>
        <w:shd w:val="clear" w:color="auto" w:fill="FFFFFF"/>
        <w:tabs>
          <w:tab w:val="clear" w:pos="708"/>
          <w:tab w:val="left" w:pos="567" w:leader="none"/>
          <w:tab w:val="left" w:pos="1134" w:leader="none"/>
        </w:tabs>
        <w:ind w:left="0" w:firstLine="709"/>
        <w:jc w:val="both"/>
        <w:rPr>
          <w:bCs/>
        </w:rPr>
      </w:pPr>
      <w:r>
        <w:rPr>
          <w:bCs/>
        </w:rPr>
        <w:t xml:space="preserve">вывезти с места производства Работ собственное оборудование и персонал Подрядчика; </w:t>
      </w:r>
    </w:p>
    <w:p>
      <w:pPr>
        <w:pStyle w:val="ListParagraph"/>
        <w:numPr>
          <w:ilvl w:val="3"/>
          <w:numId w:val="18"/>
        </w:numPr>
        <w:shd w:val="clear" w:color="auto" w:fill="FFFFFF"/>
        <w:tabs>
          <w:tab w:val="clear" w:pos="708"/>
          <w:tab w:val="left" w:pos="567" w:leader="none"/>
          <w:tab w:val="left" w:pos="1134" w:leader="none"/>
        </w:tabs>
        <w:ind w:left="0" w:firstLine="709"/>
        <w:jc w:val="both"/>
        <w:rPr>
          <w:bCs/>
        </w:rPr>
      </w:pPr>
      <w:r>
        <w:rPr>
          <w:bCs/>
        </w:rPr>
        <w:t>удалить с места производства Работ весь мусор и все остаточные продукты любого рода.</w:t>
      </w:r>
    </w:p>
    <w:p>
      <w:pPr>
        <w:pStyle w:val="ListParagraph"/>
        <w:numPr>
          <w:ilvl w:val="1"/>
          <w:numId w:val="17"/>
        </w:numPr>
        <w:shd w:val="clear" w:color="auto" w:fill="FFFFFF"/>
        <w:tabs>
          <w:tab w:val="clear" w:pos="708"/>
          <w:tab w:val="left" w:pos="355" w:leader="none"/>
          <w:tab w:val="left" w:pos="1418" w:leader="none"/>
        </w:tabs>
        <w:ind w:left="0" w:firstLine="709"/>
        <w:jc w:val="both"/>
        <w:rPr>
          <w:b/>
          <w:bCs/>
        </w:rPr>
      </w:pPr>
      <w:r>
        <w:rPr>
          <w:bCs/>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гарантийных обязательств Подрядчика в соответствии с разделом 7 Договора, а также обязательств Подрядчика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8"/>
          <w:tab w:val="left" w:pos="355" w:leader="none"/>
          <w:tab w:val="left" w:pos="1418" w:leader="none"/>
        </w:tabs>
        <w:ind w:left="709" w:hanging="0"/>
        <w:jc w:val="both"/>
        <w:rPr>
          <w:b/>
          <w:bCs/>
        </w:rPr>
      </w:pPr>
      <w:r>
        <w:rPr>
          <w:b/>
          <w:bCs/>
        </w:rPr>
      </w:r>
    </w:p>
    <w:p>
      <w:pPr>
        <w:pStyle w:val="ListParagraph"/>
        <w:numPr>
          <w:ilvl w:val="0"/>
          <w:numId w:val="17"/>
        </w:numPr>
        <w:shd w:val="clear" w:color="auto" w:fill="FFFFFF"/>
        <w:tabs>
          <w:tab w:val="clear" w:pos="708"/>
          <w:tab w:val="left" w:pos="426" w:leader="none"/>
        </w:tabs>
        <w:jc w:val="center"/>
        <w:rPr>
          <w:b/>
          <w:bCs/>
        </w:rPr>
      </w:pPr>
      <w:r>
        <w:rPr>
          <w:b/>
          <w:bCs/>
        </w:rPr>
        <w:t>Заключительные положения</w:t>
      </w:r>
    </w:p>
    <w:p>
      <w:pPr>
        <w:pStyle w:val="ListParagraph"/>
        <w:numPr>
          <w:ilvl w:val="1"/>
          <w:numId w:val="23"/>
        </w:numPr>
        <w:shd w:val="clear" w:color="auto" w:fill="FFFFFF"/>
        <w:tabs>
          <w:tab w:val="clear" w:pos="708"/>
          <w:tab w:val="left" w:pos="1418" w:leader="none"/>
        </w:tabs>
        <w:jc w:val="both"/>
        <w:rPr/>
      </w:pPr>
      <w:r>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ListParagraph"/>
        <w:numPr>
          <w:ilvl w:val="1"/>
          <w:numId w:val="23"/>
        </w:numPr>
        <w:shd w:val="clear" w:color="auto" w:fill="FFFFFF"/>
        <w:tabs>
          <w:tab w:val="clear" w:pos="708"/>
          <w:tab w:val="left" w:pos="1134" w:leader="none"/>
        </w:tabs>
        <w:jc w:val="both"/>
        <w:rPr/>
      </w:pPr>
      <w:r>
        <w:rPr/>
        <w:t xml:space="preserve">Все </w:t>
      </w:r>
      <w:bookmarkStart w:id="17" w:name="_Hlk140851344"/>
      <w:r>
        <w:rPr/>
        <w:t>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либо в электронной форме с использованием программно-аппаратных средств информационной системы электронного документооборота (далее – ЭДО) путем подписания усиленной квалифицированной электронной подписью (далее – УКЭП) уполномоченных представителей Сторон, за исключением случаев изменения реквизитов Сторон, предусмотренных пунктом 15.6 Договора</w:t>
      </w:r>
      <w:bookmarkEnd w:id="17"/>
      <w:r>
        <w:rPr/>
        <w:t xml:space="preserve">. </w:t>
      </w:r>
    </w:p>
    <w:p>
      <w:pPr>
        <w:pStyle w:val="ListParagraph"/>
        <w:numPr>
          <w:ilvl w:val="1"/>
          <w:numId w:val="23"/>
        </w:numPr>
        <w:shd w:val="clear" w:color="auto" w:fill="FFFFFF"/>
        <w:tabs>
          <w:tab w:val="clear" w:pos="708"/>
          <w:tab w:val="left" w:pos="1134" w:leader="none"/>
        </w:tabs>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3"/>
        </w:numPr>
        <w:shd w:val="clear" w:color="auto" w:fill="FFFFFF"/>
        <w:tabs>
          <w:tab w:val="clear" w:pos="708"/>
          <w:tab w:val="left" w:pos="1134" w:leader="none"/>
        </w:tabs>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23"/>
        </w:numPr>
        <w:shd w:val="clear" w:color="auto" w:fill="FFFFFF"/>
        <w:tabs>
          <w:tab w:val="clear" w:pos="708"/>
          <w:tab w:val="left" w:pos="1134" w:leader="none"/>
        </w:tabs>
        <w:jc w:val="both"/>
        <w:rPr/>
      </w:pPr>
      <w:r>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порядке, предусмотренном пунктом 15.7 Договора.</w:t>
      </w:r>
    </w:p>
    <w:p>
      <w:pPr>
        <w:pStyle w:val="ListParagraph"/>
        <w:numPr>
          <w:ilvl w:val="1"/>
          <w:numId w:val="23"/>
        </w:numPr>
        <w:shd w:val="clear" w:color="auto" w:fill="FFFFFF"/>
        <w:tabs>
          <w:tab w:val="clear" w:pos="708"/>
          <w:tab w:val="left" w:pos="1134" w:leader="none"/>
        </w:tabs>
        <w:jc w:val="both"/>
        <w:rPr/>
      </w:pPr>
      <w:r>
        <w:rPr/>
        <w:t xml:space="preserve">Стороны обязуются уведомлять друг друга об изменении адреса и/или реквизитов, указанных в разделе 17 Договора, не позднее 3 (трех) рабочих дней после такого изменения в порядке, установленном пунктом 15.7 Договора. </w:t>
      </w:r>
    </w:p>
    <w:p>
      <w:pPr>
        <w:pStyle w:val="Normal"/>
        <w:shd w:val="clear" w:color="auto" w:fill="FFFFFF"/>
        <w:tabs>
          <w:tab w:val="clear" w:pos="708"/>
          <w:tab w:val="left" w:pos="1418" w:leader="none"/>
        </w:tabs>
        <w:jc w:val="both"/>
        <w:rPr>
          <w:lang w:val="ru-RU"/>
        </w:rPr>
      </w:pPr>
      <w:r>
        <w:rPr>
          <w:lang w:val="ru-RU"/>
        </w:rPr>
        <w:t>Письма, счета-фактуры, акты, уведомления и/или сообщения направляются Стороне-получателю следующими способами:</w:t>
      </w:r>
    </w:p>
    <w:p>
      <w:pPr>
        <w:pStyle w:val="ListParagraph"/>
        <w:shd w:val="clear" w:color="auto" w:fill="FFFFFF"/>
        <w:tabs>
          <w:tab w:val="clear" w:pos="708"/>
          <w:tab w:val="left" w:pos="1418" w:leader="none"/>
        </w:tabs>
        <w:ind w:left="0" w:firstLine="720"/>
        <w:jc w:val="both"/>
        <w:rPr/>
      </w:pPr>
      <w:r>
        <w:rPr/>
        <w:t xml:space="preserve">По адресу ее места нахождения, указанному в разделе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pPr>
        <w:pStyle w:val="ListParagraph"/>
        <w:numPr>
          <w:ilvl w:val="0"/>
          <w:numId w:val="24"/>
        </w:numPr>
        <w:shd w:val="clear" w:color="auto" w:fill="FFFFFF"/>
        <w:tabs>
          <w:tab w:val="clear" w:pos="708"/>
          <w:tab w:val="left" w:pos="993" w:leader="none"/>
        </w:tabs>
        <w:ind w:left="1276" w:hanging="283"/>
        <w:jc w:val="both"/>
        <w:rPr>
          <w:bCs/>
        </w:rPr>
      </w:pPr>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numPr>
          <w:ilvl w:val="0"/>
          <w:numId w:val="24"/>
        </w:numPr>
        <w:shd w:val="clear" w:color="auto" w:fill="FFFFFF"/>
        <w:tabs>
          <w:tab w:val="clear" w:pos="708"/>
          <w:tab w:val="left" w:pos="1276" w:leader="none"/>
        </w:tabs>
        <w:ind w:left="1276" w:hanging="283"/>
        <w:jc w:val="both"/>
        <w:rPr>
          <w:bCs/>
        </w:rPr>
      </w:pPr>
      <w:r>
        <w:rPr>
          <w:bCs/>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bookmarkStart w:id="18" w:name="_GoBack"/>
      <w:bookmarkEnd w:id="18"/>
    </w:p>
    <w:p>
      <w:pPr>
        <w:pStyle w:val="ListParagraph"/>
        <w:shd w:val="clear" w:color="auto" w:fill="FFFFFF"/>
        <w:tabs>
          <w:tab w:val="clear" w:pos="708"/>
          <w:tab w:val="left" w:pos="993" w:leader="none"/>
        </w:tabs>
        <w:ind w:left="0" w:firstLine="720"/>
        <w:jc w:val="both"/>
        <w:rPr>
          <w:bCs/>
        </w:rPr>
      </w:pPr>
      <w:r>
        <w:rPr>
          <w:bCs/>
        </w:rPr>
        <w:t xml:space="preserve">Посредством </w:t>
      </w:r>
      <w:bookmarkStart w:id="19" w:name="_Hlk140848735"/>
      <w:r>
        <w:rPr>
          <w:bCs/>
        </w:rPr>
        <w:t>ЭДО через оператора системы ЭДО путем подписания УКЭП уполномоченного представителя Стороны-отправителя</w:t>
      </w:r>
      <w:bookmarkEnd w:id="19"/>
      <w:r>
        <w:rPr>
          <w:bCs/>
        </w:rPr>
        <w:t>.</w:t>
      </w:r>
    </w:p>
    <w:p>
      <w:pPr>
        <w:pStyle w:val="ListParagraph"/>
        <w:numPr>
          <w:ilvl w:val="1"/>
          <w:numId w:val="23"/>
        </w:numPr>
        <w:shd w:val="clear" w:color="auto" w:fill="FFFFFF"/>
        <w:tabs>
          <w:tab w:val="clear" w:pos="708"/>
          <w:tab w:val="left" w:pos="1418" w:leader="none"/>
        </w:tabs>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23"/>
        </w:numPr>
        <w:shd w:val="clear" w:color="auto" w:fill="FFFFFF"/>
        <w:tabs>
          <w:tab w:val="clear" w:pos="708"/>
          <w:tab w:val="left" w:pos="1418" w:leader="none"/>
        </w:tabs>
        <w:jc w:val="both"/>
        <w:rPr>
          <w:bCs/>
        </w:rPr>
      </w:pPr>
      <w:r>
        <w:rPr/>
        <w:t>Уступка (</w:t>
      </w:r>
      <w:r>
        <w:rPr>
          <w:bCs/>
        </w:rPr>
        <w:t>передача</w:t>
      </w:r>
      <w:r>
        <w:rPr/>
        <w:t xml:space="preserve">), в том числе в залог, прав (требований) к Заказчику по денежным обязательствам, </w:t>
      </w:r>
      <w:r>
        <w:rPr>
          <w:bCs/>
        </w:rPr>
        <w:t xml:space="preserve">возникшим из Договора, и </w:t>
      </w:r>
      <w:r>
        <w:rPr/>
        <w:t>принадлежащих Подрядчику</w:t>
      </w:r>
      <w:r>
        <w:rPr>
          <w:bCs/>
        </w:rPr>
        <w:t>, осуществляется</w:t>
      </w:r>
      <w:r>
        <w:rPr/>
        <w:t xml:space="preserve"> только </w:t>
      </w:r>
      <w:r>
        <w:rPr>
          <w:bCs/>
        </w:rPr>
        <w:t>при условии</w:t>
      </w:r>
      <w:r>
        <w:rPr/>
        <w:t xml:space="preserve"> предварительного письменного согласия Заказчика и оформляется </w:t>
      </w:r>
      <w:r>
        <w:rPr>
          <w:bCs/>
        </w:rPr>
        <w:t>трёхсторонним</w:t>
      </w:r>
      <w:r>
        <w:rPr/>
        <w:t xml:space="preserve"> договором</w:t>
      </w:r>
      <w:r>
        <w:rPr>
          <w:bCs/>
        </w:rPr>
        <w:t>.</w:t>
      </w:r>
    </w:p>
    <w:p>
      <w:pPr>
        <w:pStyle w:val="ListParagraph"/>
        <w:numPr>
          <w:ilvl w:val="1"/>
          <w:numId w:val="23"/>
        </w:numPr>
        <w:shd w:val="clear" w:color="auto" w:fill="FFFFFF"/>
        <w:tabs>
          <w:tab w:val="clear" w:pos="708"/>
          <w:tab w:val="left" w:pos="1276" w:leader="none"/>
          <w:tab w:val="left" w:pos="1418" w:leader="none"/>
        </w:tabs>
        <w:jc w:val="both"/>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23"/>
        </w:numPr>
        <w:shd w:val="clear" w:color="auto" w:fill="FFFFFF"/>
        <w:tabs>
          <w:tab w:val="clear" w:pos="708"/>
          <w:tab w:val="left" w:pos="1134" w:leader="none"/>
          <w:tab w:val="left" w:pos="1418" w:leader="none"/>
        </w:tabs>
        <w:jc w:val="both"/>
        <w:rPr/>
      </w:pPr>
      <w:r>
        <w:rPr/>
        <w:t xml:space="preserve">Договор составлен в 2 (двух) оригинальных экземплярах, имеющих равную юридическую силу, по 1 (одному) для каждой из Сторон. </w:t>
      </w:r>
      <w:bookmarkStart w:id="20" w:name="_Hlk147231349"/>
      <w:r>
        <w:rPr>
          <w:i/>
          <w:iCs/>
        </w:rPr>
        <w:t>(в случае заключения на бумажном носителе)</w:t>
      </w:r>
      <w:bookmarkEnd w:id="20"/>
    </w:p>
    <w:p>
      <w:pPr>
        <w:pStyle w:val="ListParagraph"/>
        <w:numPr>
          <w:ilvl w:val="0"/>
          <w:numId w:val="17"/>
        </w:numPr>
        <w:shd w:val="clear" w:color="auto" w:fill="FFFFFF"/>
        <w:tabs>
          <w:tab w:val="clear" w:pos="708"/>
          <w:tab w:val="left" w:pos="426" w:leader="none"/>
        </w:tabs>
        <w:jc w:val="center"/>
        <w:rPr>
          <w:b/>
          <w:bCs/>
        </w:rPr>
      </w:pPr>
      <w:r>
        <w:rPr>
          <w:b/>
          <w:bCs/>
        </w:rPr>
        <w:t>Список приложений</w:t>
      </w:r>
    </w:p>
    <w:p>
      <w:pPr>
        <w:pStyle w:val="Normal"/>
        <w:tabs>
          <w:tab w:val="clear" w:pos="708"/>
          <w:tab w:val="left" w:pos="2127" w:leader="none"/>
          <w:tab w:val="left" w:pos="2410" w:leader="none"/>
        </w:tabs>
        <w:jc w:val="both"/>
        <w:rPr>
          <w:lang w:val="ru-RU"/>
        </w:rPr>
      </w:pPr>
      <w:r>
        <w:rPr>
          <w:lang w:val="ru-RU"/>
        </w:rPr>
        <w:t>Приложение № 1 –</w:t>
      </w:r>
      <w:r>
        <w:rPr>
          <w:bCs/>
          <w:szCs w:val="22"/>
          <w:lang w:val="ru-RU"/>
        </w:rPr>
        <w:t xml:space="preserve"> Техническое задание</w:t>
      </w:r>
      <w:r>
        <w:rPr>
          <w:lang w:val="ru-RU"/>
        </w:rPr>
        <w:t>;</w:t>
      </w:r>
    </w:p>
    <w:p>
      <w:pPr>
        <w:pStyle w:val="Normal"/>
        <w:tabs>
          <w:tab w:val="clear" w:pos="708"/>
          <w:tab w:val="left" w:pos="2127" w:leader="none"/>
          <w:tab w:val="left" w:pos="2410" w:leader="none"/>
        </w:tabs>
        <w:jc w:val="both"/>
        <w:rPr>
          <w:bCs/>
          <w:lang w:val="ru-RU"/>
        </w:rPr>
      </w:pPr>
      <w:r>
        <w:rPr>
          <w:lang w:val="ru-RU"/>
        </w:rPr>
        <w:t>Приложение № 2</w:t>
      </w:r>
      <w:r>
        <w:rPr>
          <w:bCs/>
          <w:lang w:val="ru-RU"/>
        </w:rPr>
        <w:t> </w:t>
      </w:r>
      <w:r>
        <w:rPr>
          <w:lang w:val="ru-RU"/>
        </w:rPr>
        <w:t>–</w:t>
      </w:r>
      <w:r>
        <w:rPr>
          <w:bCs/>
          <w:lang w:val="ru-RU"/>
        </w:rPr>
        <w:t> Размер ответственности Подрядчика за нарушения пропускного и внутриобъектового режима, требований охраны труда, пожарной безопасности;</w:t>
      </w:r>
    </w:p>
    <w:p>
      <w:pPr>
        <w:pStyle w:val="Normal"/>
        <w:tabs>
          <w:tab w:val="clear" w:pos="708"/>
          <w:tab w:val="left" w:pos="2127" w:leader="none"/>
          <w:tab w:val="left" w:pos="2410" w:leader="none"/>
        </w:tabs>
        <w:jc w:val="both"/>
        <w:rPr>
          <w:bCs/>
          <w:lang w:val="ru-RU"/>
        </w:rPr>
      </w:pPr>
      <w:r>
        <w:rPr>
          <w:bCs/>
          <w:lang w:val="ru-RU"/>
        </w:rPr>
        <w:t>Приложение № 3 – Локальный сметный расчет.</w:t>
      </w:r>
    </w:p>
    <w:p>
      <w:pPr>
        <w:pStyle w:val="Normal"/>
        <w:tabs>
          <w:tab w:val="clear" w:pos="708"/>
          <w:tab w:val="left" w:pos="2127" w:leader="none"/>
          <w:tab w:val="left" w:pos="2410" w:leader="none"/>
        </w:tabs>
        <w:jc w:val="both"/>
        <w:rPr>
          <w:bCs/>
          <w:lang w:val="ru-RU"/>
        </w:rPr>
      </w:pPr>
      <w:r>
        <w:rPr>
          <w:bCs/>
          <w:lang w:val="ru-RU"/>
        </w:rPr>
        <w:t>Приложение № 4 – Ведомость объемов работ.</w:t>
      </w:r>
    </w:p>
    <w:p>
      <w:pPr>
        <w:pStyle w:val="ListParagraph"/>
        <w:shd w:val="clear" w:color="auto" w:fill="FFFFFF"/>
        <w:tabs>
          <w:tab w:val="clear" w:pos="708"/>
          <w:tab w:val="left" w:pos="1134" w:leader="none"/>
          <w:tab w:val="left" w:pos="2127" w:leader="none"/>
          <w:tab w:val="left" w:pos="2410" w:leader="none"/>
        </w:tabs>
        <w:ind w:left="0" w:hanging="0"/>
        <w:rPr>
          <w:lang w:eastAsia="en-US"/>
        </w:rPr>
      </w:pPr>
      <w:r>
        <w:rPr>
          <w:lang w:eastAsia="en-US"/>
        </w:rPr>
      </w:r>
    </w:p>
    <w:p>
      <w:pPr>
        <w:pStyle w:val="Normal"/>
        <w:shd w:val="clear" w:color="auto" w:fill="FFFFFF"/>
        <w:tabs>
          <w:tab w:val="clear" w:pos="708"/>
          <w:tab w:val="left" w:pos="426" w:leader="none"/>
        </w:tabs>
        <w:jc w:val="center"/>
        <w:rPr>
          <w:b/>
          <w:bCs/>
          <w:color w:val="000000"/>
          <w:lang w:val="ru-RU"/>
        </w:rPr>
      </w:pPr>
      <w:r>
        <w:rPr>
          <w:b/>
          <w:bCs/>
          <w:color w:val="000000"/>
          <w:lang w:val="ru-RU"/>
        </w:rPr>
        <w:t>17. Адреса и платежные реквизиты Сторон</w:t>
      </w:r>
    </w:p>
    <w:p>
      <w:pPr>
        <w:pStyle w:val="Normal"/>
        <w:shd w:val="clear" w:color="auto" w:fill="FFFFFF"/>
        <w:tabs>
          <w:tab w:val="clear" w:pos="708"/>
          <w:tab w:val="left" w:pos="426" w:leader="none"/>
        </w:tabs>
        <w:jc w:val="center"/>
        <w:rPr>
          <w:b/>
          <w:bCs/>
          <w:color w:val="000000"/>
          <w:lang w:val="ru-RU"/>
        </w:rPr>
      </w:pPr>
      <w:r>
        <w:rPr>
          <w:b/>
          <w:bCs/>
          <w:color w:val="000000"/>
          <w:lang w:val="ru-RU"/>
        </w:rPr>
      </w:r>
    </w:p>
    <w:tbl>
      <w:tblPr>
        <w:tblStyle w:val="affb"/>
        <w:tblW w:w="10200"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5065"/>
        <w:gridCol w:w="5134"/>
      </w:tblGrid>
      <w:tr>
        <w:trPr/>
        <w:tc>
          <w:tcPr>
            <w:tcW w:w="5065" w:type="dxa"/>
            <w:tcBorders>
              <w:top w:val="nil"/>
              <w:left w:val="nil"/>
              <w:bottom w:val="nil"/>
              <w:right w:val="nil"/>
            </w:tcBorders>
          </w:tcPr>
          <w:p>
            <w:pPr>
              <w:pStyle w:val="Normal"/>
              <w:widowControl w:val="false"/>
              <w:tabs>
                <w:tab w:val="clear" w:pos="708"/>
                <w:tab w:val="left" w:pos="426" w:leader="none"/>
              </w:tabs>
              <w:suppressAutoHyphens w:val="true"/>
              <w:spacing w:before="0" w:after="0"/>
              <w:jc w:val="left"/>
              <w:rPr>
                <w:b/>
                <w:bCs/>
                <w:color w:val="000000"/>
                <w:lang w:val="ru-RU"/>
              </w:rPr>
            </w:pPr>
            <w:r>
              <w:rPr>
                <w:rFonts w:eastAsia="Times New Roman" w:cs="Times New Roman"/>
                <w:b/>
                <w:bCs/>
                <w:color w:val="000000"/>
                <w:kern w:val="0"/>
                <w:lang w:val="ru-RU" w:eastAsia="ru-RU" w:bidi="ar-SA"/>
              </w:rPr>
              <w:t>ЗАКАЗЧИК:</w:t>
            </w:r>
          </w:p>
        </w:tc>
        <w:tc>
          <w:tcPr>
            <w:tcW w:w="5134" w:type="dxa"/>
            <w:tcBorders>
              <w:top w:val="nil"/>
              <w:left w:val="nil"/>
              <w:bottom w:val="nil"/>
              <w:right w:val="nil"/>
            </w:tcBorders>
          </w:tcPr>
          <w:p>
            <w:pPr>
              <w:pStyle w:val="Normal"/>
              <w:widowControl w:val="false"/>
              <w:tabs>
                <w:tab w:val="clear" w:pos="708"/>
                <w:tab w:val="left" w:pos="426" w:leader="none"/>
              </w:tabs>
              <w:suppressAutoHyphens w:val="true"/>
              <w:spacing w:before="0" w:after="0"/>
              <w:jc w:val="left"/>
              <w:rPr>
                <w:b/>
                <w:bCs/>
                <w:color w:val="000000"/>
                <w:lang w:val="ru-RU"/>
              </w:rPr>
            </w:pPr>
            <w:r>
              <w:rPr>
                <w:rFonts w:eastAsia="Times New Roman" w:cs="Times New Roman"/>
                <w:b/>
                <w:bCs/>
                <w:color w:val="000000"/>
                <w:kern w:val="0"/>
                <w:lang w:val="ru-RU" w:eastAsia="ru-RU" w:bidi="ar-SA"/>
              </w:rPr>
              <w:t>ПОДРЯДЧИК:</w:t>
            </w:r>
          </w:p>
        </w:tc>
      </w:tr>
      <w:tr>
        <w:trPr/>
        <w:tc>
          <w:tcPr>
            <w:tcW w:w="5065" w:type="dxa"/>
            <w:tcBorders>
              <w:top w:val="nil"/>
              <w:left w:val="nil"/>
              <w:bottom w:val="nil"/>
              <w:right w:val="nil"/>
            </w:tcBorders>
          </w:tcPr>
          <w:p>
            <w:pPr>
              <w:pStyle w:val="Normal"/>
              <w:widowControl w:val="false"/>
              <w:tabs>
                <w:tab w:val="clear" w:pos="708"/>
                <w:tab w:val="left" w:pos="851" w:leader="none"/>
              </w:tabs>
              <w:suppressAutoHyphens w:val="true"/>
              <w:spacing w:before="0" w:after="0"/>
              <w:contextualSpacing/>
              <w:jc w:val="left"/>
              <w:rPr>
                <w:b/>
                <w:lang w:val="ru-RU"/>
              </w:rPr>
            </w:pPr>
            <w:r>
              <w:rPr/>
            </w:r>
          </w:p>
          <w:tbl>
            <w:tblPr>
              <w:tblStyle w:val="affb"/>
              <w:tblW w:w="10200"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10200"/>
            </w:tblGrid>
            <w:tr>
              <w:trPr/>
              <w:tc>
                <w:tcPr>
                  <w:tcW w:w="10200" w:type="dxa"/>
                  <w:tcBorders>
                    <w:top w:val="nil"/>
                    <w:left w:val="nil"/>
                    <w:bottom w:val="nil"/>
                    <w:right w:val="nil"/>
                  </w:tcBorders>
                </w:tcPr>
                <w:p>
                  <w:pPr>
                    <w:pStyle w:val="Normal"/>
                    <w:widowControl w:val="false"/>
                    <w:tabs>
                      <w:tab w:val="clear" w:pos="708"/>
                      <w:tab w:val="left" w:pos="5638" w:leader="none"/>
                    </w:tabs>
                    <w:suppressAutoHyphens w:val="true"/>
                    <w:spacing w:before="0" w:after="0"/>
                    <w:ind w:right="-22" w:hanging="0"/>
                    <w:jc w:val="left"/>
                    <w:rPr>
                      <w:lang w:val="ru-RU"/>
                    </w:rPr>
                  </w:pPr>
                  <w:r>
                    <w:rPr>
                      <w:rFonts w:eastAsia="Times New Roman" w:cs="Times New Roman"/>
                      <w:b/>
                      <w:bCs/>
                      <w:kern w:val="0"/>
                      <w:lang w:val="ru-RU" w:eastAsia="ru-RU" w:bidi="ar-SA"/>
                    </w:rPr>
                    <w:t>Акционерное общество “Транспортная компания РусГидро” (АО “ТКРУсГидро”)</w:t>
                  </w:r>
                </w:p>
                <w:p>
                  <w:pPr>
                    <w:pStyle w:val="Normal"/>
                    <w:widowControl w:val="false"/>
                    <w:tabs>
                      <w:tab w:val="clear" w:pos="708"/>
                      <w:tab w:val="left" w:pos="5638" w:leader="none"/>
                    </w:tabs>
                    <w:suppressAutoHyphens w:val="true"/>
                    <w:spacing w:before="0" w:after="0"/>
                    <w:ind w:right="113" w:hanging="0"/>
                    <w:jc w:val="left"/>
                    <w:rPr>
                      <w:b/>
                      <w:bCs/>
                      <w:color w:val="000000"/>
                      <w:spacing w:val="-2"/>
                      <w:lang w:val="ru-RU"/>
                    </w:rPr>
                  </w:pPr>
                  <w:r>
                    <w:rPr>
                      <w:rFonts w:eastAsia="Times New Roman" w:cs="Times New Roman"/>
                      <w:b/>
                      <w:bCs/>
                      <w:color w:val="000000"/>
                      <w:spacing w:val="-2"/>
                      <w:kern w:val="0"/>
                      <w:lang w:val="ru-RU" w:eastAsia="ru-RU" w:bidi="ar-SA"/>
                    </w:rPr>
                    <w:t>Владивостокское представительство АО «Транспортная компания РусГидро»</w:t>
                  </w:r>
                </w:p>
                <w:p>
                  <w:pPr>
                    <w:pStyle w:val="Normal"/>
                    <w:widowControl w:val="false"/>
                    <w:tabs>
                      <w:tab w:val="clear" w:pos="708"/>
                      <w:tab w:val="left" w:pos="5638" w:leader="none"/>
                    </w:tabs>
                    <w:suppressAutoHyphens w:val="true"/>
                    <w:spacing w:before="0" w:after="0"/>
                    <w:ind w:right="-22" w:hanging="0"/>
                    <w:jc w:val="left"/>
                    <w:rPr>
                      <w:color w:val="000000"/>
                      <w:spacing w:val="-2"/>
                      <w:lang w:val="ru-RU"/>
                    </w:rPr>
                  </w:pPr>
                  <w:r>
                    <w:rPr>
                      <w:rFonts w:eastAsia="Times New Roman" w:cs="Times New Roman"/>
                      <w:color w:val="000000"/>
                      <w:spacing w:val="-2"/>
                      <w:kern w:val="0"/>
                      <w:lang w:val="ru-RU" w:eastAsia="ru-RU" w:bidi="ar-SA"/>
                    </w:rPr>
                    <w:t>Адрес (юридический/почтовый):</w:t>
                  </w:r>
                </w:p>
                <w:p>
                  <w:pPr>
                    <w:pStyle w:val="Normal"/>
                    <w:widowControl w:val="false"/>
                    <w:tabs>
                      <w:tab w:val="clear" w:pos="708"/>
                      <w:tab w:val="left" w:pos="5638" w:leader="none"/>
                    </w:tabs>
                    <w:suppressAutoHyphens w:val="true"/>
                    <w:spacing w:lineRule="auto" w:line="192" w:before="0" w:after="0"/>
                    <w:ind w:right="-23" w:hanging="0"/>
                    <w:jc w:val="left"/>
                    <w:rPr>
                      <w:color w:val="000000"/>
                      <w:spacing w:val="-2"/>
                      <w:sz w:val="20"/>
                      <w:szCs w:val="20"/>
                      <w:lang w:val="ru-RU"/>
                    </w:rPr>
                  </w:pPr>
                  <w:r>
                    <w:rPr>
                      <w:rFonts w:eastAsia="Times New Roman" w:cs="Times New Roman"/>
                      <w:color w:val="000000"/>
                      <w:spacing w:val="-2"/>
                      <w:kern w:val="0"/>
                      <w:sz w:val="20"/>
                      <w:szCs w:val="20"/>
                      <w:lang w:val="ru-RU" w:eastAsia="ru-RU" w:bidi="ar-SA"/>
                    </w:rPr>
                    <w:t xml:space="preserve"> </w:t>
                  </w:r>
                  <w:r>
                    <w:rPr>
                      <w:rFonts w:eastAsia="Times New Roman" w:cs="Times New Roman"/>
                      <w:color w:val="000000"/>
                      <w:spacing w:val="-2"/>
                      <w:kern w:val="0"/>
                      <w:lang w:val="ru-RU" w:eastAsia="ru-RU" w:bidi="ar-SA"/>
                    </w:rPr>
                    <w:t xml:space="preserve">655619, Республика Хакасия, г. Саяногорск, </w:t>
                  </w:r>
                </w:p>
                <w:p>
                  <w:pPr>
                    <w:pStyle w:val="Normal"/>
                    <w:widowControl w:val="false"/>
                    <w:tabs>
                      <w:tab w:val="clear" w:pos="708"/>
                      <w:tab w:val="left" w:pos="5638" w:leader="none"/>
                    </w:tabs>
                    <w:suppressAutoHyphens w:val="true"/>
                    <w:spacing w:lineRule="auto" w:line="192" w:before="0" w:after="0"/>
                    <w:ind w:right="-23" w:hanging="0"/>
                    <w:jc w:val="left"/>
                    <w:rPr>
                      <w:color w:val="000000"/>
                      <w:spacing w:val="-2"/>
                      <w:sz w:val="20"/>
                      <w:szCs w:val="20"/>
                      <w:lang w:val="ru-RU"/>
                    </w:rPr>
                  </w:pPr>
                  <w:r>
                    <w:rPr>
                      <w:rFonts w:eastAsia="Times New Roman" w:cs="Times New Roman"/>
                      <w:color w:val="000000"/>
                      <w:spacing w:val="-2"/>
                      <w:kern w:val="0"/>
                      <w:lang w:val="ru-RU" w:eastAsia="ru-RU" w:bidi="ar-SA"/>
                    </w:rPr>
                    <w:t>рп. Черемушки, дом 101.</w:t>
                  </w:r>
                </w:p>
                <w:p>
                  <w:pPr>
                    <w:pStyle w:val="Normal"/>
                    <w:widowControl w:val="false"/>
                    <w:tabs>
                      <w:tab w:val="clear" w:pos="708"/>
                      <w:tab w:val="left" w:pos="5638" w:leader="none"/>
                    </w:tabs>
                    <w:suppressAutoHyphens w:val="true"/>
                    <w:spacing w:before="0" w:after="0"/>
                    <w:ind w:right="-22" w:hanging="0"/>
                    <w:jc w:val="left"/>
                    <w:rPr>
                      <w:color w:val="000000"/>
                      <w:spacing w:val="-2"/>
                      <w:lang w:val="ru-RU"/>
                    </w:rPr>
                  </w:pPr>
                  <w:r>
                    <w:rPr>
                      <w:rFonts w:eastAsia="Times New Roman" w:cs="Times New Roman"/>
                      <w:color w:val="000000"/>
                      <w:spacing w:val="-2"/>
                      <w:kern w:val="0"/>
                      <w:lang w:val="ru-RU" w:eastAsia="ru-RU" w:bidi="ar-SA"/>
                    </w:rPr>
                    <w:t>Адрес местонахождения:</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 xml:space="preserve">690091, Приморский край, г. Владивосток </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ул. Западная, 29</w:t>
                  </w:r>
                </w:p>
                <w:p>
                  <w:pPr>
                    <w:pStyle w:val="Normal"/>
                    <w:widowControl w:val="false"/>
                    <w:tabs>
                      <w:tab w:val="clear" w:pos="708"/>
                      <w:tab w:val="left" w:pos="5638" w:leader="none"/>
                    </w:tabs>
                    <w:suppressAutoHyphens w:val="true"/>
                    <w:spacing w:before="0" w:after="0"/>
                    <w:ind w:right="1077" w:hanging="0"/>
                    <w:jc w:val="both"/>
                    <w:rPr>
                      <w:lang w:val="ru-RU"/>
                    </w:rPr>
                  </w:pPr>
                  <w:r>
                    <w:rPr>
                      <w:rFonts w:eastAsia="Times New Roman" w:cs="Times New Roman"/>
                      <w:color w:val="000000"/>
                      <w:spacing w:val="-2"/>
                      <w:kern w:val="0"/>
                      <w:lang w:val="ru-RU" w:eastAsia="ru-RU" w:bidi="ar-SA"/>
                    </w:rPr>
                    <w:t>Почтовый адрес: 680021, Хабаровский край,  г. Хабаровск, ул. Ленинградская, 46 9 этаж</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ОГРН 1031900676356</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ИНН 1902018248 КПП 254044001</w:t>
                  </w:r>
                </w:p>
                <w:p>
                  <w:pPr>
                    <w:pStyle w:val="Normal"/>
                    <w:widowControl w:val="false"/>
                    <w:tabs>
                      <w:tab w:val="clear" w:pos="708"/>
                      <w:tab w:val="left" w:pos="5638" w:leader="none"/>
                    </w:tabs>
                    <w:suppressAutoHyphens w:val="true"/>
                    <w:spacing w:before="0" w:after="0"/>
                    <w:ind w:right="170" w:hanging="0"/>
                    <w:jc w:val="left"/>
                    <w:rPr>
                      <w:color w:val="000000"/>
                      <w:spacing w:val="-2"/>
                      <w:lang w:val="ru-RU"/>
                    </w:rPr>
                  </w:pPr>
                  <w:r>
                    <w:rPr>
                      <w:rFonts w:eastAsia="Times New Roman" w:cs="Times New Roman"/>
                      <w:color w:val="000000"/>
                      <w:spacing w:val="-2"/>
                      <w:kern w:val="0"/>
                      <w:lang w:val="ru-RU" w:eastAsia="ru-RU" w:bidi="ar-SA"/>
                    </w:rPr>
                    <w:t>Дальневосточный филиал ПАО «Сбербанк России» г. Хабаровск</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р/с 40702810270000000696</w:t>
                  </w:r>
                </w:p>
                <w:p>
                  <w:pPr>
                    <w:pStyle w:val="Normal"/>
                    <w:widowControl w:val="false"/>
                    <w:tabs>
                      <w:tab w:val="clear" w:pos="708"/>
                      <w:tab w:val="left" w:pos="5638" w:leader="none"/>
                    </w:tabs>
                    <w:suppressAutoHyphens w:val="true"/>
                    <w:spacing w:before="0" w:after="0"/>
                    <w:ind w:right="-22" w:hanging="0"/>
                    <w:jc w:val="left"/>
                    <w:rPr>
                      <w:color w:val="000000"/>
                      <w:spacing w:val="-2"/>
                      <w:lang w:val="ru-RU"/>
                    </w:rPr>
                  </w:pPr>
                  <w:r>
                    <w:rPr>
                      <w:rFonts w:eastAsia="Times New Roman" w:cs="Times New Roman"/>
                      <w:color w:val="000000"/>
                      <w:spacing w:val="-2"/>
                      <w:kern w:val="0"/>
                      <w:lang w:val="ru-RU" w:eastAsia="ru-RU" w:bidi="ar-SA"/>
                    </w:rPr>
                    <w:t>К/с 30101810600000000608</w:t>
                  </w:r>
                </w:p>
                <w:p>
                  <w:pPr>
                    <w:pStyle w:val="Normal"/>
                    <w:widowControl w:val="false"/>
                    <w:tabs>
                      <w:tab w:val="clear" w:pos="708"/>
                      <w:tab w:val="left" w:pos="5638" w:leader="none"/>
                    </w:tabs>
                    <w:suppressAutoHyphens w:val="true"/>
                    <w:spacing w:before="0" w:after="0"/>
                    <w:ind w:left="1094" w:right="-22" w:hanging="1094"/>
                    <w:jc w:val="left"/>
                    <w:rPr>
                      <w:color w:val="000000"/>
                      <w:spacing w:val="-2"/>
                      <w:lang w:val="ru-RU"/>
                    </w:rPr>
                  </w:pPr>
                  <w:r>
                    <w:rPr>
                      <w:rFonts w:eastAsia="Times New Roman" w:cs="Times New Roman"/>
                      <w:color w:val="000000"/>
                      <w:spacing w:val="-2"/>
                      <w:kern w:val="0"/>
                      <w:lang w:val="ru-RU" w:eastAsia="ru-RU" w:bidi="ar-SA"/>
                    </w:rPr>
                    <w:t>БИК 040813608</w:t>
                  </w:r>
                </w:p>
                <w:p>
                  <w:pPr>
                    <w:pStyle w:val="Normal"/>
                    <w:widowControl w:val="false"/>
                    <w:tabs>
                      <w:tab w:val="clear" w:pos="708"/>
                      <w:tab w:val="left" w:pos="426" w:leader="none"/>
                    </w:tabs>
                    <w:suppressAutoHyphens w:val="true"/>
                    <w:spacing w:before="0" w:after="0"/>
                    <w:jc w:val="left"/>
                    <w:rPr>
                      <w:b/>
                      <w:bCs/>
                      <w:color w:val="000000"/>
                      <w:lang w:val="ru-RU"/>
                    </w:rPr>
                  </w:pPr>
                  <w:r>
                    <w:rPr>
                      <w:rFonts w:eastAsia="Times New Roman" w:cs="Times New Roman"/>
                      <w:color w:val="000000"/>
                      <w:kern w:val="0"/>
                      <w:lang w:val="en-US" w:eastAsia="ru-RU" w:bidi="ar-SA"/>
                    </w:rPr>
                    <w:t>E</w:t>
                  </w:r>
                  <w:r>
                    <w:rPr>
                      <w:rFonts w:eastAsia="Times New Roman" w:cs="Times New Roman"/>
                      <w:color w:val="000000"/>
                      <w:kern w:val="0"/>
                      <w:lang w:val="ru-RU" w:eastAsia="ru-RU" w:bidi="ar-SA"/>
                    </w:rPr>
                    <w:t>-</w:t>
                  </w:r>
                  <w:r>
                    <w:rPr>
                      <w:rFonts w:eastAsia="Times New Roman" w:cs="Times New Roman"/>
                      <w:color w:val="000000"/>
                      <w:kern w:val="0"/>
                      <w:lang w:val="en-US" w:eastAsia="ru-RU" w:bidi="ar-SA"/>
                    </w:rPr>
                    <w:t>mail</w:t>
                  </w:r>
                  <w:r>
                    <w:rPr>
                      <w:rFonts w:eastAsia="Times New Roman" w:cs="Times New Roman"/>
                      <w:color w:val="000000"/>
                      <w:kern w:val="0"/>
                      <w:lang w:val="ru-RU" w:eastAsia="ru-RU" w:bidi="ar-SA"/>
                    </w:rPr>
                    <w:t>: tk@rushydro.r</w:t>
                  </w:r>
                  <w:r>
                    <w:rPr>
                      <w:rFonts w:eastAsia="Times New Roman" w:cs="Times New Roman"/>
                      <w:color w:val="000000"/>
                      <w:kern w:val="0"/>
                      <w:lang w:val="en-US" w:eastAsia="ru-RU" w:bidi="ar-SA"/>
                    </w:rPr>
                    <w:t>u</w:t>
                  </w:r>
                </w:p>
                <w:p>
                  <w:pPr>
                    <w:pStyle w:val="Normal"/>
                    <w:widowControl w:val="false"/>
                    <w:tabs>
                      <w:tab w:val="clear" w:pos="708"/>
                      <w:tab w:val="left" w:pos="426" w:leader="none"/>
                    </w:tabs>
                    <w:suppressAutoHyphens w:val="true"/>
                    <w:spacing w:before="0" w:after="0"/>
                    <w:jc w:val="left"/>
                    <w:rPr>
                      <w:sz w:val="20"/>
                      <w:szCs w:val="20"/>
                      <w:lang w:val="ru-RU"/>
                    </w:rPr>
                  </w:pPr>
                  <w:r>
                    <w:rPr>
                      <w:sz w:val="20"/>
                      <w:szCs w:val="20"/>
                      <w:lang w:val="ru-RU"/>
                    </w:rPr>
                  </w:r>
                </w:p>
                <w:p>
                  <w:pPr>
                    <w:pStyle w:val="Normal"/>
                    <w:widowControl w:val="false"/>
                    <w:tabs>
                      <w:tab w:val="clear" w:pos="708"/>
                      <w:tab w:val="left" w:pos="426" w:leader="none"/>
                    </w:tabs>
                    <w:suppressAutoHyphens w:val="true"/>
                    <w:spacing w:before="0" w:after="0"/>
                    <w:jc w:val="left"/>
                    <w:rPr>
                      <w:b/>
                      <w:bCs/>
                      <w:color w:val="000000"/>
                      <w:lang w:val="ru-RU"/>
                    </w:rPr>
                  </w:pPr>
                  <w:r>
                    <w:rPr>
                      <w:b/>
                      <w:bCs/>
                      <w:color w:val="000000"/>
                      <w:lang w:val="ru-RU"/>
                    </w:rPr>
                  </w:r>
                </w:p>
              </w:tc>
            </w:tr>
          </w:tbl>
          <w:p>
            <w:pPr>
              <w:pStyle w:val="Normal"/>
              <w:rPr/>
            </w:pPr>
            <w:r>
              <w:rPr/>
            </w:r>
          </w:p>
        </w:tc>
        <w:tc>
          <w:tcPr>
            <w:tcW w:w="5134" w:type="dxa"/>
            <w:tcBorders>
              <w:top w:val="nil"/>
              <w:left w:val="nil"/>
              <w:bottom w:val="nil"/>
              <w:right w:val="nil"/>
            </w:tcBorders>
          </w:tcPr>
          <w:p>
            <w:pPr>
              <w:pStyle w:val="Normal"/>
              <w:widowControl w:val="false"/>
              <w:tabs>
                <w:tab w:val="clear" w:pos="708"/>
                <w:tab w:val="left" w:pos="5638" w:leader="none"/>
              </w:tabs>
              <w:suppressAutoHyphens w:val="true"/>
              <w:spacing w:before="0" w:after="0"/>
              <w:ind w:right="-22" w:hanging="0"/>
              <w:jc w:val="left"/>
              <w:rPr>
                <w:lang w:val="ru-RU"/>
              </w:rPr>
            </w:pPr>
            <w:r>
              <w:rPr>
                <w:b/>
                <w:bCs/>
                <w:color w:val="000000"/>
                <w:lang w:val="ru-RU"/>
              </w:rPr>
            </w:r>
          </w:p>
        </w:tc>
      </w:tr>
      <w:tr>
        <w:trPr/>
        <w:tc>
          <w:tcPr>
            <w:tcW w:w="5065" w:type="dxa"/>
            <w:tcBorders>
              <w:top w:val="nil"/>
              <w:left w:val="nil"/>
              <w:bottom w:val="nil"/>
              <w:right w:val="nil"/>
            </w:tcBorders>
          </w:tcPr>
          <w:p>
            <w:pPr>
              <w:pStyle w:val="Normal"/>
              <w:widowControl w:val="false"/>
              <w:tabs>
                <w:tab w:val="clear" w:pos="708"/>
                <w:tab w:val="left" w:pos="426" w:leader="none"/>
              </w:tabs>
              <w:suppressAutoHyphens w:val="true"/>
              <w:spacing w:before="0" w:after="0"/>
              <w:jc w:val="left"/>
              <w:rPr>
                <w:lang w:val="ru-RU"/>
              </w:rPr>
            </w:pPr>
            <w:r>
              <w:rPr>
                <w:rFonts w:eastAsia="Times New Roman" w:cs="Times New Roman"/>
                <w:kern w:val="0"/>
                <w:lang w:val="ru-RU" w:eastAsia="ru-RU" w:bidi="ar-SA"/>
              </w:rPr>
              <w:t>Руководитель Владивостокского представительства АО «ТК РусГидро»</w:t>
            </w:r>
          </w:p>
          <w:p>
            <w:pPr>
              <w:pStyle w:val="Normal"/>
              <w:widowControl w:val="false"/>
              <w:tabs>
                <w:tab w:val="clear" w:pos="708"/>
                <w:tab w:val="left" w:pos="426" w:leader="none"/>
              </w:tabs>
              <w:suppressAutoHyphens w:val="true"/>
              <w:spacing w:before="0" w:after="0"/>
              <w:jc w:val="left"/>
              <w:rPr>
                <w:b/>
                <w:bCs/>
                <w:color w:val="000000"/>
                <w:lang w:val="ru-RU"/>
              </w:rPr>
            </w:pPr>
            <w:r>
              <w:rPr>
                <w:b/>
                <w:bCs/>
                <w:color w:val="000000"/>
                <w:lang w:val="ru-RU"/>
              </w:rPr>
            </w:r>
          </w:p>
          <w:p>
            <w:pPr>
              <w:pStyle w:val="Normal"/>
              <w:widowControl w:val="false"/>
              <w:suppressAutoHyphens w:val="true"/>
              <w:spacing w:before="0" w:after="0"/>
              <w:jc w:val="left"/>
              <w:rPr>
                <w:lang w:val="ru-RU"/>
              </w:rPr>
            </w:pPr>
            <w:r>
              <w:rPr>
                <w:lang w:val="ru-RU"/>
              </w:rPr>
            </w:r>
          </w:p>
          <w:p>
            <w:pPr>
              <w:pStyle w:val="Normal"/>
              <w:widowControl w:val="false"/>
              <w:suppressAutoHyphens w:val="true"/>
              <w:spacing w:before="0" w:after="0"/>
              <w:jc w:val="left"/>
              <w:rPr>
                <w:lang w:val="ru-RU"/>
              </w:rPr>
            </w:pPr>
            <w:r>
              <w:rPr>
                <w:lang w:val="ru-RU"/>
              </w:rPr>
            </w:r>
          </w:p>
          <w:p>
            <w:pPr>
              <w:pStyle w:val="Normal"/>
              <w:widowControl w:val="false"/>
              <w:suppressAutoHyphens w:val="true"/>
              <w:spacing w:before="0" w:after="0"/>
              <w:jc w:val="left"/>
              <w:rPr>
                <w:lang w:val="ru-RU"/>
              </w:rPr>
            </w:pPr>
            <w:r>
              <w:rPr>
                <w:lang w:val="ru-RU"/>
              </w:rPr>
            </w:r>
          </w:p>
          <w:p>
            <w:pPr>
              <w:pStyle w:val="Normal"/>
              <w:widowControl w:val="false"/>
              <w:suppressAutoHyphens w:val="true"/>
              <w:spacing w:before="0" w:after="0"/>
              <w:jc w:val="left"/>
              <w:rPr>
                <w:lang w:val="ru-RU"/>
              </w:rPr>
            </w:pPr>
            <w:r>
              <w:rPr>
                <w:lang w:val="ru-RU"/>
              </w:rPr>
            </w:r>
          </w:p>
          <w:p>
            <w:pPr>
              <w:pStyle w:val="Normal"/>
              <w:widowControl w:val="false"/>
              <w:suppressAutoHyphens w:val="true"/>
              <w:spacing w:before="0" w:after="0"/>
              <w:jc w:val="left"/>
              <w:rPr>
                <w:lang w:val="ru-RU"/>
              </w:rPr>
            </w:pPr>
            <w:r>
              <w:rPr>
                <w:rFonts w:eastAsia="Times New Roman" w:cs="Times New Roman"/>
                <w:kern w:val="0"/>
                <w:lang w:val="ru-RU" w:eastAsia="ru-RU" w:bidi="ar-SA"/>
              </w:rPr>
              <w:t xml:space="preserve">____________________ / </w:t>
            </w:r>
          </w:p>
        </w:tc>
        <w:tc>
          <w:tcPr>
            <w:tcW w:w="5134" w:type="dxa"/>
            <w:tcBorders>
              <w:top w:val="nil"/>
              <w:left w:val="nil"/>
              <w:bottom w:val="nil"/>
              <w:right w:val="nil"/>
            </w:tcBorders>
          </w:tcPr>
          <w:p>
            <w:pPr>
              <w:pStyle w:val="Normal"/>
              <w:widowControl w:val="false"/>
              <w:tabs>
                <w:tab w:val="clear" w:pos="708"/>
                <w:tab w:val="left" w:pos="426" w:leader="none"/>
              </w:tabs>
              <w:suppressAutoHyphens w:val="true"/>
              <w:spacing w:before="0" w:after="0"/>
              <w:jc w:val="left"/>
              <w:rPr>
                <w:lang w:val="ru-RU"/>
              </w:rPr>
            </w:pPr>
            <w:r>
              <w:rPr>
                <w:b/>
                <w:bCs/>
                <w:color w:val="000000"/>
                <w:lang w:val="ru-RU"/>
              </w:rPr>
            </w:r>
          </w:p>
          <w:p>
            <w:pPr>
              <w:pStyle w:val="Normal"/>
              <w:widowControl w:val="false"/>
              <w:tabs>
                <w:tab w:val="clear" w:pos="708"/>
                <w:tab w:val="left" w:pos="426" w:leader="none"/>
              </w:tabs>
              <w:suppressAutoHyphens w:val="true"/>
              <w:spacing w:before="0" w:after="0"/>
              <w:jc w:val="left"/>
              <w:rPr>
                <w:b/>
                <w:bCs/>
                <w:color w:val="000000"/>
                <w:lang w:val="ru-RU"/>
              </w:rPr>
            </w:pPr>
            <w:r>
              <w:rPr>
                <w:b/>
                <w:bCs/>
                <w:color w:val="000000"/>
                <w:lang w:val="ru-RU"/>
              </w:rPr>
            </w:r>
          </w:p>
          <w:p>
            <w:pPr>
              <w:pStyle w:val="Normal"/>
              <w:widowControl w:val="false"/>
              <w:tabs>
                <w:tab w:val="clear" w:pos="708"/>
                <w:tab w:val="left" w:pos="426" w:leader="none"/>
              </w:tabs>
              <w:suppressAutoHyphens w:val="true"/>
              <w:spacing w:before="0" w:after="0"/>
              <w:jc w:val="left"/>
              <w:rPr>
                <w:b/>
                <w:bCs/>
                <w:color w:val="000000"/>
                <w:lang w:val="ru-RU"/>
              </w:rPr>
            </w:pPr>
            <w:r>
              <w:rPr>
                <w:b/>
                <w:bCs/>
                <w:color w:val="000000"/>
                <w:lang w:val="ru-RU"/>
              </w:rPr>
            </w:r>
          </w:p>
          <w:p>
            <w:pPr>
              <w:pStyle w:val="Normal"/>
              <w:widowControl w:val="false"/>
              <w:tabs>
                <w:tab w:val="clear" w:pos="708"/>
                <w:tab w:val="left" w:pos="426" w:leader="none"/>
              </w:tabs>
              <w:suppressAutoHyphens w:val="true"/>
              <w:spacing w:before="0" w:after="0"/>
              <w:jc w:val="left"/>
              <w:rPr>
                <w:b/>
                <w:bCs/>
                <w:color w:val="000000"/>
                <w:lang w:val="ru-RU"/>
              </w:rPr>
            </w:pPr>
            <w:r>
              <w:rPr>
                <w:rFonts w:eastAsia="Times New Roman" w:cs="Times New Roman"/>
                <w:b/>
                <w:bCs/>
                <w:color w:val="000000"/>
                <w:kern w:val="0"/>
                <w:lang w:val="ru-RU" w:eastAsia="ru-RU" w:bidi="ar-SA"/>
              </w:rPr>
              <w:t xml:space="preserve">____________________ / </w:t>
            </w:r>
          </w:p>
          <w:p>
            <w:pPr>
              <w:pStyle w:val="Normal"/>
              <w:widowControl w:val="false"/>
              <w:tabs>
                <w:tab w:val="clear" w:pos="708"/>
                <w:tab w:val="left" w:pos="426" w:leader="none"/>
              </w:tabs>
              <w:suppressAutoHyphens w:val="true"/>
              <w:spacing w:before="0" w:after="0"/>
              <w:jc w:val="left"/>
              <w:rPr>
                <w:b/>
                <w:bCs/>
                <w:color w:val="000000"/>
                <w:lang w:val="ru-RU"/>
              </w:rPr>
            </w:pPr>
            <w:r>
              <w:rPr>
                <w:b/>
                <w:bCs/>
                <w:color w:val="000000"/>
                <w:lang w:val="ru-RU"/>
              </w:rPr>
            </w:r>
          </w:p>
          <w:p>
            <w:pPr>
              <w:pStyle w:val="Normal"/>
              <w:widowControl w:val="false"/>
              <w:tabs>
                <w:tab w:val="clear" w:pos="708"/>
                <w:tab w:val="left" w:pos="426" w:leader="none"/>
              </w:tabs>
              <w:suppressAutoHyphens w:val="true"/>
              <w:spacing w:before="0" w:after="0"/>
              <w:jc w:val="left"/>
              <w:rPr>
                <w:b/>
                <w:bCs/>
                <w:color w:val="000000"/>
                <w:lang w:val="ru-RU"/>
              </w:rPr>
            </w:pPr>
            <w:r>
              <w:rPr>
                <w:b/>
                <w:bCs/>
                <w:color w:val="000000"/>
                <w:lang w:val="ru-RU"/>
              </w:rPr>
            </w:r>
          </w:p>
        </w:tc>
      </w:tr>
    </w:tbl>
    <w:p>
      <w:pPr>
        <w:pStyle w:val="Normal"/>
        <w:rPr>
          <w:lang w:val="ru-RU"/>
        </w:rPr>
      </w:pPr>
      <w:r>
        <w:rPr>
          <w:lang w:val="ru-RU"/>
        </w:rPr>
      </w:r>
    </w:p>
    <w:p>
      <w:pPr>
        <w:pStyle w:val="Normal"/>
        <w:rPr>
          <w:lang w:val="ru-RU"/>
        </w:rPr>
      </w:pPr>
      <w:r>
        <w:rPr>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t xml:space="preserve">Приложение №1 </w:t>
      </w:r>
    </w:p>
    <w:p>
      <w:pPr>
        <w:pStyle w:val="Normal"/>
        <w:ind w:firstLine="709"/>
        <w:jc w:val="right"/>
        <w:rPr>
          <w:sz w:val="22"/>
          <w:szCs w:val="22"/>
          <w:lang w:val="ru-RU"/>
        </w:rPr>
      </w:pPr>
      <w:r>
        <w:rPr>
          <w:sz w:val="22"/>
          <w:szCs w:val="22"/>
          <w:lang w:val="ru-RU"/>
        </w:rPr>
        <w:t>к Договору подряда</w:t>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r>
        <w:rPr>
          <w:sz w:val="22"/>
          <w:szCs w:val="22"/>
          <w:lang w:val="ru-RU"/>
        </w:rPr>
      </w:r>
    </w:p>
    <w:p>
      <w:pPr>
        <w:pStyle w:val="Normal"/>
        <w:ind w:firstLine="709"/>
        <w:jc w:val="right"/>
        <w:rPr>
          <w:sz w:val="22"/>
          <w:szCs w:val="22"/>
          <w:lang w:val="ru-RU"/>
        </w:rPr>
      </w:pPr>
      <w:bookmarkStart w:id="21" w:name="_Hlk92983731"/>
      <w:r>
        <w:rPr>
          <w:sz w:val="22"/>
          <w:szCs w:val="22"/>
          <w:lang w:val="ru-RU"/>
        </w:rPr>
        <w:t>Приложение № 2</w:t>
      </w:r>
    </w:p>
    <w:p>
      <w:pPr>
        <w:pStyle w:val="Normal"/>
        <w:jc w:val="right"/>
        <w:rPr>
          <w:sz w:val="22"/>
          <w:szCs w:val="22"/>
          <w:lang w:val="ru-RU"/>
        </w:rPr>
      </w:pPr>
      <w:r>
        <w:rPr>
          <w:sz w:val="22"/>
          <w:szCs w:val="22"/>
          <w:lang w:val="ru-RU"/>
        </w:rPr>
        <w:t xml:space="preserve">            </w:t>
      </w:r>
      <w:r>
        <w:rPr>
          <w:sz w:val="22"/>
          <w:szCs w:val="22"/>
          <w:lang w:val="ru-RU"/>
        </w:rPr>
        <w:t>к Договору подряда</w:t>
      </w:r>
    </w:p>
    <w:p>
      <w:pPr>
        <w:pStyle w:val="Normal"/>
        <w:jc w:val="right"/>
        <w:rPr>
          <w:lang w:val="ru-RU"/>
        </w:rPr>
      </w:pPr>
      <w:r>
        <w:rPr>
          <w:sz w:val="22"/>
          <w:szCs w:val="22"/>
          <w:lang w:val="ru-RU"/>
        </w:rPr>
        <w:t xml:space="preserve">              </w:t>
      </w:r>
      <w:r>
        <w:rPr>
          <w:sz w:val="22"/>
          <w:szCs w:val="22"/>
          <w:lang w:val="ru-RU"/>
        </w:rPr>
        <w:t>от «____» ________ 20 _ г. №______</w:t>
      </w:r>
      <w:bookmarkEnd w:id="21"/>
    </w:p>
    <w:p>
      <w:pPr>
        <w:pStyle w:val="Normal"/>
        <w:jc w:val="right"/>
        <w:rPr>
          <w:lang w:val="ru-RU"/>
        </w:rPr>
      </w:pPr>
      <w:r>
        <w:rPr>
          <w:lang w:val="ru-RU"/>
        </w:rPr>
      </w:r>
    </w:p>
    <w:p>
      <w:pPr>
        <w:pStyle w:val="Normal"/>
        <w:jc w:val="right"/>
        <w:rPr>
          <w:lang w:val="ru-RU"/>
        </w:rPr>
      </w:pPr>
      <w:r>
        <w:rPr>
          <w:lang w:val="ru-RU"/>
        </w:rPr>
      </w:r>
    </w:p>
    <w:p>
      <w:pPr>
        <w:pStyle w:val="Normal"/>
        <w:jc w:val="center"/>
        <w:rPr>
          <w:b/>
          <w:lang w:val="ru-RU"/>
        </w:rPr>
      </w:pPr>
      <w:r>
        <w:rPr>
          <w:b/>
          <w:lang w:val="ru-RU"/>
        </w:rPr>
        <w:t>Размер ответственности Подрядчика</w:t>
      </w:r>
    </w:p>
    <w:p>
      <w:pPr>
        <w:pStyle w:val="Normal"/>
        <w:jc w:val="center"/>
        <w:rPr>
          <w:b/>
          <w:color w:val="000000"/>
          <w:lang w:val="ru-RU"/>
        </w:rPr>
      </w:pPr>
      <w:r>
        <w:rPr>
          <w:b/>
          <w:lang w:val="ru-RU"/>
        </w:rPr>
        <w:t xml:space="preserve">за нарушения пропускного и внутриобъектового режима, </w:t>
      </w:r>
      <w:r>
        <w:rPr>
          <w:b/>
          <w:color w:val="000000"/>
          <w:lang w:val="ru-RU"/>
        </w:rPr>
        <w:t>требований охраны труда, пожарной безопасности</w:t>
      </w:r>
    </w:p>
    <w:p>
      <w:pPr>
        <w:pStyle w:val="Normal"/>
        <w:jc w:val="center"/>
        <w:rPr>
          <w:b/>
          <w:lang w:val="ru-RU"/>
        </w:rPr>
      </w:pPr>
      <w:r>
        <w:rPr>
          <w:b/>
          <w:lang w:val="ru-RU"/>
        </w:rPr>
      </w:r>
    </w:p>
    <w:tbl>
      <w:tblPr>
        <w:tblW w:w="10060" w:type="dxa"/>
        <w:jc w:val="left"/>
        <w:tblInd w:w="0" w:type="dxa"/>
        <w:tblLayout w:type="fixed"/>
        <w:tblCellMar>
          <w:top w:w="0" w:type="dxa"/>
          <w:left w:w="108" w:type="dxa"/>
          <w:bottom w:w="0" w:type="dxa"/>
          <w:right w:w="108" w:type="dxa"/>
        </w:tblCellMar>
        <w:tblLook w:val="01e0" w:noVBand="0" w:noHBand="0" w:lastColumn="1" w:firstColumn="1" w:lastRow="1" w:firstRow="1"/>
      </w:tblPr>
      <w:tblGrid>
        <w:gridCol w:w="4068"/>
        <w:gridCol w:w="5991"/>
      </w:tblGrid>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Виды нарушений</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Штрафные санкции</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 Нарушение правил пожарной безопасности (ППБ):</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1.1. Нарушение ППБ без возникновения пожара</w:t>
            </w:r>
          </w:p>
          <w:p>
            <w:pPr>
              <w:pStyle w:val="Normal"/>
              <w:widowControl w:val="false"/>
              <w:rPr>
                <w:lang w:val="ru-RU"/>
              </w:rPr>
            </w:pPr>
            <w:r>
              <w:rPr>
                <w:lang w:val="ru-RU"/>
              </w:rPr>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w:t>
            </w:r>
            <w:r>
              <w:rPr/>
              <w:t> </w:t>
            </w:r>
            <w:r>
              <w:rPr>
                <w:lang w:val="ru-RU"/>
              </w:rPr>
              <w:t>000 (двадцать пять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1.2. Нарушение ППБ, ставшее причиной возникновения пожара, не причинившего ущерб имуществу Заказчика</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1.3. Нарушение ППБ, ставшее причиной возникновения пожара, причинившего ущерб имуществу Заказчика и (или) здоровью людей</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250 000 (двести пятьдесят тысяч) рублей за каждый случай нарушения.</w:t>
            </w:r>
          </w:p>
        </w:tc>
      </w:tr>
      <w:tr>
        <w:trPr/>
        <w:tc>
          <w:tcPr>
            <w:tcW w:w="4068"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t xml:space="preserve">2. Нарушение пропускного и внутриобъектового режима, </w:t>
            </w:r>
            <w:r>
              <w:rPr>
                <w:color w:val="000000"/>
                <w:lang w:val="ru-RU"/>
              </w:rPr>
              <w:t xml:space="preserve">требований охраны труда </w:t>
            </w:r>
          </w:p>
        </w:tc>
        <w:tc>
          <w:tcPr>
            <w:tcW w:w="5991"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- 50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918"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5239"/>
        <w:gridCol w:w="4678"/>
      </w:tblGrid>
      <w:tr>
        <w:trPr/>
        <w:tc>
          <w:tcPr>
            <w:tcW w:w="5239" w:type="dxa"/>
            <w:tcBorders/>
          </w:tcPr>
          <w:p>
            <w:pPr>
              <w:pStyle w:val="Normal"/>
              <w:widowControl w:val="false"/>
              <w:rPr>
                <w:b/>
              </w:rPr>
            </w:pPr>
            <w:bookmarkStart w:id="22" w:name="_Hlk147231521"/>
            <w:bookmarkEnd w:id="22"/>
            <w:r>
              <w:rPr>
                <w:b/>
              </w:rPr>
              <w:t>Заказчик:</w:t>
            </w:r>
          </w:p>
        </w:tc>
        <w:tc>
          <w:tcPr>
            <w:tcW w:w="4678" w:type="dxa"/>
            <w:tcBorders/>
          </w:tcPr>
          <w:p>
            <w:pPr>
              <w:pStyle w:val="Normal"/>
              <w:widowControl w:val="false"/>
              <w:rPr>
                <w:b/>
              </w:rPr>
            </w:pPr>
            <w:r>
              <w:rPr>
                <w:b/>
                <w:lang w:val="ru-RU"/>
              </w:rPr>
              <w:t>Подрядчик</w:t>
            </w:r>
            <w:r>
              <w:rPr>
                <w:b/>
              </w:rPr>
              <w:t>:</w:t>
            </w:r>
          </w:p>
        </w:tc>
      </w:tr>
      <w:tr>
        <w:trPr/>
        <w:tc>
          <w:tcPr>
            <w:tcW w:w="5239" w:type="dxa"/>
            <w:tcBorders/>
          </w:tcPr>
          <w:p>
            <w:pPr>
              <w:pStyle w:val="Normal"/>
              <w:widowControl w:val="false"/>
              <w:rPr>
                <w:lang w:val="ru-RU"/>
              </w:rPr>
            </w:pPr>
            <w:r>
              <w:rPr/>
            </w:r>
          </w:p>
        </w:tc>
        <w:tc>
          <w:tcPr>
            <w:tcW w:w="4678" w:type="dxa"/>
            <w:tcBorders/>
          </w:tcPr>
          <w:p>
            <w:pPr>
              <w:pStyle w:val="Normal"/>
              <w:widowControl w:val="false"/>
              <w:tabs>
                <w:tab w:val="clear" w:pos="708"/>
                <w:tab w:val="left" w:pos="426" w:leader="none"/>
              </w:tabs>
              <w:rPr>
                <w:lang w:val="ru-RU"/>
              </w:rPr>
            </w:pPr>
            <w:r>
              <w:rPr>
                <w:lang w:val="ru-RU"/>
              </w:rPr>
            </w:r>
            <w:bookmarkStart w:id="23" w:name="_Hlk147231521_Копия_1"/>
            <w:bookmarkStart w:id="24" w:name="_Hlk147231521_Копия_1"/>
            <w:bookmarkEnd w:id="24"/>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r>
    </w:p>
    <w:sectPr>
      <w:footerReference w:type="default" r:id="rId3"/>
      <w:type w:val="nextPage"/>
      <w:pgSz w:w="11906" w:h="16838"/>
      <w:pgMar w:left="1134" w:right="567" w:gutter="0" w:header="0" w:top="567" w:footer="709"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20</w:t>
    </w:r>
    <w:r>
      <w:rPr>
        <w:sz w:val="22"/>
        <w:szCs w:val="22"/>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228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9">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0">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1">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2">
    <w:lvl w:ilvl="0">
      <w:start w:val="3"/>
      <w:numFmt w:val="decimal"/>
      <w:lvlText w:val="%1."/>
      <w:lvlJc w:val="left"/>
      <w:pPr>
        <w:tabs>
          <w:tab w:val="num" w:pos="0"/>
        </w:tabs>
        <w:ind w:left="360" w:hanging="360"/>
      </w:pPr>
      <w:rPr/>
    </w:lvl>
    <w:lvl w:ilvl="1">
      <w:start w:val="3"/>
      <w:numFmt w:val="decimal"/>
      <w:lvlText w:val="%1.%2."/>
      <w:lvlJc w:val="left"/>
      <w:pPr>
        <w:tabs>
          <w:tab w:val="num" w:pos="0"/>
        </w:tabs>
        <w:ind w:left="1070"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13">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1429"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14">
    <w:lvl w:ilvl="0">
      <w:start w:val="4"/>
      <w:numFmt w:val="decimal"/>
      <w:lvlText w:val="%1."/>
      <w:lvlJc w:val="left"/>
      <w:pPr>
        <w:tabs>
          <w:tab w:val="num" w:pos="0"/>
        </w:tabs>
        <w:ind w:left="360" w:hanging="360"/>
      </w:pPr>
      <w:rPr/>
    </w:lvl>
    <w:lvl w:ilvl="1">
      <w:start w:val="1"/>
      <w:numFmt w:val="decimal"/>
      <w:lvlText w:val="%1.%2."/>
      <w:lvlJc w:val="left"/>
      <w:pPr>
        <w:tabs>
          <w:tab w:val="num" w:pos="0"/>
        </w:tabs>
        <w:ind w:left="856" w:hanging="360"/>
      </w:pPr>
      <w:rPr>
        <w:b w:val="false"/>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6">
    <w:lvl w:ilvl="0">
      <w:start w:val="2"/>
      <w:numFmt w:val="decimal"/>
      <w:lvlText w:val="%1."/>
      <w:lvlJc w:val="left"/>
      <w:pPr>
        <w:tabs>
          <w:tab w:val="num" w:pos="0"/>
        </w:tabs>
        <w:ind w:left="648" w:hanging="648"/>
      </w:pPr>
      <w:rPr>
        <w:sz w:val="28"/>
      </w:rPr>
    </w:lvl>
    <w:lvl w:ilvl="1">
      <w:start w:val="1"/>
      <w:numFmt w:val="decimal"/>
      <w:lvlText w:val="5.%2."/>
      <w:lvlJc w:val="left"/>
      <w:pPr>
        <w:tabs>
          <w:tab w:val="num" w:pos="0"/>
        </w:tabs>
        <w:ind w:left="2067" w:hanging="648"/>
      </w:pPr>
      <w:rPr>
        <w:sz w:val="24"/>
        <w:b w:val="false"/>
        <w:szCs w:val="24"/>
      </w:rPr>
    </w:lvl>
    <w:lvl w:ilvl="2">
      <w:start w:val="6"/>
      <w:numFmt w:val="decimal"/>
      <w:lvlText w:val="%1.%2.%3."/>
      <w:lvlJc w:val="left"/>
      <w:pPr>
        <w:tabs>
          <w:tab w:val="num" w:pos="0"/>
        </w:tabs>
        <w:ind w:left="3558" w:hanging="720"/>
      </w:pPr>
      <w:rPr>
        <w:sz w:val="24"/>
        <w:szCs w:val="24"/>
      </w:rPr>
    </w:lvl>
    <w:lvl w:ilvl="3">
      <w:start w:val="1"/>
      <w:numFmt w:val="decimal"/>
      <w:lvlText w:val="%1.%2.%3.%4."/>
      <w:lvlJc w:val="left"/>
      <w:pPr>
        <w:tabs>
          <w:tab w:val="num" w:pos="0"/>
        </w:tabs>
        <w:ind w:left="4977" w:hanging="720"/>
      </w:pPr>
      <w:rPr>
        <w:sz w:val="28"/>
      </w:rPr>
    </w:lvl>
    <w:lvl w:ilvl="4">
      <w:start w:val="1"/>
      <w:numFmt w:val="decimal"/>
      <w:lvlText w:val="%1.%2.%3.%4.%5."/>
      <w:lvlJc w:val="left"/>
      <w:pPr>
        <w:tabs>
          <w:tab w:val="num" w:pos="0"/>
        </w:tabs>
        <w:ind w:left="6756" w:hanging="1080"/>
      </w:pPr>
      <w:rPr>
        <w:sz w:val="28"/>
      </w:rPr>
    </w:lvl>
    <w:lvl w:ilvl="5">
      <w:start w:val="1"/>
      <w:numFmt w:val="decimal"/>
      <w:lvlText w:val="%1.%2.%3.%4.%5.%6."/>
      <w:lvlJc w:val="left"/>
      <w:pPr>
        <w:tabs>
          <w:tab w:val="num" w:pos="0"/>
        </w:tabs>
        <w:ind w:left="8175" w:hanging="1080"/>
      </w:pPr>
      <w:rPr>
        <w:sz w:val="28"/>
      </w:rPr>
    </w:lvl>
    <w:lvl w:ilvl="6">
      <w:start w:val="1"/>
      <w:numFmt w:val="decimal"/>
      <w:lvlText w:val="%1.%2.%3.%4.%5.%6.%7."/>
      <w:lvlJc w:val="left"/>
      <w:pPr>
        <w:tabs>
          <w:tab w:val="num" w:pos="0"/>
        </w:tabs>
        <w:ind w:left="9954" w:hanging="1440"/>
      </w:pPr>
      <w:rPr>
        <w:sz w:val="28"/>
      </w:rPr>
    </w:lvl>
    <w:lvl w:ilvl="7">
      <w:start w:val="1"/>
      <w:numFmt w:val="decimal"/>
      <w:lvlText w:val="%1.%2.%3.%4.%5.%6.%7.%8."/>
      <w:lvlJc w:val="left"/>
      <w:pPr>
        <w:tabs>
          <w:tab w:val="num" w:pos="0"/>
        </w:tabs>
        <w:ind w:left="11373" w:hanging="1440"/>
      </w:pPr>
      <w:rPr>
        <w:sz w:val="28"/>
      </w:rPr>
    </w:lvl>
    <w:lvl w:ilvl="8">
      <w:start w:val="1"/>
      <w:numFmt w:val="decimal"/>
      <w:lvlText w:val="%1.%2.%3.%4.%5.%6.%7.%8.%9."/>
      <w:lvlJc w:val="left"/>
      <w:pPr>
        <w:tabs>
          <w:tab w:val="num" w:pos="0"/>
        </w:tabs>
        <w:ind w:left="13152" w:hanging="1800"/>
      </w:pPr>
      <w:rPr>
        <w:sz w:val="28"/>
      </w:rPr>
    </w:lvl>
  </w:abstractNum>
  <w:abstractNum w:abstractNumId="17">
    <w:lvl w:ilvl="0">
      <w:start w:val="7"/>
      <w:numFmt w:val="decimal"/>
      <w:lvlText w:val="%1."/>
      <w:lvlJc w:val="left"/>
      <w:pPr>
        <w:tabs>
          <w:tab w:val="num" w:pos="0"/>
        </w:tabs>
        <w:ind w:left="450" w:hanging="450"/>
      </w:pPr>
      <w:rPr/>
    </w:lvl>
    <w:lvl w:ilvl="1">
      <w:start w:val="1"/>
      <w:numFmt w:val="decimal"/>
      <w:lvlText w:val="%1.%2."/>
      <w:lvlJc w:val="left"/>
      <w:pPr>
        <w:tabs>
          <w:tab w:val="num" w:pos="284"/>
        </w:tabs>
        <w:ind w:left="1571" w:hanging="720"/>
      </w:pPr>
      <w:rPr>
        <w:sz w:val="24"/>
        <w:b w:val="false"/>
        <w:szCs w:val="24"/>
      </w:rPr>
    </w:lvl>
    <w:lvl w:ilvl="2">
      <w:start w:val="1"/>
      <w:numFmt w:val="decimal"/>
      <w:lvlText w:val="%1.%2.%3."/>
      <w:lvlJc w:val="left"/>
      <w:pPr>
        <w:tabs>
          <w:tab w:val="num" w:pos="0"/>
        </w:tabs>
        <w:ind w:left="1854" w:hanging="720"/>
      </w:pPr>
      <w:rPr>
        <w:sz w:val="24"/>
        <w:szCs w:val="24"/>
      </w:rPr>
    </w:lvl>
    <w:lvl w:ilvl="3">
      <w:start w:val="1"/>
      <w:numFmt w:val="decimal"/>
      <w:lvlText w:val="%1.%2.%3.%4."/>
      <w:lvlJc w:val="left"/>
      <w:pPr>
        <w:tabs>
          <w:tab w:val="num" w:pos="0"/>
        </w:tabs>
        <w:ind w:left="2781" w:hanging="108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4275" w:hanging="1440"/>
      </w:pPr>
      <w:rPr/>
    </w:lvl>
    <w:lvl w:ilvl="6">
      <w:start w:val="1"/>
      <w:numFmt w:val="decimal"/>
      <w:lvlText w:val="%1.%2.%3.%4.%5.%6.%7."/>
      <w:lvlJc w:val="left"/>
      <w:pPr>
        <w:tabs>
          <w:tab w:val="num" w:pos="0"/>
        </w:tabs>
        <w:ind w:left="5202" w:hanging="1800"/>
      </w:pPr>
      <w:rPr/>
    </w:lvl>
    <w:lvl w:ilvl="7">
      <w:start w:val="1"/>
      <w:numFmt w:val="decimal"/>
      <w:lvlText w:val="%1.%2.%3.%4.%5.%6.%7.%8."/>
      <w:lvlJc w:val="left"/>
      <w:pPr>
        <w:tabs>
          <w:tab w:val="num" w:pos="0"/>
        </w:tabs>
        <w:ind w:left="5769" w:hanging="1800"/>
      </w:pPr>
      <w:rPr/>
    </w:lvl>
    <w:lvl w:ilvl="8">
      <w:start w:val="1"/>
      <w:numFmt w:val="decimal"/>
      <w:lvlText w:val="%1.%2.%3.%4.%5.%6.%7.%8.%9."/>
      <w:lvlJc w:val="left"/>
      <w:pPr>
        <w:tabs>
          <w:tab w:val="num" w:pos="0"/>
        </w:tabs>
        <w:ind w:left="6696" w:hanging="2160"/>
      </w:pPr>
      <w:rPr/>
    </w:lvl>
  </w:abstractNum>
  <w:abstractNum w:abstractNumId="18">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u w:val="none"/>
        <w:color w:val="auto"/>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lvl w:ilvl="0">
      <w:start w:val="2"/>
      <w:numFmt w:val="decimal"/>
      <w:lvlText w:val="%1."/>
      <w:lvlJc w:val="left"/>
      <w:pPr>
        <w:tabs>
          <w:tab w:val="num" w:pos="0"/>
        </w:tabs>
        <w:ind w:left="648" w:hanging="648"/>
      </w:pPr>
      <w:rPr>
        <w:sz w:val="28"/>
      </w:rPr>
    </w:lvl>
    <w:lvl w:ilvl="1">
      <w:start w:val="1"/>
      <w:numFmt w:val="decimal"/>
      <w:lvlText w:val="8.%2."/>
      <w:lvlJc w:val="left"/>
      <w:pPr>
        <w:tabs>
          <w:tab w:val="num" w:pos="0"/>
        </w:tabs>
        <w:ind w:left="2067" w:hanging="648"/>
      </w:pPr>
      <w:rPr>
        <w:sz w:val="24"/>
        <w:b w:val="false"/>
        <w:szCs w:val="24"/>
      </w:rPr>
    </w:lvl>
    <w:lvl w:ilvl="2">
      <w:start w:val="1"/>
      <w:numFmt w:val="decimal"/>
      <w:lvlText w:val="6.3.%3."/>
      <w:lvlJc w:val="left"/>
      <w:pPr>
        <w:tabs>
          <w:tab w:val="num" w:pos="0"/>
        </w:tabs>
        <w:ind w:left="3558" w:hanging="720"/>
      </w:pPr>
      <w:rPr>
        <w:sz w:val="24"/>
        <w:szCs w:val="24"/>
      </w:rPr>
    </w:lvl>
    <w:lvl w:ilvl="3">
      <w:start w:val="1"/>
      <w:numFmt w:val="decimal"/>
      <w:lvlText w:val="%1.%2.%3.%4."/>
      <w:lvlJc w:val="left"/>
      <w:pPr>
        <w:tabs>
          <w:tab w:val="num" w:pos="0"/>
        </w:tabs>
        <w:ind w:left="4977" w:hanging="720"/>
      </w:pPr>
      <w:rPr>
        <w:sz w:val="28"/>
      </w:rPr>
    </w:lvl>
    <w:lvl w:ilvl="4">
      <w:start w:val="1"/>
      <w:numFmt w:val="decimal"/>
      <w:lvlText w:val="%1.%2.%3.%4.%5."/>
      <w:lvlJc w:val="left"/>
      <w:pPr>
        <w:tabs>
          <w:tab w:val="num" w:pos="0"/>
        </w:tabs>
        <w:ind w:left="6756" w:hanging="1080"/>
      </w:pPr>
      <w:rPr>
        <w:sz w:val="28"/>
      </w:rPr>
    </w:lvl>
    <w:lvl w:ilvl="5">
      <w:start w:val="1"/>
      <w:numFmt w:val="decimal"/>
      <w:lvlText w:val="%1.%2.%3.%4.%5.%6."/>
      <w:lvlJc w:val="left"/>
      <w:pPr>
        <w:tabs>
          <w:tab w:val="num" w:pos="0"/>
        </w:tabs>
        <w:ind w:left="8175" w:hanging="1080"/>
      </w:pPr>
      <w:rPr>
        <w:sz w:val="28"/>
      </w:rPr>
    </w:lvl>
    <w:lvl w:ilvl="6">
      <w:start w:val="1"/>
      <w:numFmt w:val="decimal"/>
      <w:lvlText w:val="%1.%2.%3.%4.%5.%6.%7."/>
      <w:lvlJc w:val="left"/>
      <w:pPr>
        <w:tabs>
          <w:tab w:val="num" w:pos="0"/>
        </w:tabs>
        <w:ind w:left="9954" w:hanging="1440"/>
      </w:pPr>
      <w:rPr>
        <w:sz w:val="28"/>
      </w:rPr>
    </w:lvl>
    <w:lvl w:ilvl="7">
      <w:start w:val="1"/>
      <w:numFmt w:val="decimal"/>
      <w:lvlText w:val="%1.%2.%3.%4.%5.%6.%7.%8."/>
      <w:lvlJc w:val="left"/>
      <w:pPr>
        <w:tabs>
          <w:tab w:val="num" w:pos="0"/>
        </w:tabs>
        <w:ind w:left="11373" w:hanging="1440"/>
      </w:pPr>
      <w:rPr>
        <w:sz w:val="28"/>
      </w:rPr>
    </w:lvl>
    <w:lvl w:ilvl="8">
      <w:start w:val="1"/>
      <w:numFmt w:val="decimal"/>
      <w:lvlText w:val="%1.%2.%3.%4.%5.%6.%7.%8.%9."/>
      <w:lvlJc w:val="left"/>
      <w:pPr>
        <w:tabs>
          <w:tab w:val="num" w:pos="0"/>
        </w:tabs>
        <w:ind w:left="13152" w:hanging="1800"/>
      </w:pPr>
      <w:rPr>
        <w:sz w:val="28"/>
      </w:rPr>
    </w:lvl>
  </w:abstractNum>
  <w:abstractNum w:abstractNumId="20">
    <w:lvl w:ilvl="0">
      <w:start w:val="2"/>
      <w:numFmt w:val="decimal"/>
      <w:lvlText w:val="%1."/>
      <w:lvlJc w:val="left"/>
      <w:pPr>
        <w:tabs>
          <w:tab w:val="num" w:pos="0"/>
        </w:tabs>
        <w:ind w:left="648" w:hanging="648"/>
      </w:pPr>
      <w:rPr>
        <w:sz w:val="28"/>
      </w:rPr>
    </w:lvl>
    <w:lvl w:ilvl="1">
      <w:start w:val="1"/>
      <w:numFmt w:val="decimal"/>
      <w:lvlText w:val="9.%2."/>
      <w:lvlJc w:val="left"/>
      <w:pPr>
        <w:tabs>
          <w:tab w:val="num" w:pos="0"/>
        </w:tabs>
        <w:ind w:left="2067" w:hanging="648"/>
      </w:pPr>
      <w:rPr>
        <w:sz w:val="24"/>
        <w:b w:val="false"/>
        <w:szCs w:val="24"/>
      </w:rPr>
    </w:lvl>
    <w:lvl w:ilvl="2">
      <w:start w:val="1"/>
      <w:numFmt w:val="decimal"/>
      <w:lvlText w:val="6.3.%3."/>
      <w:lvlJc w:val="left"/>
      <w:pPr>
        <w:tabs>
          <w:tab w:val="num" w:pos="0"/>
        </w:tabs>
        <w:ind w:left="3558" w:hanging="720"/>
      </w:pPr>
      <w:rPr>
        <w:sz w:val="24"/>
        <w:szCs w:val="24"/>
      </w:rPr>
    </w:lvl>
    <w:lvl w:ilvl="3">
      <w:start w:val="1"/>
      <w:numFmt w:val="decimal"/>
      <w:lvlText w:val="%1.%2.%3.%4."/>
      <w:lvlJc w:val="left"/>
      <w:pPr>
        <w:tabs>
          <w:tab w:val="num" w:pos="0"/>
        </w:tabs>
        <w:ind w:left="4977" w:hanging="720"/>
      </w:pPr>
      <w:rPr>
        <w:sz w:val="28"/>
      </w:rPr>
    </w:lvl>
    <w:lvl w:ilvl="4">
      <w:start w:val="1"/>
      <w:numFmt w:val="decimal"/>
      <w:lvlText w:val="%1.%2.%3.%4.%5."/>
      <w:lvlJc w:val="left"/>
      <w:pPr>
        <w:tabs>
          <w:tab w:val="num" w:pos="0"/>
        </w:tabs>
        <w:ind w:left="6756" w:hanging="1080"/>
      </w:pPr>
      <w:rPr>
        <w:sz w:val="28"/>
      </w:rPr>
    </w:lvl>
    <w:lvl w:ilvl="5">
      <w:start w:val="1"/>
      <w:numFmt w:val="decimal"/>
      <w:lvlText w:val="%1.%2.%3.%4.%5.%6."/>
      <w:lvlJc w:val="left"/>
      <w:pPr>
        <w:tabs>
          <w:tab w:val="num" w:pos="0"/>
        </w:tabs>
        <w:ind w:left="8175" w:hanging="1080"/>
      </w:pPr>
      <w:rPr>
        <w:sz w:val="28"/>
      </w:rPr>
    </w:lvl>
    <w:lvl w:ilvl="6">
      <w:start w:val="1"/>
      <w:numFmt w:val="decimal"/>
      <w:lvlText w:val="%1.%2.%3.%4.%5.%6.%7."/>
      <w:lvlJc w:val="left"/>
      <w:pPr>
        <w:tabs>
          <w:tab w:val="num" w:pos="0"/>
        </w:tabs>
        <w:ind w:left="9954" w:hanging="1440"/>
      </w:pPr>
      <w:rPr>
        <w:sz w:val="28"/>
      </w:rPr>
    </w:lvl>
    <w:lvl w:ilvl="7">
      <w:start w:val="1"/>
      <w:numFmt w:val="decimal"/>
      <w:lvlText w:val="%1.%2.%3.%4.%5.%6.%7.%8."/>
      <w:lvlJc w:val="left"/>
      <w:pPr>
        <w:tabs>
          <w:tab w:val="num" w:pos="0"/>
        </w:tabs>
        <w:ind w:left="11373" w:hanging="1440"/>
      </w:pPr>
      <w:rPr>
        <w:sz w:val="28"/>
      </w:rPr>
    </w:lvl>
    <w:lvl w:ilvl="8">
      <w:start w:val="1"/>
      <w:numFmt w:val="decimal"/>
      <w:lvlText w:val="%1.%2.%3.%4.%5.%6.%7.%8.%9."/>
      <w:lvlJc w:val="left"/>
      <w:pPr>
        <w:tabs>
          <w:tab w:val="num" w:pos="0"/>
        </w:tabs>
        <w:ind w:left="13152" w:hanging="1800"/>
      </w:pPr>
      <w:rPr>
        <w:sz w:val="28"/>
      </w:rPr>
    </w:lvl>
  </w:abstractNum>
  <w:abstractNum w:abstractNumId="21">
    <w:lvl w:ilvl="0">
      <w:start w:val="3"/>
      <w:numFmt w:val="decimal"/>
      <w:lvlText w:val="%1."/>
      <w:lvlJc w:val="left"/>
      <w:pPr>
        <w:tabs>
          <w:tab w:val="num" w:pos="0"/>
        </w:tabs>
        <w:ind w:left="360" w:hanging="360"/>
      </w:pPr>
      <w:rPr/>
    </w:lvl>
    <w:lvl w:ilvl="1">
      <w:start w:val="1"/>
      <w:numFmt w:val="decimal"/>
      <w:lvlText w:val="%1.%2."/>
      <w:lvlJc w:val="left"/>
      <w:pPr>
        <w:tabs>
          <w:tab w:val="num" w:pos="0"/>
        </w:tabs>
        <w:ind w:left="4755" w:hanging="360"/>
      </w:pPr>
      <w:rPr/>
    </w:lvl>
    <w:lvl w:ilvl="2">
      <w:start w:val="1"/>
      <w:numFmt w:val="decimal"/>
      <w:lvlText w:val="%1.%2.%3."/>
      <w:lvlJc w:val="left"/>
      <w:pPr>
        <w:tabs>
          <w:tab w:val="num" w:pos="0"/>
        </w:tabs>
        <w:ind w:left="9510" w:hanging="720"/>
      </w:pPr>
      <w:rPr/>
    </w:lvl>
    <w:lvl w:ilvl="3">
      <w:start w:val="1"/>
      <w:numFmt w:val="decimal"/>
      <w:lvlText w:val="%1.%2.%3.%4."/>
      <w:lvlJc w:val="left"/>
      <w:pPr>
        <w:tabs>
          <w:tab w:val="num" w:pos="0"/>
        </w:tabs>
        <w:ind w:left="13905" w:hanging="720"/>
      </w:pPr>
      <w:rPr/>
    </w:lvl>
    <w:lvl w:ilvl="4">
      <w:start w:val="1"/>
      <w:numFmt w:val="decimal"/>
      <w:lvlText w:val="%1.%2.%3.%4.%5."/>
      <w:lvlJc w:val="left"/>
      <w:pPr>
        <w:tabs>
          <w:tab w:val="num" w:pos="0"/>
        </w:tabs>
        <w:ind w:left="18660" w:hanging="1080"/>
      </w:pPr>
      <w:rPr/>
    </w:lvl>
    <w:lvl w:ilvl="5">
      <w:start w:val="1"/>
      <w:numFmt w:val="decimal"/>
      <w:lvlText w:val="%1.%2.%3.%4.%5.%6."/>
      <w:lvlJc w:val="left"/>
      <w:pPr>
        <w:tabs>
          <w:tab w:val="num" w:pos="0"/>
        </w:tabs>
        <w:ind w:left="23055" w:hanging="1080"/>
      </w:pPr>
      <w:rPr/>
    </w:lvl>
    <w:lvl w:ilvl="6">
      <w:start w:val="1"/>
      <w:numFmt w:val="decimal"/>
      <w:lvlText w:val="%1.%2.%3.%4.%5.%6.%7."/>
      <w:lvlJc w:val="left"/>
      <w:pPr>
        <w:tabs>
          <w:tab w:val="num" w:pos="0"/>
        </w:tabs>
        <w:ind w:left="27810" w:hanging="1440"/>
      </w:pPr>
      <w:rPr/>
    </w:lvl>
    <w:lvl w:ilvl="7">
      <w:start w:val="1"/>
      <w:numFmt w:val="decimal"/>
      <w:lvlText w:val="%1.%2.%3.%4.%5.%6.%7.%8."/>
      <w:lvlJc w:val="left"/>
      <w:pPr>
        <w:tabs>
          <w:tab w:val="num" w:pos="0"/>
        </w:tabs>
        <w:ind w:left="32205" w:hanging="1440"/>
      </w:pPr>
      <w:rPr/>
    </w:lvl>
    <w:lvl w:ilvl="8">
      <w:start w:val="1"/>
      <w:numFmt w:val="decimal"/>
      <w:lvlText w:val="%1.%2.%3.%4.%5.%6.%7.%8.%9."/>
      <w:lvlJc w:val="left"/>
      <w:pPr>
        <w:tabs>
          <w:tab w:val="num" w:pos="0"/>
        </w:tabs>
        <w:ind w:left="-28576" w:hanging="1800"/>
      </w:pPr>
      <w:rPr/>
    </w:lvl>
  </w:abstractNum>
  <w:abstractNum w:abstractNumId="22">
    <w:lvl w:ilvl="0">
      <w:start w:val="6"/>
      <w:numFmt w:val="decimal"/>
      <w:lvlText w:val="%1."/>
      <w:lvlJc w:val="left"/>
      <w:pPr>
        <w:tabs>
          <w:tab w:val="num" w:pos="0"/>
        </w:tabs>
        <w:ind w:left="2204" w:hanging="360"/>
      </w:pPr>
      <w:rPr>
        <w:b/>
      </w:rPr>
    </w:lvl>
    <w:lvl w:ilvl="1">
      <w:start w:val="1"/>
      <w:numFmt w:val="decimal"/>
      <w:lvlText w:val="%1.%2."/>
      <w:lvlJc w:val="left"/>
      <w:pPr>
        <w:tabs>
          <w:tab w:val="num" w:pos="0"/>
        </w:tabs>
        <w:ind w:left="0" w:firstLine="851"/>
      </w:pPr>
      <w:rPr>
        <w:u w:val="none"/>
        <w:b w:val="false"/>
      </w:rPr>
    </w:lvl>
    <w:lvl w:ilvl="2">
      <w:start w:val="1"/>
      <w:numFmt w:val="decimal"/>
      <w:lvlText w:val="%1.%2.%3."/>
      <w:lvlJc w:val="left"/>
      <w:pPr>
        <w:tabs>
          <w:tab w:val="num" w:pos="0"/>
        </w:tabs>
        <w:ind w:left="3907"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3">
    <w:lvl w:ilvl="0">
      <w:start w:val="15"/>
      <w:numFmt w:val="decimal"/>
      <w:lvlText w:val="%1.1"/>
      <w:lvlJc w:val="left"/>
      <w:pPr>
        <w:tabs>
          <w:tab w:val="num" w:pos="0"/>
        </w:tabs>
        <w:ind w:left="480" w:hanging="480"/>
      </w:pPr>
      <w:rPr/>
    </w:lvl>
    <w:lvl w:ilvl="1">
      <w:start w:val="1"/>
      <w:numFmt w:val="decimal"/>
      <w:lvlText w:val="%1.%2."/>
      <w:lvlJc w:val="left"/>
      <w:pPr>
        <w:tabs>
          <w:tab w:val="num" w:pos="0"/>
        </w:tabs>
        <w:ind w:left="0" w:firstLine="709"/>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w="http://schemas.openxmlformats.org/wordprocessingml/2006/main">
  <w:zoom w:percent="120"/>
  <w:embedSystemFonts/>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customStyle="1">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link w:val="13"/>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qFormat/>
    <w:rsid w:val="00820c2a"/>
    <w:rPr>
      <w:lang w:val="en-GB"/>
    </w:rPr>
  </w:style>
  <w:style w:type="character" w:styleId="Hyperlink">
    <w:name w:val="Hyperlink"/>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Style16" w:customStyle="1">
    <w:name w:val="Название Знак"/>
    <w:qFormat/>
    <w:rsid w:val="00134685"/>
    <w:rPr>
      <w:b/>
      <w:bCs/>
      <w:sz w:val="24"/>
      <w:szCs w:val="24"/>
    </w:rPr>
  </w:style>
  <w:style w:type="character" w:styleId="1" w:customStyle="1">
    <w:name w:val="Неразрешенное упоминание1"/>
    <w:basedOn w:val="DefaultParagraphFont"/>
    <w:uiPriority w:val="99"/>
    <w:semiHidden/>
    <w:unhideWhenUsed/>
    <w:qFormat/>
    <w:rsid w:val="00540ad9"/>
    <w:rPr>
      <w:color w:val="605E5C"/>
      <w:shd w:fill="E1DFDD" w:val="clear"/>
    </w:rPr>
  </w:style>
  <w:style w:type="paragraph" w:styleId="Style17">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8">
    <w:name w:val="Указатель"/>
    <w:basedOn w:val="Normal"/>
    <w:qFormat/>
    <w:pPr>
      <w:suppressLineNumbers/>
    </w:pPr>
    <w:rPr/>
  </w:style>
  <w:style w:type="paragraph" w:styleId="Title">
    <w:name w:val="Title"/>
    <w:basedOn w:val="Normal"/>
    <w:next w:val="BodyText"/>
    <w:qFormat/>
    <w:pPr>
      <w:keepNext w:val="true"/>
      <w:spacing w:before="240" w:after="120"/>
    </w:pPr>
    <w:rPr>
      <w:rFonts w:ascii="Liberation Sans" w:hAnsi="Liberation Sans" w:eastAsia="Arial Unicode MS" w:cs="Arial Unicode MS"/>
      <w:sz w:val="28"/>
      <w:szCs w:val="28"/>
    </w:rPr>
  </w:style>
  <w:style w:type="paragraph" w:styleId="Caption1">
    <w:name w:val="caption1"/>
    <w:basedOn w:val="Normal"/>
    <w:qFormat/>
    <w:pPr>
      <w:suppressLineNumbers/>
      <w:spacing w:before="120" w:after="120"/>
    </w:pPr>
    <w:rPr>
      <w:i/>
      <w:iCs/>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rPr>
  </w:style>
  <w:style w:type="paragraph" w:styleId="1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2"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9" w:customStyle="1">
    <w:name w:val="Подпункт договора"/>
    <w:basedOn w:val="Normal"/>
    <w:qFormat/>
    <w:rsid w:val="00f05883"/>
    <w:pPr>
      <w:tabs>
        <w:tab w:val="clear" w:pos="708"/>
        <w:tab w:val="left" w:pos="360" w:leader="none"/>
      </w:tabs>
      <w:jc w:val="both"/>
    </w:pPr>
    <w:rPr>
      <w:rFonts w:ascii="Arial" w:hAnsi="Arial"/>
      <w:sz w:val="20"/>
      <w:szCs w:val="20"/>
      <w:lang w:val="ru-RU"/>
    </w:rPr>
  </w:style>
  <w:style w:type="paragraph" w:styleId="Style20" w:customStyle="1">
    <w:name w:val="Пункт"/>
    <w:basedOn w:val="Normal"/>
    <w:qFormat/>
    <w:rsid w:val="005f1e81"/>
    <w:pPr>
      <w:numPr>
        <w:ilvl w:val="2"/>
        <w:numId w:val="2"/>
      </w:numPr>
      <w:jc w:val="both"/>
    </w:pPr>
    <w:rPr>
      <w:sz w:val="28"/>
      <w:lang w:val="ru-RU"/>
    </w:rPr>
  </w:style>
  <w:style w:type="paragraph" w:styleId="Style21" w:customStyle="1">
    <w:name w:val="Подпункт"/>
    <w:basedOn w:val="Style20"/>
    <w:qFormat/>
    <w:rsid w:val="005f1e81"/>
    <w:pPr/>
    <w:rPr/>
  </w:style>
  <w:style w:type="paragraph" w:styleId="Style22" w:customStyle="1">
    <w:name w:val="Подподпункт"/>
    <w:basedOn w:val="Style21"/>
    <w:qFormat/>
    <w:rsid w:val="005f1e81"/>
    <w:pPr/>
    <w:rPr/>
  </w:style>
  <w:style w:type="paragraph" w:styleId="Style23" w:customStyle="1">
    <w:name w:val="Пункт договора"/>
    <w:basedOn w:val="Normal"/>
    <w:qFormat/>
    <w:rsid w:val="005f1e81"/>
    <w:pPr>
      <w:widowControl w:val="false"/>
      <w:jc w:val="both"/>
    </w:pPr>
    <w:rPr>
      <w:rFonts w:ascii="Arial" w:hAnsi="Arial"/>
      <w:sz w:val="20"/>
      <w:szCs w:val="20"/>
      <w:lang w:val="ru-RU"/>
    </w:rPr>
  </w:style>
  <w:style w:type="paragraph" w:styleId="Style24"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rsid w:val="006709ae"/>
    <w:pPr/>
    <w:rPr>
      <w:sz w:val="20"/>
      <w:szCs w:val="20"/>
      <w:lang w:eastAsia="x-none"/>
    </w:rPr>
  </w:style>
  <w:style w:type="paragraph" w:styleId="Style25" w:customStyle="1">
    <w:name w:val="Раздел договора"/>
    <w:basedOn w:val="Normal"/>
    <w:next w:val="Style23"/>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6"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hanging="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13" w:customStyle="1">
    <w:name w:val="Заголовок1"/>
    <w:basedOn w:val="Normal"/>
    <w:link w:val="Style10"/>
    <w:qFormat/>
    <w:rsid w:val="006375b6"/>
    <w:pPr>
      <w:widowControl w:val="false"/>
      <w:overflowPunct w:val="false"/>
      <w:spacing w:before="0" w:after="120"/>
      <w:jc w:val="center"/>
      <w:textAlignment w:val="baseline"/>
    </w:pPr>
    <w:rPr>
      <w:b/>
      <w:bCs/>
      <w:sz w:val="32"/>
      <w:szCs w:val="20"/>
      <w:lang w:val="ru-RU"/>
    </w:rPr>
  </w:style>
  <w:style w:type="paragraph" w:styleId="Style27" w:customStyle="1">
    <w:name w:val="Колонтитул"/>
    <w:basedOn w:val="Normal"/>
    <w:qFormat/>
    <w:pPr/>
    <w:rPr/>
  </w:style>
  <w:style w:type="paragraph" w:styleId="Header">
    <w:name w:val="Header"/>
    <w:basedOn w:val="Normal"/>
    <w:link w:val="Style11"/>
    <w:uiPriority w:val="99"/>
    <w:rsid w:val="004f3c0a"/>
    <w:pPr>
      <w:tabs>
        <w:tab w:val="clear" w:pos="708"/>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8"/>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8"/>
        <w:tab w:val="left" w:pos="920" w:leader="none"/>
      </w:tabs>
      <w:overflowPunct w:val="false"/>
      <w:spacing w:before="240" w:after="240"/>
      <w:ind w:left="704" w:hanging="504"/>
      <w:textAlignment w:val="baseline"/>
      <w:outlineLvl w:val="1"/>
    </w:pPr>
    <w:rPr>
      <w:szCs w:val="20"/>
      <w:lang w:val="ru-RU"/>
    </w:rPr>
  </w:style>
  <w:style w:type="paragraph" w:styleId="Caption111" w:customStyle="1">
    <w:name w:val="caption111"/>
    <w:basedOn w:val="Normal"/>
    <w:next w:val="Normal"/>
    <w:qFormat/>
    <w:rsid w:val="006375b6"/>
    <w:pPr>
      <w:widowControl w:val="false"/>
      <w:overflowPunct w:val="false"/>
      <w:spacing w:before="120" w:after="120"/>
      <w:jc w:val="both"/>
      <w:textAlignment w:val="baseline"/>
    </w:pPr>
    <w:rPr>
      <w:b/>
      <w:bCs/>
      <w:lang w:val="ru-RU"/>
    </w:rPr>
  </w:style>
  <w:style w:type="paragraph" w:styleId="14" w:customStyle="1">
    <w:name w:val="1. Статья"/>
    <w:basedOn w:val="Heading3"/>
    <w:qFormat/>
    <w:rsid w:val="00dd5d96"/>
    <w:pPr>
      <w:keepNext w:val="false"/>
      <w:keepLines w:val="false"/>
      <w:widowControl w:val="false"/>
      <w:numPr>
        <w:ilvl w:val="0"/>
        <w:numId w:val="4"/>
      </w:numPr>
      <w:tabs>
        <w:tab w:val="clear" w:pos="708"/>
        <w:tab w:val="left" w:pos="2340" w:leader="none"/>
      </w:tabs>
      <w:overflowPunct w:val="false"/>
      <w:spacing w:before="0" w:after="0"/>
      <w:ind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4"/>
      </w:numPr>
      <w:overflowPunct w:val="fals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4"/>
      </w:numPr>
      <w:tabs>
        <w:tab w:val="clear" w:pos="708"/>
        <w:tab w:val="left" w:pos="1620" w:leader="none"/>
      </w:tabs>
      <w:overflowPunct w:val="false"/>
      <w:spacing w:before="0" w:after="0"/>
      <w:jc w:val="both"/>
      <w:textAlignment w:val="baseline"/>
    </w:pPr>
    <w:rPr>
      <w:rFonts w:ascii="Times New Roman" w:hAnsi="Times New Roman"/>
      <w:color w:val="auto"/>
      <w:lang w:val="x-none"/>
    </w:rPr>
  </w:style>
  <w:style w:type="paragraph" w:styleId="Style28">
    <w:name w:val="Содержимое таблицы"/>
    <w:basedOn w:val="Normal"/>
    <w:qFormat/>
    <w:pPr>
      <w:widowControl w:val="false"/>
      <w:suppressLineNumbers/>
    </w:pPr>
    <w:rPr/>
  </w:style>
  <w:style w:type="paragraph" w:styleId="Style29">
    <w:name w:val="Заголовок таблицы"/>
    <w:basedOn w:val="Style28"/>
    <w:qFormat/>
    <w:pPr>
      <w:suppressLineNumbers/>
      <w:jc w:val="center"/>
    </w:pPr>
    <w:rPr>
      <w:b/>
      <w:bCs/>
    </w:rPr>
  </w:style>
  <w:style w:type="numbering" w:styleId="NoList" w:default="1">
    <w:name w:val="No List"/>
    <w:uiPriority w:val="99"/>
    <w:semiHidden/>
    <w:unhideWhenUsed/>
    <w:qFormat/>
  </w:style>
  <w:style w:type="table" w:default="1" w:styleId="a2">
    <w:name w:val="Normal Table"/>
    <w:uiPriority w:val="99"/>
    <w:semiHidden/>
    <w:unhideWhenUsed/>
    <w:tblPr>
      <w:tblCellMar>
        <w:top w:w="0" w:type="dxa"/>
        <w:left w:w="108" w:type="dxa"/>
        <w:bottom w:w="0" w:type="dxa"/>
        <w:right w:w="108" w:type="dxa"/>
      </w:tblCellMar>
    </w:tblPr>
  </w:style>
  <w:style w:type="table" w:styleId="affb">
    <w:name w:val="Table Grid"/>
    <w:basedOn w:val="a2"/>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ld@rushydro.ru" TargetMode="Externa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 Id="rId9" Type="http://schemas.openxmlformats.org/officeDocument/2006/relationships/customXml" Target="../customXml/item2.xml"/><Relationship Id="rId10" Type="http://schemas.openxmlformats.org/officeDocument/2006/relationships/customXml" Target="../customXml/item3.xml"/><Relationship Id="rId11" Type="http://schemas.openxmlformats.org/officeDocument/2006/relationships/customXml" Target="../customXml/item4.xml"/><Relationship Id="rId12" Type="http://schemas.openxmlformats.org/officeDocument/2006/relationships/customXml" Target="../customXml/item5.xml"/><Relationship Id="rId13" Type="http://schemas.openxmlformats.org/officeDocument/2006/relationships/customXml" Target="../customXml/item6.xml"/><Relationship Id="rId14"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3F17D4C-CC72-4F93-B163-2AF2F90F71EE}">
  <ds:schemaRefs>
    <ds:schemaRef ds:uri="http://schemas.openxmlformats.org/officeDocument/2006/bibliography"/>
  </ds:schemaRefs>
</ds:datastoreItem>
</file>

<file path=customXml/itemProps3.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5.xml><?xml version="1.0" encoding="utf-8"?>
<ds:datastoreItem xmlns:ds="http://schemas.openxmlformats.org/officeDocument/2006/customXml" ds:itemID="{142F1A4A-8397-40D2-BF50-72328704BB96}">
  <ds:schemaRefs>
    <ds:schemaRef ds:uri="http://schemas.openxmlformats.org/officeDocument/2006/bibliography"/>
  </ds:schemaRefs>
</ds:datastoreItem>
</file>

<file path=customXml/itemProps6.xml><?xml version="1.0" encoding="utf-8"?>
<ds:datastoreItem xmlns:ds="http://schemas.openxmlformats.org/officeDocument/2006/customXml" ds:itemID="{ABFAA082-A96E-4BF6-9977-2CFBEA38A8B8}">
  <ds:schemaRefs>
    <ds:schemaRef ds:uri="http://schemas.openxmlformats.org/officeDocument/2006/bibliography"/>
  </ds:schemaRefs>
</ds:datastoreItem>
</file>

<file path=customXml/itemProps7.xml><?xml version="1.0" encoding="utf-8"?>
<ds:datastoreItem xmlns:ds="http://schemas.openxmlformats.org/officeDocument/2006/customXml" ds:itemID="{B52F5553-337A-47AC-9A95-ABC12AC42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Application>AlterOffice/3.4.0.9$Linux_X86_64 LibreOffice_project/b8daf9e823b1a5463a2f48435ddc2e8696e7d4fc</Application>
  <AppVersion>15.0000</AppVersion>
  <Pages>20</Pages>
  <Words>8255</Words>
  <Characters>58753</Characters>
  <CharactersWithSpaces>66642</CharactersWithSpaces>
  <Paragraphs>327</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2024-05-30T04:15:00Z</dcterms:created>
  <dc:creator>UK VoHEC</dc:creator>
  <dc:description/>
  <dc:language>ru-RU</dc:language>
  <cp:lastModifiedBy>nosatovdv@corp.gidroogk.com</cp:lastModifiedBy>
  <cp:lastPrinted>2022-01-13T22:05:00Z</cp:lastPrinted>
  <dcterms:modified xsi:type="dcterms:W3CDTF">2026-10-02T13:06:21Z</dcterms:modified>
  <cp:revision>4</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r8>0</vt:r8>
  </property>
</Properties>
</file>