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notes.xml" ContentType="application/vnd.openxmlformats-officedocument.wordprocessingml.footnotes+xml"/>
  <Override PartName="/word/header7.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540" w:right="0" w:hanging="0"/>
        <w:jc w:val="center"/>
        <w:rPr>
          <w:rFonts w:ascii="Times New Roman" w:hAnsi="Times New Roman"/>
          <w:b/>
          <w:sz w:val="24"/>
          <w:szCs w:val="24"/>
        </w:rPr>
      </w:pPr>
      <w:r>
        <w:rPr>
          <w:b/>
          <w:sz w:val="24"/>
          <w:szCs w:val="24"/>
        </w:rPr>
        <w:t>ДОГОВОР  №________</w:t>
      </w:r>
    </w:p>
    <w:p>
      <w:pPr>
        <w:pStyle w:val="Normal"/>
        <w:shd w:val="clear" w:fill="FFFFFF"/>
        <w:tabs>
          <w:tab w:val="clear" w:pos="367"/>
          <w:tab w:val="left" w:pos="6926" w:leader="none"/>
        </w:tabs>
        <w:ind w:left="-540" w:right="0" w:hanging="0"/>
        <w:jc w:val="center"/>
        <w:rPr>
          <w:rFonts w:ascii="Times New Roman" w:hAnsi="Times New Roman"/>
          <w:b/>
          <w:bCs/>
          <w:sz w:val="24"/>
          <w:szCs w:val="24"/>
        </w:rPr>
      </w:pPr>
      <w:r>
        <w:rPr>
          <w:b/>
          <w:bCs/>
          <w:sz w:val="24"/>
          <w:szCs w:val="24"/>
        </w:rPr>
        <w:t>купли-продажи</w:t>
      </w:r>
    </w:p>
    <w:p>
      <w:pPr>
        <w:pStyle w:val="Normal"/>
        <w:shd w:val="clear" w:fill="FFFFFF"/>
        <w:tabs>
          <w:tab w:val="clear" w:pos="367"/>
          <w:tab w:val="left" w:pos="6926" w:leader="none"/>
        </w:tabs>
        <w:ind w:left="-540" w:right="0" w:hanging="0"/>
        <w:jc w:val="center"/>
        <w:rPr>
          <w:rFonts w:ascii="Times New Roman" w:hAnsi="Times New Roman"/>
          <w:b/>
          <w:bCs/>
          <w:sz w:val="24"/>
          <w:szCs w:val="24"/>
        </w:rPr>
      </w:pPr>
      <w:r>
        <w:rPr>
          <w:b/>
          <w:bCs/>
          <w:sz w:val="24"/>
          <w:szCs w:val="24"/>
        </w:rPr>
      </w:r>
    </w:p>
    <w:p>
      <w:pPr>
        <w:pStyle w:val="Normal"/>
        <w:shd w:val="clear" w:fill="FFFFFF"/>
        <w:tabs>
          <w:tab w:val="clear" w:pos="367"/>
          <w:tab w:val="right" w:pos="9639" w:leader="none"/>
        </w:tabs>
        <w:jc w:val="right"/>
        <w:rPr>
          <w:rFonts w:ascii="Times New Roman" w:hAnsi="Times New Roman"/>
          <w:bCs/>
          <w:sz w:val="24"/>
          <w:szCs w:val="24"/>
        </w:rPr>
      </w:pPr>
      <w:r>
        <w:rPr>
          <w:bCs/>
          <w:sz w:val="24"/>
          <w:szCs w:val="24"/>
        </w:rPr>
        <w:t>г. Благовещенск</w:t>
        <w:tab/>
        <w:t xml:space="preserve">   «___» _________ 202 г.</w:t>
      </w:r>
    </w:p>
    <w:p>
      <w:pPr>
        <w:pStyle w:val="Normal"/>
        <w:shd w:val="clear" w:fill="FFFFFF"/>
        <w:tabs>
          <w:tab w:val="clear" w:pos="367"/>
          <w:tab w:val="right" w:pos="9639" w:leader="none"/>
        </w:tabs>
        <w:ind w:left="0" w:right="0" w:firstLine="709"/>
        <w:jc w:val="right"/>
        <w:rPr>
          <w:rFonts w:ascii="Times New Roman" w:hAnsi="Times New Roman"/>
          <w:bCs/>
          <w:sz w:val="24"/>
          <w:szCs w:val="24"/>
        </w:rPr>
      </w:pPr>
      <w:r>
        <w:rPr>
          <w:bCs/>
          <w:sz w:val="24"/>
          <w:szCs w:val="24"/>
        </w:rPr>
      </w:r>
    </w:p>
    <w:p>
      <w:pPr>
        <w:pStyle w:val="Normal"/>
        <w:bidi w:val="0"/>
        <w:ind w:left="0" w:right="0" w:firstLine="709"/>
        <w:jc w:val="both"/>
        <w:rPr/>
      </w:pPr>
      <w:r>
        <w:rPr>
          <w:b/>
          <w:sz w:val="24"/>
          <w:szCs w:val="24"/>
        </w:rPr>
        <w:t xml:space="preserve">Акционерное общество «Дальневосточная распределительная сетевая компания» </w:t>
      </w:r>
      <w:r>
        <w:rPr>
          <w:sz w:val="24"/>
          <w:szCs w:val="24"/>
        </w:rPr>
        <w:t>(АО «ДРСК»)</w:t>
      </w:r>
      <w:r>
        <w:rPr>
          <w:spacing w:val="2"/>
          <w:sz w:val="24"/>
          <w:szCs w:val="24"/>
        </w:rPr>
        <w:t xml:space="preserve">, (далее – </w:t>
      </w:r>
      <w:r>
        <w:rPr>
          <w:sz w:val="24"/>
          <w:szCs w:val="24"/>
        </w:rPr>
        <w:t>«Покупатель»), в лице ___________ филиала АО «ДРСК» «Амурские электрические сети» __________</w:t>
      </w:r>
      <w:r>
        <w:rPr>
          <w:spacing w:val="4"/>
          <w:sz w:val="24"/>
          <w:szCs w:val="24"/>
        </w:rPr>
        <w:t xml:space="preserve">, действующего на основании доверенности </w:t>
      </w:r>
      <w:r>
        <w:rPr>
          <w:rFonts w:ascii="Liberation Serif" w:hAnsi="Liberation Serif"/>
          <w:spacing w:val="4"/>
          <w:sz w:val="24"/>
          <w:szCs w:val="24"/>
          <w:shd w:fill="auto" w:val="clear"/>
        </w:rPr>
        <w:t>№__ от _________г.</w:t>
      </w:r>
      <w:r>
        <w:rPr>
          <w:rFonts w:ascii="Liberation Serif" w:hAnsi="Liberation Serif"/>
          <w:color w:val="000000"/>
          <w:spacing w:val="4"/>
          <w:sz w:val="24"/>
          <w:szCs w:val="24"/>
          <w:shd w:fill="auto" w:val="clear"/>
        </w:rPr>
        <w:t>,</w:t>
      </w:r>
      <w:r>
        <w:rPr>
          <w:spacing w:val="4"/>
          <w:sz w:val="24"/>
          <w:szCs w:val="24"/>
        </w:rPr>
        <w:t xml:space="preserve"> с одной стороны, и</w:t>
      </w:r>
      <w:r>
        <w:rPr>
          <w:spacing w:val="10"/>
          <w:sz w:val="24"/>
          <w:szCs w:val="24"/>
        </w:rPr>
        <w:t xml:space="preserve"> </w:t>
      </w:r>
      <w:r>
        <w:rPr>
          <w:b/>
          <w:spacing w:val="10"/>
          <w:sz w:val="24"/>
          <w:szCs w:val="24"/>
        </w:rPr>
        <w:t>_____________________</w:t>
      </w:r>
      <w:r>
        <w:rPr>
          <w:b/>
          <w:bCs/>
          <w:spacing w:val="10"/>
          <w:sz w:val="24"/>
          <w:szCs w:val="24"/>
        </w:rPr>
        <w:t xml:space="preserve"> </w:t>
      </w:r>
      <w:r>
        <w:rPr>
          <w:sz w:val="24"/>
          <w:szCs w:val="24"/>
        </w:rPr>
        <w:t xml:space="preserve">(далее – «Продавец»), действующий на основании _______________________ с другой стороны, совместно в дальнейшем именуемые «Стороны», а по отдельности – «Сторона», в рамках закупки </w:t>
      </w:r>
      <w:r>
        <w:rPr>
          <w:i w:val="false"/>
          <w:iCs w:val="false"/>
          <w:sz w:val="24"/>
          <w:szCs w:val="24"/>
        </w:rPr>
        <w:t xml:space="preserve">товара </w:t>
      </w:r>
      <w:r>
        <w:rPr>
          <w:b w:val="false"/>
          <w:i w:val="false"/>
          <w:iCs w:val="false"/>
          <w:strike w:val="false"/>
          <w:dstrike w:val="false"/>
          <w:outline w:val="false"/>
          <w:shadow w:val="false"/>
          <w:sz w:val="24"/>
          <w:szCs w:val="24"/>
          <w:u w:val="none"/>
          <w:em w:val="none"/>
        </w:rPr>
        <w:t xml:space="preserve">ОКПД2 10.11.1 Поставка мяса охлажденного для филиала "Амурские электрические сети", </w:t>
      </w:r>
      <w:r>
        <w:rPr>
          <w:i w:val="false"/>
          <w:iCs w:val="false"/>
          <w:sz w:val="24"/>
          <w:szCs w:val="24"/>
          <w:shd w:fill="auto" w:val="clear"/>
          <w:lang w:eastAsia="en-US"/>
        </w:rPr>
        <w:t xml:space="preserve">по результатам проведенной Покупателем конкурентной процедуры по лоту № </w:t>
      </w:r>
      <w:r>
        <w:rPr>
          <w:rFonts w:eastAsia="Times New Roman" w:cs="Times New Roman"/>
          <w:b w:val="false"/>
          <w:i w:val="false"/>
          <w:iCs/>
          <w:strike w:val="false"/>
          <w:dstrike w:val="false"/>
          <w:outline w:val="false"/>
          <w:shadow w:val="false"/>
          <w:color w:val="000000"/>
          <w:sz w:val="24"/>
          <w:szCs w:val="24"/>
          <w:u w:val="none"/>
          <w:shd w:fill="auto" w:val="clear"/>
          <w:em w:val="none"/>
          <w:lang w:eastAsia="ru-RU"/>
        </w:rPr>
        <w:t>30801-ПРО ДЭК-2027-ДРСК-АЭС</w:t>
      </w:r>
      <w:r>
        <w:rPr>
          <w:bCs/>
          <w:i w:val="false"/>
          <w:iCs w:val="false"/>
          <w:sz w:val="24"/>
          <w:szCs w:val="24"/>
          <w:shd w:fill="auto" w:val="clear"/>
          <w:lang w:eastAsia="en-US"/>
        </w:rPr>
        <w:t xml:space="preserve"> </w:t>
      </w:r>
      <w:r>
        <w:rPr>
          <w:i w:val="false"/>
          <w:iCs w:val="false"/>
          <w:sz w:val="24"/>
          <w:szCs w:val="24"/>
          <w:shd w:fill="auto" w:val="clear"/>
          <w:lang w:eastAsia="en-US"/>
        </w:rPr>
        <w:t>и на основании протокола о</w:t>
      </w:r>
      <w:r>
        <w:rPr>
          <w:sz w:val="24"/>
          <w:szCs w:val="24"/>
          <w:shd w:fill="auto" w:val="clear"/>
          <w:lang w:eastAsia="en-US"/>
        </w:rPr>
        <w:t xml:space="preserve">т ___ № </w:t>
      </w:r>
      <w:r>
        <w:rPr>
          <w:bCs/>
          <w:caps/>
          <w:sz w:val="24"/>
          <w:szCs w:val="24"/>
          <w:shd w:fill="auto" w:val="clear"/>
          <w:lang w:eastAsia="en-US"/>
        </w:rPr>
        <w:t>___</w:t>
      </w:r>
      <w:r>
        <w:rPr>
          <w:sz w:val="24"/>
          <w:szCs w:val="24"/>
          <w:shd w:fill="auto" w:val="clear"/>
          <w:lang w:eastAsia="en-US"/>
        </w:rPr>
        <w:t xml:space="preserve">, </w:t>
      </w:r>
      <w:r>
        <w:rPr>
          <w:sz w:val="24"/>
          <w:szCs w:val="24"/>
        </w:rPr>
        <w:t>заключили настоящий договор поставки (далее – «Договор») о нижеследующем:</w:t>
      </w:r>
    </w:p>
    <w:p>
      <w:pPr>
        <w:pStyle w:val="Normal"/>
        <w:shd w:val="clear" w:fill="FFFFFF"/>
        <w:ind w:left="0" w:right="0" w:firstLine="709"/>
        <w:jc w:val="center"/>
        <w:rPr>
          <w:rFonts w:ascii="Times New Roman" w:hAnsi="Times New Roman"/>
          <w:b/>
          <w:bCs/>
          <w:sz w:val="24"/>
          <w:szCs w:val="24"/>
        </w:rPr>
      </w:pPr>
      <w:r>
        <w:rPr>
          <w:b/>
          <w:bCs/>
          <w:sz w:val="24"/>
          <w:szCs w:val="24"/>
        </w:rPr>
        <w:t>Термины и определения</w:t>
      </w:r>
    </w:p>
    <w:p>
      <w:pPr>
        <w:pStyle w:val="Normal"/>
        <w:shd w:val="clear" w:fill="FFFFFF"/>
        <w:ind w:left="0" w:right="0" w:firstLine="709"/>
        <w:jc w:val="both"/>
        <w:rPr>
          <w:rFonts w:ascii="Times New Roman" w:hAnsi="Times New Roman"/>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fill="FFFFFF"/>
        <w:tabs>
          <w:tab w:val="clear" w:pos="367"/>
          <w:tab w:val="left" w:pos="0" w:leader="none"/>
        </w:tabs>
        <w:overflowPunct w:val="true"/>
        <w:ind w:left="0" w:right="0" w:firstLine="709"/>
        <w:jc w:val="both"/>
        <w:textAlignment w:val="baseline"/>
        <w:rPr>
          <w:rFonts w:ascii="Times New Roman" w:hAnsi="Times New Roman"/>
          <w:sz w:val="24"/>
          <w:szCs w:val="24"/>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fill="FFFFFF"/>
        <w:tabs>
          <w:tab w:val="clear" w:pos="367"/>
          <w:tab w:val="left" w:pos="567" w:leader="none"/>
          <w:tab w:val="left" w:pos="1134" w:leader="none"/>
        </w:tabs>
        <w:overflowPunct w:val="true"/>
        <w:bidi w:val="0"/>
        <w:ind w:left="0" w:right="0" w:firstLine="709"/>
        <w:jc w:val="both"/>
        <w:textAlignment w:val="baseline"/>
        <w:rPr>
          <w:rFonts w:ascii="Times New Roman" w:hAnsi="Times New Roman"/>
          <w:sz w:val="24"/>
          <w:szCs w:val="24"/>
          <w:shd w:fill="auto" w:val="clear"/>
        </w:rPr>
      </w:pPr>
      <w:r>
        <w:rPr>
          <w:b/>
          <w:bCs/>
          <w:color w:val="000000"/>
          <w:sz w:val="24"/>
          <w:szCs w:val="24"/>
          <w:shd w:fill="auto" w:val="clear"/>
          <w:lang w:eastAsia="en-US"/>
        </w:rPr>
        <w:t>«Срок годности»</w:t>
      </w:r>
      <w:r>
        <w:rPr>
          <w:b w:val="false"/>
          <w:bCs w:val="false"/>
          <w:color w:val="000000"/>
          <w:sz w:val="24"/>
          <w:szCs w:val="24"/>
          <w:shd w:fill="auto" w:val="clear"/>
          <w:lang w:eastAsia="en-US"/>
        </w:rPr>
        <w:t xml:space="preserve"> - </w:t>
      </w:r>
      <w:r>
        <w:rPr>
          <w:b w:val="false"/>
          <w:bCs w:val="false"/>
          <w:i w:val="false"/>
          <w:caps w:val="false"/>
          <w:smallCaps w:val="false"/>
          <w:color w:val="000000"/>
          <w:spacing w:val="0"/>
          <w:sz w:val="24"/>
          <w:szCs w:val="24"/>
          <w:shd w:fill="auto" w:val="clear"/>
          <w:lang w:eastAsia="en-US"/>
        </w:rPr>
        <w:t>период времени, по истечении которого товар считается непригодным для использования по назначению, он является одним из показателей качества товара. Срок годности товара определяется временным периодом,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pPr>
        <w:pStyle w:val="ListParagraph"/>
        <w:shd w:val="clear" w:fill="FFFFFF"/>
        <w:tabs>
          <w:tab w:val="clear" w:pos="367"/>
          <w:tab w:val="left" w:pos="0" w:leader="none"/>
        </w:tabs>
        <w:overflowPunct w:val="true"/>
        <w:ind w:left="0" w:right="0" w:firstLine="709"/>
        <w:jc w:val="both"/>
        <w:textAlignment w:val="baseline"/>
        <w:rPr>
          <w:rFonts w:ascii="Times New Roman" w:hAnsi="Times New Roman"/>
          <w:sz w:val="24"/>
          <w:szCs w:val="24"/>
        </w:rPr>
      </w:pPr>
      <w:r>
        <w:rPr>
          <w:b/>
          <w:sz w:val="24"/>
          <w:szCs w:val="24"/>
          <w:lang w:eastAsia="en-US"/>
        </w:rPr>
        <w:t>«Договор»</w:t>
      </w:r>
      <w:r>
        <w:rPr>
          <w:sz w:val="24"/>
          <w:szCs w:val="24"/>
          <w:lang w:eastAsia="en-US"/>
        </w:rPr>
        <w:t xml:space="preserve"> – настоящий договор, подписанный Покупателем и Продавцом,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fill="FFFFFF"/>
        <w:tabs>
          <w:tab w:val="clear" w:pos="367"/>
          <w:tab w:val="left" w:pos="0" w:leader="none"/>
        </w:tabs>
        <w:overflowPunct w:val="true"/>
        <w:ind w:left="0" w:right="0" w:firstLine="709"/>
        <w:jc w:val="both"/>
        <w:textAlignment w:val="baseline"/>
        <w:rPr>
          <w:rFonts w:ascii="Times New Roman" w:hAnsi="Times New Roman"/>
          <w:sz w:val="24"/>
          <w:szCs w:val="24"/>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fill="FFFFFF"/>
        <w:tabs>
          <w:tab w:val="clear" w:pos="367"/>
          <w:tab w:val="left" w:pos="0" w:leader="none"/>
        </w:tabs>
        <w:overflowPunct w:val="true"/>
        <w:ind w:left="0" w:right="0" w:firstLine="709"/>
        <w:jc w:val="both"/>
        <w:textAlignment w:val="baseline"/>
        <w:rPr>
          <w:rFonts w:ascii="Times New Roman" w:hAnsi="Times New Roman"/>
          <w:sz w:val="24"/>
          <w:szCs w:val="24"/>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fill="FFFFFF"/>
        <w:tabs>
          <w:tab w:val="clear" w:pos="367"/>
          <w:tab w:val="left" w:pos="0" w:leader="none"/>
        </w:tabs>
        <w:overflowPunct w:val="true"/>
        <w:ind w:left="0" w:right="0" w:firstLine="709"/>
        <w:jc w:val="both"/>
        <w:textAlignment w:val="baseline"/>
        <w:rPr>
          <w:rFonts w:ascii="Times New Roman" w:hAnsi="Times New Roman"/>
          <w:sz w:val="24"/>
          <w:szCs w:val="24"/>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sectPr>
          <w:headerReference w:type="default" r:id="rId2"/>
          <w:type w:val="nextPage"/>
          <w:pgSz w:w="11906" w:h="16838"/>
          <w:pgMar w:left="1418" w:right="851" w:gutter="0" w:header="709" w:top="1134" w:footer="0" w:bottom="1134"/>
          <w:pgNumType w:fmt="decimal"/>
          <w:formProt w:val="false"/>
          <w:textDirection w:val="lrTb"/>
          <w:docGrid w:type="default" w:linePitch="360" w:charSpace="1638"/>
        </w:sectPr>
        <w:pStyle w:val="Heading3"/>
        <w:keepNext w:val="false"/>
        <w:numPr>
          <w:ilvl w:val="0"/>
        </w:numPr>
        <w:tabs>
          <w:tab w:val="clear" w:pos="367"/>
          <w:tab w:val="left" w:pos="0" w:leader="none"/>
        </w:tabs>
        <w:overflowPunct w:val="true"/>
        <w:spacing w:before="0" w:after="0"/>
        <w:ind w:left="0" w:right="0" w:firstLine="709"/>
        <w:jc w:val="both"/>
        <w:textAlignment w:val="baseline"/>
        <w:rPr>
          <w:rFonts w:ascii="Times New Roman" w:hAnsi="Times New Roman"/>
          <w:sz w:val="24"/>
          <w:szCs w:val="24"/>
        </w:rPr>
      </w:pPr>
      <w:r>
        <w:rPr>
          <w:rFonts w:ascii="Times New Roman" w:hAnsi="Times New Roman"/>
          <w:color w:val="00000A"/>
          <w:sz w:val="24"/>
          <w:szCs w:val="24"/>
          <w:lang w:eastAsia="en-US"/>
        </w:rPr>
        <w:t xml:space="preserve">«Партия Товара» </w:t>
      </w:r>
      <w:r>
        <w:rPr>
          <w:rFonts w:ascii="Times New Roman" w:hAnsi="Times New Roman"/>
          <w:b w:val="false"/>
          <w:color w:val="00000A"/>
          <w:sz w:val="24"/>
          <w:szCs w:val="24"/>
          <w:lang w:eastAsia="en-US"/>
        </w:rPr>
        <w:t xml:space="preserve">– часть Товара, единовременно поставляемая Покупателю Продавцом, </w:t>
      </w:r>
      <w:r>
        <w:rPr>
          <w:rFonts w:ascii="Times New Roman" w:hAnsi="Times New Roman"/>
          <w:b w:val="false"/>
          <w:color w:val="00000A"/>
          <w:sz w:val="24"/>
          <w:szCs w:val="24"/>
          <w:lang w:val="ru-RU" w:eastAsia="en-US"/>
        </w:rPr>
        <w:t>характеристики</w:t>
      </w:r>
      <w:r>
        <w:rPr>
          <w:rFonts w:ascii="Times New Roman" w:hAnsi="Times New Roman"/>
          <w:b w:val="false"/>
          <w:color w:val="00000A"/>
          <w:sz w:val="24"/>
          <w:szCs w:val="24"/>
          <w:lang w:eastAsia="en-US"/>
        </w:rPr>
        <w:t xml:space="preserve"> которой определя</w:t>
      </w:r>
      <w:r>
        <w:rPr>
          <w:rFonts w:ascii="Times New Roman" w:hAnsi="Times New Roman"/>
          <w:b w:val="false"/>
          <w:color w:val="00000A"/>
          <w:sz w:val="24"/>
          <w:szCs w:val="24"/>
          <w:lang w:val="ru-RU" w:eastAsia="en-US"/>
        </w:rPr>
        <w:t>ю</w:t>
      </w:r>
      <w:r>
        <w:rPr>
          <w:rFonts w:ascii="Times New Roman" w:hAnsi="Times New Roman"/>
          <w:b w:val="false"/>
          <w:color w:val="00000A"/>
          <w:sz w:val="24"/>
          <w:szCs w:val="24"/>
          <w:lang w:eastAsia="en-US"/>
        </w:rPr>
        <w:t xml:space="preserve">тся </w:t>
      </w:r>
      <w:r>
        <w:rPr>
          <w:rFonts w:ascii="Times New Roman" w:hAnsi="Times New Roman"/>
          <w:b w:val="false"/>
          <w:color w:val="00000A"/>
          <w:sz w:val="24"/>
          <w:szCs w:val="24"/>
          <w:lang w:val="ru-RU" w:eastAsia="en-US"/>
        </w:rPr>
        <w:t>Заявкой Покупателя в соответствии с Коммерческим предложением</w:t>
      </w:r>
      <w:r>
        <w:rPr>
          <w:rFonts w:ascii="Times New Roman" w:hAnsi="Times New Roman"/>
          <w:b w:val="false"/>
          <w:color w:val="00000A"/>
          <w:sz w:val="24"/>
          <w:szCs w:val="24"/>
          <w:lang w:eastAsia="en-US"/>
        </w:rPr>
        <w:t>, являющейся приложением к Договору.</w:t>
      </w:r>
    </w:p>
    <w:p>
      <w:pPr>
        <w:pStyle w:val="Heading3"/>
        <w:keepNext w:val="false"/>
        <w:numPr>
          <w:ilvl w:val="0"/>
        </w:numPr>
        <w:tabs>
          <w:tab w:val="clear" w:pos="367"/>
          <w:tab w:val="left" w:pos="0" w:leader="none"/>
        </w:tabs>
        <w:overflowPunct w:val="true"/>
        <w:spacing w:before="0" w:after="0"/>
        <w:ind w:left="0" w:right="0" w:firstLine="709"/>
        <w:jc w:val="both"/>
        <w:textAlignment w:val="baseline"/>
        <w:rPr>
          <w:rFonts w:ascii="Times New Roman" w:hAnsi="Times New Roman"/>
          <w:sz w:val="24"/>
          <w:szCs w:val="24"/>
        </w:rPr>
      </w:pPr>
      <w:r>
        <w:rPr>
          <w:rFonts w:ascii="Times New Roman" w:hAnsi="Times New Roman"/>
          <w:color w:val="00000A"/>
          <w:sz w:val="24"/>
          <w:szCs w:val="24"/>
          <w:lang w:val="ru-RU" w:eastAsia="en-US"/>
        </w:rPr>
        <w:t>«Применимое право»</w:t>
      </w:r>
      <w:r>
        <w:rPr>
          <w:rFonts w:ascii="Times New Roman" w:hAnsi="Times New Roman"/>
          <w:b w:val="false"/>
          <w:color w:val="00000A"/>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left="0" w:right="0" w:firstLine="709"/>
        <w:jc w:val="both"/>
        <w:rPr>
          <w:rFonts w:ascii="Times New Roman" w:hAnsi="Times New Roman"/>
          <w:sz w:val="24"/>
          <w:szCs w:val="24"/>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widowControl w:val="false"/>
        <w:spacing w:before="0" w:after="0"/>
        <w:ind w:left="0" w:right="0" w:firstLine="709"/>
        <w:jc w:val="both"/>
        <w:rPr>
          <w:rFonts w:ascii="Liberation Serif" w:hAnsi="Liberation Serif"/>
          <w:sz w:val="24"/>
          <w:szCs w:val="24"/>
          <w:shd w:fill="FFFF00" w:val="clear"/>
        </w:rPr>
      </w:pPr>
      <w:r>
        <w:rPr>
          <w:b/>
          <w:bCs/>
          <w:color w:val="00000A"/>
          <w:sz w:val="24"/>
          <w:szCs w:val="24"/>
          <w:shd w:fill="FFFFFF" w:val="clear"/>
          <w:lang w:val="ru-RU" w:eastAsia="en-US"/>
        </w:rPr>
        <w:t xml:space="preserve">«Универсальный передаточный документ (УПД)» </w:t>
      </w:r>
      <w:r>
        <w:rPr>
          <w:b w:val="false"/>
          <w:bCs w:val="false"/>
          <w:color w:val="00000A"/>
          <w:sz w:val="24"/>
          <w:szCs w:val="24"/>
          <w:shd w:fill="FFFFFF" w:val="clear"/>
          <w:lang w:val="ru-RU" w:eastAsia="en-US"/>
        </w:rPr>
        <w:t>– форма докуме</w:t>
      </w:r>
      <w:r>
        <w:rPr>
          <w:b w:val="false"/>
          <w:color w:val="00000A"/>
          <w:sz w:val="24"/>
          <w:szCs w:val="24"/>
          <w:shd w:fill="FFFFFF"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numPr>
          <w:ilvl w:val="0"/>
        </w:numPr>
        <w:tabs>
          <w:tab w:val="clear" w:pos="367"/>
          <w:tab w:val="left" w:pos="0" w:leader="none"/>
        </w:tabs>
        <w:overflowPunct w:val="true"/>
        <w:spacing w:before="0" w:after="0"/>
        <w:ind w:left="0" w:right="0" w:firstLine="709"/>
        <w:jc w:val="both"/>
        <w:textAlignment w:val="baseline"/>
        <w:rPr>
          <w:rFonts w:ascii="Times New Roman" w:hAnsi="Times New Roman"/>
          <w:sz w:val="24"/>
          <w:szCs w:val="24"/>
        </w:rPr>
      </w:pPr>
      <w:r>
        <w:rPr>
          <w:rFonts w:ascii="Times New Roman" w:hAnsi="Times New Roman"/>
          <w:color w:val="00000A"/>
          <w:sz w:val="24"/>
          <w:szCs w:val="24"/>
          <w:lang w:val="ru-RU" w:eastAsia="en-US"/>
        </w:rPr>
        <w:t>«Цена Договора»</w:t>
      </w:r>
      <w:r>
        <w:rPr>
          <w:rFonts w:ascii="Times New Roman" w:hAnsi="Times New Roman"/>
          <w:b w:val="false"/>
          <w:color w:val="00000A"/>
          <w:sz w:val="24"/>
          <w:szCs w:val="24"/>
          <w:lang w:val="ru-RU" w:eastAsia="en-US"/>
        </w:rPr>
        <w:t xml:space="preserve"> – определяемая в соответствии с разделом 2 Договора сумма, которую Покупатель обязуется уплатить Продавцу в порядке и на условиях, установленных Договором, включающая компенсацию всех издержек Продавца и причитающееся ему вознаграждение, а также инфляционные риски на весь период действия Договора.</w:t>
      </w:r>
    </w:p>
    <w:p>
      <w:pPr>
        <w:pStyle w:val="Normal"/>
        <w:numPr>
          <w:ilvl w:val="0"/>
          <w:numId w:val="2"/>
        </w:numPr>
        <w:shd w:val="clear" w:fill="FFFFFF"/>
        <w:tabs>
          <w:tab w:val="clear" w:pos="367"/>
          <w:tab w:val="left" w:pos="284" w:leader="none"/>
        </w:tabs>
        <w:ind w:left="0" w:right="0" w:hanging="0"/>
        <w:jc w:val="center"/>
        <w:rPr>
          <w:rFonts w:ascii="Times New Roman" w:hAnsi="Times New Roman"/>
          <w:b/>
          <w:bCs/>
          <w:sz w:val="24"/>
          <w:szCs w:val="24"/>
        </w:rPr>
      </w:pPr>
      <w:r>
        <w:rPr>
          <w:b/>
          <w:bCs/>
          <w:sz w:val="24"/>
          <w:szCs w:val="24"/>
        </w:rPr>
        <w:t>Предмет Договора</w:t>
      </w:r>
    </w:p>
    <w:p>
      <w:pPr>
        <w:pStyle w:val="Normal"/>
        <w:widowControl w:val="false"/>
        <w:numPr>
          <w:ilvl w:val="1"/>
          <w:numId w:val="2"/>
        </w:numPr>
        <w:shd w:val="clear" w:fill="FFFFFF"/>
        <w:tabs>
          <w:tab w:val="clear" w:pos="367"/>
          <w:tab w:val="left" w:pos="1134" w:leader="none"/>
        </w:tabs>
        <w:bidi w:val="0"/>
        <w:ind w:left="0" w:right="0" w:firstLine="737"/>
        <w:jc w:val="both"/>
        <w:rPr>
          <w:rFonts w:ascii="Times New Roman" w:hAnsi="Times New Roman"/>
          <w:sz w:val="24"/>
          <w:szCs w:val="24"/>
        </w:rPr>
      </w:pPr>
      <w:r>
        <w:rPr>
          <w:bCs/>
          <w:sz w:val="24"/>
          <w:szCs w:val="24"/>
        </w:rPr>
        <w:t>Продавец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i w:val="false"/>
          <w:iCs w:val="false"/>
          <w:sz w:val="24"/>
          <w:szCs w:val="24"/>
          <w:shd w:fill="auto" w:val="clear"/>
          <w:lang w:eastAsia="en-US"/>
        </w:rPr>
        <w:t>продукты питания</w:t>
      </w:r>
      <w:r>
        <w:rPr>
          <w:bCs/>
          <w:sz w:val="24"/>
          <w:szCs w:val="24"/>
        </w:rPr>
        <w:t xml:space="preserve"> (далее – «Товар») в соответствии с коммерческим предложением (Приложение № 1 к Договору), а Покупатель обязуется принять Товар и уплатить Цену Договора.</w:t>
      </w:r>
    </w:p>
    <w:p>
      <w:pPr>
        <w:pStyle w:val="Normal"/>
        <w:widowControl w:val="false"/>
        <w:numPr>
          <w:ilvl w:val="1"/>
          <w:numId w:val="2"/>
        </w:numPr>
        <w:shd w:val="clear" w:fill="FFFFFF"/>
        <w:tabs>
          <w:tab w:val="clear" w:pos="367"/>
          <w:tab w:val="left" w:pos="738" w:leader="none"/>
          <w:tab w:val="left" w:pos="1258" w:leader="none"/>
        </w:tabs>
        <w:bidi w:val="0"/>
        <w:ind w:left="0" w:right="0" w:firstLine="737"/>
        <w:jc w:val="both"/>
        <w:rPr>
          <w:rFonts w:ascii="Times New Roman" w:hAnsi="Times New Roman"/>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 Коммерческим предложением </w:t>
      </w:r>
      <w:r>
        <w:rPr>
          <w:bCs/>
          <w:sz w:val="24"/>
          <w:szCs w:val="24"/>
        </w:rPr>
        <w:t>(Приложение № 1 к Договору)</w:t>
      </w:r>
      <w:r>
        <w:rPr>
          <w:sz w:val="24"/>
          <w:szCs w:val="24"/>
        </w:rPr>
        <w:t xml:space="preserve"> и направляемой Продавцу в порядке и сроки, установленные пунктом 3.1 Договора. </w:t>
      </w:r>
      <w:r>
        <w:rPr>
          <w:color w:val="000000"/>
          <w:sz w:val="24"/>
          <w:szCs w:val="24"/>
        </w:rPr>
        <w:t xml:space="preserve">Стороны в праве произвести замену номенклатуры закупаемой продукции в рамках общей суммы договора, при этом заключение дополнительного соглашения не требуется. Количество полученного Товара указывается в товарных накладных или универсальных передаточных документах, являющихся неотъемлемой частью договора. 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 </w:t>
      </w:r>
    </w:p>
    <w:p>
      <w:pPr>
        <w:pStyle w:val="Normal"/>
        <w:widowControl w:val="false"/>
        <w:numPr>
          <w:ilvl w:val="1"/>
          <w:numId w:val="2"/>
        </w:numPr>
        <w:shd w:val="clear" w:fill="FFFFFF"/>
        <w:tabs>
          <w:tab w:val="clear" w:pos="367"/>
          <w:tab w:val="left" w:pos="0" w:leader="none"/>
          <w:tab w:val="left" w:pos="1134" w:leader="none"/>
        </w:tabs>
        <w:bidi w:val="0"/>
        <w:ind w:left="0" w:right="0" w:firstLine="737"/>
        <w:jc w:val="both"/>
        <w:rPr>
          <w:rFonts w:ascii="Times New Roman" w:hAnsi="Times New Roman"/>
          <w:bCs/>
          <w:sz w:val="24"/>
          <w:szCs w:val="24"/>
          <w:shd w:fill="auto" w:val="clear"/>
        </w:rPr>
      </w:pPr>
      <w:r>
        <w:rPr>
          <w:bCs/>
          <w:sz w:val="24"/>
          <w:szCs w:val="24"/>
          <w:shd w:fill="auto" w:val="clear"/>
        </w:rPr>
        <w:t>Поставка Товара по Договору осуществляется для нужд филиала «Амурские электрические сети»</w:t>
      </w:r>
    </w:p>
    <w:p>
      <w:pPr>
        <w:pStyle w:val="Normal"/>
        <w:numPr>
          <w:ilvl w:val="1"/>
          <w:numId w:val="2"/>
        </w:numPr>
        <w:shd w:val="clear" w:fill="FFFFFF"/>
        <w:tabs>
          <w:tab w:val="clear" w:pos="367"/>
          <w:tab w:val="left" w:pos="0" w:leader="none"/>
          <w:tab w:val="left" w:pos="540" w:leader="none"/>
          <w:tab w:val="left" w:pos="1134" w:leader="none"/>
        </w:tabs>
        <w:ind w:left="0" w:right="0" w:firstLine="709"/>
        <w:jc w:val="both"/>
        <w:rPr>
          <w:rFonts w:ascii="Times New Roman" w:hAnsi="Times New Roman"/>
          <w:bCs/>
          <w:sz w:val="24"/>
          <w:szCs w:val="24"/>
        </w:rPr>
      </w:pPr>
      <w:r>
        <w:rPr>
          <w:bCs/>
          <w:sz w:val="24"/>
          <w:szCs w:val="24"/>
        </w:rPr>
        <w:t>Общий срок поставки Товара:</w:t>
      </w:r>
    </w:p>
    <w:p>
      <w:pPr>
        <w:pStyle w:val="Normal"/>
        <w:numPr>
          <w:ilvl w:val="2"/>
          <w:numId w:val="2"/>
        </w:numPr>
        <w:shd w:val="clear" w:fill="FFFFFF"/>
        <w:tabs>
          <w:tab w:val="clear" w:pos="367"/>
          <w:tab w:val="left" w:pos="0" w:leader="none"/>
          <w:tab w:val="left" w:pos="1134" w:leader="none"/>
          <w:tab w:val="left" w:pos="1418" w:leader="none"/>
        </w:tabs>
        <w:ind w:left="0" w:right="0" w:firstLine="709"/>
        <w:jc w:val="both"/>
        <w:rPr>
          <w:rFonts w:ascii="Times New Roman" w:hAnsi="Times New Roman"/>
          <w:sz w:val="24"/>
          <w:szCs w:val="24"/>
        </w:rPr>
      </w:pPr>
      <w:r>
        <w:rPr>
          <w:bCs/>
          <w:sz w:val="24"/>
          <w:szCs w:val="24"/>
        </w:rPr>
        <w:t>Начало –</w:t>
      </w:r>
      <w:r>
        <w:rPr>
          <w:bCs/>
          <w:sz w:val="24"/>
          <w:szCs w:val="24"/>
          <w:shd w:fill="auto" w:val="clear"/>
        </w:rPr>
        <w:t xml:space="preserve"> «02» января 2027 г.;</w:t>
      </w:r>
    </w:p>
    <w:p>
      <w:pPr>
        <w:pStyle w:val="Normal"/>
        <w:numPr>
          <w:ilvl w:val="2"/>
          <w:numId w:val="2"/>
        </w:numPr>
        <w:shd w:val="clear" w:fill="FFFFFF"/>
        <w:tabs>
          <w:tab w:val="clear" w:pos="367"/>
          <w:tab w:val="left" w:pos="0" w:leader="none"/>
          <w:tab w:val="left" w:pos="1134" w:leader="none"/>
          <w:tab w:val="left" w:pos="1418" w:leader="none"/>
        </w:tabs>
        <w:ind w:left="0" w:right="0" w:firstLine="709"/>
        <w:jc w:val="both"/>
        <w:rPr>
          <w:rFonts w:ascii="Times New Roman" w:hAnsi="Times New Roman"/>
          <w:sz w:val="24"/>
          <w:szCs w:val="24"/>
        </w:rPr>
      </w:pPr>
      <w:r>
        <w:rPr>
          <w:bCs/>
          <w:sz w:val="24"/>
          <w:szCs w:val="24"/>
          <w:shd w:fill="auto" w:val="clear"/>
        </w:rPr>
        <w:t>Окончание – «31» декабря 2027 г.</w:t>
      </w:r>
    </w:p>
    <w:p>
      <w:pPr>
        <w:pStyle w:val="Normal"/>
        <w:numPr>
          <w:ilvl w:val="0"/>
          <w:numId w:val="2"/>
        </w:numPr>
        <w:shd w:val="clear" w:fill="FFFFFF"/>
        <w:tabs>
          <w:tab w:val="clear" w:pos="367"/>
          <w:tab w:val="left" w:pos="284" w:leader="none"/>
        </w:tabs>
        <w:ind w:left="0" w:right="0" w:hanging="0"/>
        <w:jc w:val="center"/>
        <w:rPr>
          <w:rFonts w:ascii="Times New Roman" w:hAnsi="Times New Roman"/>
          <w:b/>
          <w:bCs/>
          <w:sz w:val="24"/>
          <w:szCs w:val="24"/>
        </w:rPr>
      </w:pPr>
      <w:r>
        <w:rPr>
          <w:b/>
          <w:bCs/>
          <w:sz w:val="24"/>
          <w:szCs w:val="24"/>
        </w:rPr>
        <w:t>Цена Договора и порядок расчетов</w:t>
      </w:r>
    </w:p>
    <w:p>
      <w:pPr>
        <w:pStyle w:val="Normal"/>
        <w:numPr>
          <w:ilvl w:val="1"/>
          <w:numId w:val="2"/>
        </w:numPr>
        <w:shd w:val="clear" w:fill="FFFFFF"/>
        <w:tabs>
          <w:tab w:val="clear" w:pos="367"/>
          <w:tab w:val="left" w:pos="0" w:leader="none"/>
          <w:tab w:val="left" w:pos="1134" w:leader="none"/>
        </w:tabs>
        <w:ind w:left="0" w:right="0" w:firstLine="709"/>
        <w:jc w:val="both"/>
        <w:rPr>
          <w:rFonts w:ascii="Times New Roman" w:hAnsi="Times New Roman"/>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5 000 000,00</w:t>
      </w:r>
      <w:r>
        <w:rPr>
          <w:bCs/>
          <w:sz w:val="24"/>
          <w:szCs w:val="24"/>
          <w:shd w:fill="auto" w:val="clear"/>
        </w:rPr>
        <w:t xml:space="preserve"> руб. (</w:t>
      </w:r>
      <w:r>
        <w:rPr>
          <w:b/>
          <w:bCs/>
          <w:sz w:val="24"/>
          <w:szCs w:val="24"/>
          <w:shd w:fill="auto" w:val="clear"/>
        </w:rPr>
        <w:t>пять миллионов)</w:t>
      </w:r>
      <w:r>
        <w:rPr>
          <w:bCs/>
          <w:sz w:val="24"/>
          <w:szCs w:val="24"/>
          <w:shd w:fill="auto" w:val="clear"/>
        </w:rPr>
        <w:t xml:space="preserve"> рублей 00 копеек без</w:t>
      </w:r>
      <w:r>
        <w:rPr>
          <w:bCs/>
          <w:sz w:val="24"/>
          <w:szCs w:val="24"/>
        </w:rPr>
        <w:t xml:space="preserve"> учета НДС, при этом НДС исчисляется дополнительно по ставке, установленной ст. 164 Налогового Кодекса РФ. </w:t>
      </w:r>
    </w:p>
    <w:p>
      <w:pPr>
        <w:pStyle w:val="Normal"/>
        <w:widowControl w:val="false"/>
        <w:numPr>
          <w:ilvl w:val="1"/>
          <w:numId w:val="2"/>
        </w:numPr>
        <w:shd w:val="clear" w:fill="FFFFFF"/>
        <w:tabs>
          <w:tab w:val="clear" w:pos="367"/>
          <w:tab w:val="left" w:pos="0" w:leader="none"/>
          <w:tab w:val="left" w:pos="1134" w:leader="none"/>
        </w:tabs>
        <w:bidi w:val="0"/>
        <w:ind w:left="0" w:right="0" w:firstLine="680"/>
        <w:jc w:val="both"/>
        <w:rPr>
          <w:rFonts w:ascii="Times New Roman" w:hAnsi="Times New Roman"/>
          <w:sz w:val="24"/>
          <w:szCs w:val="24"/>
        </w:rPr>
      </w:pPr>
      <w:r>
        <w:rPr>
          <w:bCs/>
          <w:sz w:val="24"/>
          <w:szCs w:val="24"/>
        </w:rPr>
        <w:t xml:space="preserve">Цена за единицу Товара определяется в соответствии с Коммерческим предложением (Приложение № 1 к Договору) и является фиксированной в течение первого квартала 2026 г. В дальнейшем изменения цен, указанных в Коммерческом предложении (Приложение к договору №1 к Договору) в сторону уменьшения или увеличения возможны в случае изменения рыночных цен на Товар. Цена, количество, стоимость полученного Товара указывается в универсальных передаточных документах или товарных накладных, являющихся неотъемлемой частью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r>
        <w:rPr>
          <w:bCs/>
          <w:sz w:val="24"/>
          <w:szCs w:val="24"/>
        </w:rPr>
        <w:t xml:space="preserve"> Стороны вправе произвести замену номенклатуры закупаемой продукции в рамках общей суммы договора</w:t>
      </w:r>
      <w:r>
        <w:rPr>
          <w:sz w:val="24"/>
          <w:szCs w:val="24"/>
        </w:rPr>
        <w:t>.</w:t>
      </w:r>
    </w:p>
    <w:p>
      <w:pPr>
        <w:pStyle w:val="Normal"/>
        <w:numPr>
          <w:ilvl w:val="1"/>
          <w:numId w:val="2"/>
        </w:numPr>
        <w:shd w:val="clear" w:fill="FFFFFF"/>
        <w:tabs>
          <w:tab w:val="clear" w:pos="367"/>
          <w:tab w:val="left" w:pos="1134" w:leader="none"/>
        </w:tabs>
        <w:ind w:left="0" w:right="0" w:firstLine="709"/>
        <w:jc w:val="both"/>
        <w:rPr>
          <w:rFonts w:ascii="Times New Roman" w:hAnsi="Times New Roman"/>
          <w:bCs/>
          <w:sz w:val="24"/>
          <w:szCs w:val="24"/>
        </w:rPr>
      </w:pPr>
      <w:r>
        <w:rPr>
          <w:bCs/>
          <w:sz w:val="24"/>
          <w:szCs w:val="24"/>
        </w:rPr>
        <w:t xml:space="preserve">Цена Договора включает в себя прибыль Продавца, а также все расходы и затраты Продавца на: </w:t>
      </w:r>
    </w:p>
    <w:p>
      <w:pPr>
        <w:pStyle w:val="Normal"/>
        <w:numPr>
          <w:ilvl w:val="2"/>
          <w:numId w:val="2"/>
        </w:numPr>
        <w:shd w:val="clear" w:fill="FFFFFF"/>
        <w:tabs>
          <w:tab w:val="clear" w:pos="367"/>
          <w:tab w:val="left" w:pos="1418" w:leader="none"/>
        </w:tabs>
        <w:ind w:left="0" w:right="0" w:firstLine="709"/>
        <w:jc w:val="both"/>
        <w:rPr>
          <w:rFonts w:ascii="Times New Roman" w:hAnsi="Times New Roman"/>
          <w:sz w:val="24"/>
          <w:szCs w:val="24"/>
        </w:rPr>
      </w:pPr>
      <w:r>
        <w:rPr>
          <w:bCs/>
          <w:sz w:val="24"/>
          <w:szCs w:val="24"/>
          <w:shd w:fill="auto" w:val="clear"/>
        </w:rPr>
        <w:t>Производство и / или п</w:t>
      </w:r>
      <w:r>
        <w:rPr>
          <w:bCs/>
          <w:sz w:val="24"/>
          <w:szCs w:val="24"/>
        </w:rPr>
        <w:t>риобретение Товара;</w:t>
      </w:r>
    </w:p>
    <w:p>
      <w:pPr>
        <w:pStyle w:val="ListParagraph"/>
        <w:numPr>
          <w:ilvl w:val="2"/>
          <w:numId w:val="9"/>
        </w:numPr>
        <w:shd w:val="clear" w:fill="FFFFFF"/>
        <w:tabs>
          <w:tab w:val="clear" w:pos="367"/>
          <w:tab w:val="left" w:pos="1418" w:leader="none"/>
        </w:tabs>
        <w:ind w:left="0" w:right="0" w:firstLine="709"/>
        <w:jc w:val="both"/>
        <w:rPr>
          <w:rFonts w:ascii="Times New Roman" w:hAnsi="Times New Roman"/>
          <w:sz w:val="24"/>
          <w:szCs w:val="24"/>
        </w:rPr>
      </w:pPr>
      <w:r>
        <w:rPr>
          <w:bCs/>
          <w:sz w:val="24"/>
          <w:szCs w:val="24"/>
          <w:shd w:fill="auto" w:val="clear"/>
        </w:rPr>
        <w:t>Транспортировку Товара до места поставки, погрузку, разгрузку, перемещение по территории Покупателя,</w:t>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fill="FFFFFF"/>
        <w:tabs>
          <w:tab w:val="clear" w:pos="367"/>
          <w:tab w:val="left" w:pos="1418" w:leader="none"/>
        </w:tabs>
        <w:ind w:left="0" w:right="0" w:firstLine="709"/>
        <w:jc w:val="both"/>
        <w:rPr>
          <w:rFonts w:ascii="Times New Roman" w:hAnsi="Times New Roman"/>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 xml:space="preserve">Заработную плату, накладные и командировочные расходы, перемещение персонала Продавца; </w:t>
      </w:r>
    </w:p>
    <w:p>
      <w:pPr>
        <w:pStyle w:val="Norma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 xml:space="preserve">Все прочие затраты и расходы Продавца, связанные с поставкой Товара и исполнением иных обязательств по Договору, а также все непредвиденные расходы, которые могут возникнуть у Продавца в течение срока действия Договора. </w:t>
      </w:r>
    </w:p>
    <w:p>
      <w:pPr>
        <w:pStyle w:val="Normal"/>
        <w:numPr>
          <w:ilvl w:val="1"/>
          <w:numId w:val="2"/>
        </w:numPr>
        <w:shd w:val="clear" w:fill="FFFFFF"/>
        <w:tabs>
          <w:tab w:val="clear" w:pos="367"/>
          <w:tab w:val="left" w:pos="568" w:leader="none"/>
          <w:tab w:val="left" w:pos="1134" w:leader="none"/>
        </w:tabs>
        <w:ind w:left="0" w:right="0" w:firstLine="709"/>
        <w:jc w:val="both"/>
        <w:rPr>
          <w:rFonts w:ascii="Times New Roman" w:hAnsi="Times New Roman"/>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1"/>
          <w:numId w:val="2"/>
        </w:numPr>
        <w:shd w:val="clear" w:fill="FFFFFF"/>
        <w:tabs>
          <w:tab w:val="clear" w:pos="367"/>
          <w:tab w:val="left" w:pos="568" w:leader="none"/>
          <w:tab w:val="left" w:pos="1134" w:leader="none"/>
        </w:tabs>
        <w:bidi w:val="0"/>
        <w:ind w:left="0" w:right="0" w:firstLine="737"/>
        <w:jc w:val="both"/>
        <w:rPr>
          <w:rFonts w:ascii="Times New Roman" w:hAnsi="Times New Roman"/>
          <w:sz w:val="24"/>
          <w:szCs w:val="24"/>
        </w:rPr>
      </w:pPr>
      <w:r>
        <w:rPr>
          <w:sz w:val="24"/>
          <w:szCs w:val="24"/>
        </w:rPr>
        <w:t xml:space="preserve">Оплата по Договору осуществляется Покупателем в течение </w:t>
      </w:r>
      <w:r>
        <w:rPr>
          <w:sz w:val="24"/>
          <w:szCs w:val="24"/>
          <w:shd w:fill="FFFFFF" w:val="clear"/>
        </w:rPr>
        <w:t xml:space="preserve">7 (семи) рабочих дней </w:t>
      </w:r>
      <w:r>
        <w:rPr>
          <w:sz w:val="24"/>
          <w:szCs w:val="24"/>
          <w:shd w:fill="auto" w:val="clear"/>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fill="FFFFFF"/>
        <w:tabs>
          <w:tab w:val="clear" w:pos="367"/>
          <w:tab w:val="left" w:pos="0" w:leader="none"/>
          <w:tab w:val="left" w:pos="1134" w:leader="none"/>
          <w:tab w:val="left" w:pos="1276" w:leader="none"/>
        </w:tabs>
        <w:bidi w:val="0"/>
        <w:spacing w:before="0" w:after="0"/>
        <w:ind w:left="0" w:right="0" w:firstLine="737"/>
        <w:contextualSpacing/>
        <w:jc w:val="both"/>
        <w:rPr>
          <w:rFonts w:ascii="Times New Roman" w:hAnsi="Times New Roman"/>
          <w:sz w:val="24"/>
          <w:szCs w:val="24"/>
        </w:rPr>
      </w:pPr>
      <w:r>
        <w:rPr>
          <w:sz w:val="24"/>
          <w:szCs w:val="24"/>
          <w:shd w:fill="auto" w:val="clear"/>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w:t>
      </w:r>
      <w:bookmarkStart w:id="0" w:name="_GoBack"/>
      <w:bookmarkEnd w:id="0"/>
      <w:r>
        <w:rPr>
          <w:sz w:val="24"/>
          <w:szCs w:val="24"/>
          <w:shd w:fill="auto" w:val="clear"/>
        </w:rPr>
        <w:t>ь) календарных дней до предусмотренной Договором даты платежа, оплата</w:t>
      </w:r>
      <w:r>
        <w:rPr>
          <w:sz w:val="24"/>
          <w:szCs w:val="24"/>
        </w:rPr>
        <w:t xml:space="preserve">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fill="FFFFFF"/>
        <w:tabs>
          <w:tab w:val="clear" w:pos="367"/>
          <w:tab w:val="left" w:pos="0" w:leader="none"/>
          <w:tab w:val="left" w:pos="1134" w:leader="none"/>
        </w:tabs>
        <w:ind w:left="0" w:right="0" w:firstLine="709"/>
        <w:jc w:val="both"/>
        <w:rPr>
          <w:rFonts w:ascii="Times New Roman" w:hAnsi="Times New Roman"/>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Продавца,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fill="FFFFFF"/>
        <w:tabs>
          <w:tab w:val="clear" w:pos="367"/>
          <w:tab w:val="left" w:pos="0" w:leader="none"/>
          <w:tab w:val="left" w:pos="567" w:leader="none"/>
          <w:tab w:val="left" w:pos="716" w:leader="none"/>
          <w:tab w:val="left" w:pos="1134" w:leader="none"/>
        </w:tabs>
        <w:ind w:left="0" w:right="0" w:firstLine="709"/>
        <w:jc w:val="both"/>
        <w:rPr>
          <w:rFonts w:ascii="Times New Roman" w:hAnsi="Times New Roman"/>
          <w:sz w:val="24"/>
          <w:szCs w:val="24"/>
        </w:rPr>
      </w:pPr>
      <w:r>
        <w:rPr>
          <w:sz w:val="24"/>
          <w:szCs w:val="24"/>
        </w:rPr>
        <w:t>Индексация Цены Договора не допускается.</w:t>
      </w:r>
    </w:p>
    <w:p>
      <w:pPr>
        <w:pStyle w:val="Normal"/>
        <w:numPr>
          <w:ilvl w:val="1"/>
          <w:numId w:val="2"/>
        </w:numPr>
        <w:shd w:val="clear" w:fill="FFFFFF"/>
        <w:tabs>
          <w:tab w:val="clear" w:pos="367"/>
          <w:tab w:val="left" w:pos="0" w:leader="none"/>
          <w:tab w:val="left" w:pos="567" w:leader="none"/>
          <w:tab w:val="left" w:pos="716" w:leader="none"/>
          <w:tab w:val="left" w:pos="1134" w:leader="none"/>
        </w:tabs>
        <w:ind w:left="0" w:right="0" w:firstLine="709"/>
        <w:jc w:val="both"/>
        <w:rPr>
          <w:rFonts w:ascii="Times New Roman" w:hAnsi="Times New Roman"/>
          <w:sz w:val="24"/>
          <w:szCs w:val="24"/>
          <w:shd w:fill="auto" w:val="clear"/>
        </w:rPr>
      </w:pPr>
      <w:r>
        <w:rPr>
          <w:sz w:val="24"/>
          <w:szCs w:val="24"/>
          <w:shd w:fill="auto" w:val="clear"/>
        </w:rPr>
        <w:t>Продавец обязан представить Покупателю счета</w:t>
      </w:r>
      <w:r>
        <w:rPr>
          <w:bCs/>
          <w:sz w:val="24"/>
          <w:szCs w:val="24"/>
          <w:shd w:fill="auto" w:val="clear"/>
        </w:rPr>
        <w:t>-</w:t>
      </w:r>
      <w:r>
        <w:rPr>
          <w:sz w:val="24"/>
          <w:szCs w:val="24"/>
          <w:shd w:fill="auto" w:val="clear"/>
        </w:rPr>
        <w:t>фактуры, выставленные в сроки и оформленные в порядке, установленном законодательством Российской Федерации. В случае нарушения Продавцом данного требования, он обязан произвести замену счета</w:t>
      </w:r>
      <w:r>
        <w:rPr>
          <w:bCs/>
          <w:sz w:val="24"/>
          <w:szCs w:val="24"/>
          <w:shd w:fill="auto" w:val="clear"/>
        </w:rPr>
        <w:t>-</w:t>
      </w:r>
      <w:r>
        <w:rPr>
          <w:sz w:val="24"/>
          <w:szCs w:val="24"/>
          <w:shd w:fill="auto" w:val="clear"/>
        </w:rPr>
        <w:t>фактуры в течение 3 (трех) рабочих дней с даты получения соответствующего письменного требования Покупателя.</w:t>
      </w:r>
    </w:p>
    <w:p>
      <w:pPr>
        <w:pStyle w:val="Normal"/>
        <w:widowControl w:val="false"/>
        <w:numPr>
          <w:ilvl w:val="1"/>
          <w:numId w:val="2"/>
        </w:numPr>
        <w:shd w:val="clear" w:fill="FFFFFF"/>
        <w:tabs>
          <w:tab w:val="clear" w:pos="367"/>
          <w:tab w:val="left" w:pos="1134" w:leader="none"/>
        </w:tabs>
        <w:bidi w:val="0"/>
        <w:ind w:left="0" w:right="0" w:firstLine="737"/>
        <w:jc w:val="both"/>
        <w:rPr>
          <w:rFonts w:ascii="Times New Roman" w:hAnsi="Times New Roman"/>
          <w:sz w:val="24"/>
          <w:szCs w:val="24"/>
          <w:shd w:fill="auto" w:val="clear"/>
        </w:rPr>
      </w:pPr>
      <w:r>
        <w:rPr>
          <w:sz w:val="24"/>
          <w:szCs w:val="24"/>
          <w:shd w:fill="auto" w:val="clear"/>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val="false"/>
        <w:numPr>
          <w:ilvl w:val="1"/>
          <w:numId w:val="2"/>
        </w:numPr>
        <w:shd w:val="clear" w:fill="FFFFFF"/>
        <w:tabs>
          <w:tab w:val="clear" w:pos="367"/>
          <w:tab w:val="left" w:pos="1134" w:leader="none"/>
        </w:tabs>
        <w:bidi w:val="0"/>
        <w:ind w:left="0" w:right="0" w:firstLine="680"/>
        <w:jc w:val="both"/>
        <w:rPr>
          <w:rFonts w:ascii="Times New Roman" w:hAnsi="Times New Roman"/>
          <w:sz w:val="24"/>
          <w:szCs w:val="24"/>
          <w:shd w:fill="auto" w:val="clear"/>
        </w:rPr>
      </w:pPr>
      <w:r>
        <w:rPr>
          <w:sz w:val="24"/>
          <w:szCs w:val="24"/>
          <w:shd w:fill="auto" w:val="clear"/>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widowControl w:val="false"/>
        <w:numPr>
          <w:ilvl w:val="0"/>
          <w:numId w:val="0"/>
        </w:numPr>
        <w:shd w:val="clear" w:fill="FFFFFF"/>
        <w:tabs>
          <w:tab w:val="clear" w:pos="367"/>
          <w:tab w:val="left" w:pos="1134" w:leader="none"/>
        </w:tabs>
        <w:bidi w:val="0"/>
        <w:ind w:left="0" w:right="0" w:hanging="0"/>
        <w:jc w:val="both"/>
        <w:rPr>
          <w:rFonts w:ascii="Times New Roman" w:hAnsi="Times New Roman"/>
          <w:sz w:val="24"/>
          <w:szCs w:val="24"/>
          <w:shd w:fill="auto" w:val="clear"/>
        </w:rPr>
      </w:pPr>
      <w:r>
        <w:rPr>
          <w:sz w:val="24"/>
          <w:szCs w:val="24"/>
          <w:shd w:fill="auto" w:val="clear"/>
        </w:rPr>
        <w:t>Покупатель направляет Поставщику уведомление о проведении сальдо взаимных обязательств Сторон по Договору.</w:t>
      </w:r>
    </w:p>
    <w:p>
      <w:pPr>
        <w:pStyle w:val="Normal"/>
        <w:numPr>
          <w:ilvl w:val="0"/>
          <w:numId w:val="2"/>
        </w:numPr>
        <w:shd w:val="clear" w:fill="FFFFFF"/>
        <w:tabs>
          <w:tab w:val="clear" w:pos="367"/>
          <w:tab w:val="left" w:pos="284" w:leader="none"/>
        </w:tabs>
        <w:ind w:left="0" w:right="0" w:hanging="0"/>
        <w:jc w:val="center"/>
        <w:rPr>
          <w:rFonts w:ascii="Times New Roman" w:hAnsi="Times New Roman"/>
          <w:b/>
          <w:bCs/>
          <w:sz w:val="24"/>
          <w:szCs w:val="24"/>
        </w:rPr>
      </w:pPr>
      <w:r>
        <w:rPr>
          <w:b/>
          <w:bCs/>
          <w:sz w:val="24"/>
          <w:szCs w:val="24"/>
        </w:rPr>
        <w:t>Порядок поставки и приемки Товара</w:t>
      </w:r>
    </w:p>
    <w:p>
      <w:pPr>
        <w:pStyle w:val="ListParagraph"/>
        <w:widowControl/>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fill="FFFFFF"/>
        <w:tabs>
          <w:tab w:val="clear" w:pos="367"/>
          <w:tab w:val="left" w:pos="1134" w:leader="none"/>
          <w:tab w:val="left" w:pos="1418" w:leader="none"/>
        </w:tabs>
        <w:bidi w:val="0"/>
        <w:spacing w:before="0" w:after="0"/>
        <w:ind w:left="0" w:right="0" w:firstLine="680"/>
        <w:contextualSpacing/>
        <w:jc w:val="both"/>
        <w:rPr>
          <w:rFonts w:ascii="Times New Roman" w:hAnsi="Times New Roman"/>
          <w:sz w:val="24"/>
          <w:szCs w:val="24"/>
        </w:rPr>
      </w:pPr>
      <w:r>
        <w:rPr>
          <w:sz w:val="24"/>
          <w:szCs w:val="24"/>
        </w:rPr>
        <w:t>Покупатель в срок не позднее 1 (одного) рабочего дня до предполагаемой даты поставки Товара (партии Товара) направляет Поставщику Заявку по телефону.</w:t>
      </w:r>
    </w:p>
    <w:p>
      <w:pPr>
        <w:pStyle w:val="ListParagraph"/>
        <w:widowControl/>
        <w:numPr>
          <w:ilvl w:val="2"/>
          <w:numId w:val="2"/>
        </w:numPr>
        <w:tabs>
          <w:tab w:val="clear" w:pos="367"/>
          <w:tab w:val="left" w:pos="993" w:leader="none"/>
          <w:tab w:val="left" w:pos="1418" w:leader="none"/>
        </w:tabs>
        <w:bidi w:val="0"/>
        <w:spacing w:before="0" w:after="0"/>
        <w:ind w:left="0" w:right="0" w:firstLine="680"/>
        <w:contextualSpacing/>
        <w:jc w:val="both"/>
        <w:rPr>
          <w:rFonts w:ascii="Times New Roman" w:hAnsi="Times New Roman"/>
          <w:sz w:val="24"/>
          <w:szCs w:val="24"/>
        </w:rPr>
      </w:pPr>
      <w:r>
        <w:rPr>
          <w:sz w:val="24"/>
          <w:szCs w:val="24"/>
          <w:shd w:fill="auto" w:val="clear"/>
        </w:rPr>
        <w:t>Продавец</w:t>
      </w:r>
      <w:r>
        <w:rPr>
          <w:sz w:val="24"/>
          <w:szCs w:val="24"/>
        </w:rPr>
        <w:t xml:space="preserve"> в течение 1 (одного) рабочего дня с даты получения Заявки подтверждает поставку Товара (партии Товара), указанного Покупателем в Заявке, по телефону.</w:t>
      </w:r>
    </w:p>
    <w:p>
      <w:pPr>
        <w:pStyle w:val="ListParagraph"/>
        <w:numPr>
          <w:ilvl w:val="2"/>
          <w:numId w:val="2"/>
        </w:numPr>
        <w:tabs>
          <w:tab w:val="clear" w:pos="367"/>
          <w:tab w:val="left" w:pos="993" w:leader="none"/>
          <w:tab w:val="left" w:pos="1418" w:leader="none"/>
        </w:tabs>
        <w:ind w:left="0" w:right="0" w:firstLine="709"/>
        <w:jc w:val="both"/>
        <w:rPr>
          <w:rFonts w:ascii="Times New Roman" w:hAnsi="Times New Roman"/>
          <w:sz w:val="24"/>
          <w:szCs w:val="24"/>
        </w:rPr>
      </w:pPr>
      <w:r>
        <w:rPr>
          <w:sz w:val="24"/>
          <w:szCs w:val="24"/>
        </w:rPr>
        <w:t xml:space="preserve">В случае невозможности поставить Товар (партию Товара) по Заявке Продавец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367"/>
          <w:tab w:val="left" w:pos="993" w:leader="none"/>
          <w:tab w:val="left" w:pos="1418" w:leader="none"/>
        </w:tabs>
        <w:ind w:left="0" w:right="0" w:firstLine="709"/>
        <w:jc w:val="both"/>
        <w:rPr>
          <w:rFonts w:ascii="Times New Roman" w:hAnsi="Times New Roman"/>
          <w:sz w:val="24"/>
          <w:szCs w:val="24"/>
        </w:rPr>
      </w:pPr>
      <w:r>
        <w:rPr>
          <w:sz w:val="24"/>
          <w:szCs w:val="24"/>
        </w:rPr>
        <w:t>В случае, указанном в пункте 3.1.3 Договора, Покупатель вправе по своему усмотрению:</w:t>
      </w:r>
    </w:p>
    <w:p>
      <w:pPr>
        <w:pStyle w:val="Normal"/>
        <w:tabs>
          <w:tab w:val="clear" w:pos="367"/>
          <w:tab w:val="left" w:pos="993" w:leader="none"/>
        </w:tabs>
        <w:ind w:left="0" w:right="0" w:firstLine="709"/>
        <w:jc w:val="both"/>
        <w:rPr>
          <w:rFonts w:ascii="Times New Roman" w:hAnsi="Times New Roman"/>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367"/>
          <w:tab w:val="left" w:pos="1134" w:leader="none"/>
        </w:tabs>
        <w:ind w:left="0" w:right="0" w:firstLine="709"/>
        <w:jc w:val="both"/>
        <w:rPr>
          <w:rFonts w:ascii="Times New Roman" w:hAnsi="Times New Roman"/>
          <w:sz w:val="24"/>
          <w:szCs w:val="24"/>
        </w:rPr>
      </w:pPr>
      <w:r>
        <w:rPr>
          <w:sz w:val="24"/>
          <w:szCs w:val="24"/>
        </w:rPr>
        <w:t>3.1.5.2. Расторгнуть Договор в порядке, установленном пунктом 11.2 Договора.</w:t>
      </w:r>
    </w:p>
    <w:p>
      <w:pPr>
        <w:pStyle w:val="ListParagraph"/>
        <w:widowControl/>
        <w:numPr>
          <w:ilvl w:val="2"/>
          <w:numId w:val="2"/>
        </w:numPr>
        <w:tabs>
          <w:tab w:val="clear" w:pos="367"/>
          <w:tab w:val="left" w:pos="993" w:leader="none"/>
          <w:tab w:val="left" w:pos="1418" w:leader="none"/>
        </w:tabs>
        <w:ind w:left="0" w:right="0" w:firstLine="709"/>
        <w:jc w:val="both"/>
        <w:rPr>
          <w:rFonts w:ascii="Times New Roman" w:hAnsi="Times New Roman"/>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sz w:val="24"/>
          <w:szCs w:val="24"/>
        </w:rPr>
        <w:t xml:space="preserve"> контакты и должность таких представителей</w:t>
      </w:r>
      <w:r>
        <w:rPr>
          <w:sz w:val="24"/>
          <w:szCs w:val="24"/>
        </w:rPr>
        <w:t xml:space="preserve">. </w:t>
      </w:r>
    </w:p>
    <w:p>
      <w:pPr>
        <w:pStyle w:val="ListParagraph"/>
        <w:widowControl/>
        <w:numPr>
          <w:ilvl w:val="1"/>
          <w:numId w:val="2"/>
        </w:numPr>
        <w:shd w:val="clear" w:fill="FFFFFF"/>
        <w:tabs>
          <w:tab w:val="clear" w:pos="367"/>
          <w:tab w:val="left" w:pos="1134" w:leader="none"/>
        </w:tabs>
        <w:ind w:left="0" w:right="0" w:firstLine="709"/>
        <w:jc w:val="both"/>
        <w:rPr>
          <w:rFonts w:ascii="Times New Roman" w:hAnsi="Times New Roman"/>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pPr>
        <w:pStyle w:val="ListParagraph"/>
        <w:widowControl/>
        <w:numPr>
          <w:ilvl w:val="1"/>
          <w:numId w:val="2"/>
        </w:numPr>
        <w:shd w:val="clear" w:fill="FFFFFF"/>
        <w:tabs>
          <w:tab w:val="clear" w:pos="367"/>
          <w:tab w:val="left" w:pos="1134" w:leader="none"/>
        </w:tabs>
        <w:bidi w:val="0"/>
        <w:spacing w:before="0" w:after="0"/>
        <w:ind w:left="0" w:right="0" w:firstLine="680"/>
        <w:contextualSpacing/>
        <w:jc w:val="both"/>
        <w:rPr>
          <w:rFonts w:ascii="Times New Roman" w:hAnsi="Times New Roman"/>
          <w:bCs/>
          <w:sz w:val="24"/>
          <w:szCs w:val="24"/>
          <w:shd w:fill="auto" w:val="clear"/>
        </w:rPr>
      </w:pPr>
      <w:r>
        <w:rPr>
          <w:bCs/>
          <w:sz w:val="24"/>
          <w:szCs w:val="24"/>
          <w:shd w:fill="auto" w:val="clear"/>
        </w:rPr>
        <w:t>Поставляемый Товар должен быть новым, не бывшим в употреблении, пригодным для использования по своему назначению, произведен не ранее 2026 года, со сроком годности не менее 70 % от указанного производителем срока годности Товара на момент поставки.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fill="FFFFFF"/>
        <w:tabs>
          <w:tab w:val="clear" w:pos="367"/>
          <w:tab w:val="left" w:pos="1134" w:leader="none"/>
        </w:tabs>
        <w:ind w:left="0" w:right="0" w:firstLine="709"/>
        <w:jc w:val="both"/>
        <w:rPr>
          <w:rFonts w:ascii="Times New Roman" w:hAnsi="Times New Roman"/>
          <w:bCs/>
          <w:sz w:val="24"/>
          <w:szCs w:val="24"/>
        </w:rPr>
      </w:pPr>
      <w:r>
        <w:rPr>
          <w:bCs/>
          <w:sz w:val="24"/>
          <w:szCs w:val="24"/>
        </w:rPr>
        <w:t xml:space="preserve">Одновременно с передачей Товара Продавец обязан передать Покупателю оригиналы следующих относящихся к Товару документов: </w:t>
      </w:r>
    </w:p>
    <w:p>
      <w:pPr>
        <w:pStyle w:val="Normal"/>
        <w:numPr>
          <w:ilvl w:val="0"/>
          <w:numId w:val="4"/>
        </w:numPr>
        <w:tabs>
          <w:tab w:val="clear" w:pos="367"/>
          <w:tab w:val="left" w:pos="1418" w:leader="none"/>
        </w:tabs>
        <w:ind w:left="0" w:right="0" w:firstLine="709"/>
        <w:jc w:val="both"/>
        <w:rPr>
          <w:rFonts w:ascii="Times New Roman" w:hAnsi="Times New Roman"/>
          <w:sz w:val="24"/>
          <w:szCs w:val="24"/>
          <w:shd w:fill="auto" w:val="clear"/>
        </w:rPr>
      </w:pPr>
      <w:r>
        <w:rPr>
          <w:sz w:val="24"/>
          <w:szCs w:val="24"/>
          <w:shd w:fill="auto" w:val="clear"/>
        </w:rPr>
        <w:t>сертификат качества в 1 (одном) экз.;</w:t>
      </w:r>
    </w:p>
    <w:p>
      <w:pPr>
        <w:pStyle w:val="Normal"/>
        <w:numPr>
          <w:ilvl w:val="0"/>
          <w:numId w:val="3"/>
        </w:numPr>
        <w:tabs>
          <w:tab w:val="clear" w:pos="367"/>
          <w:tab w:val="left" w:pos="1418" w:leader="none"/>
        </w:tabs>
        <w:ind w:left="0" w:right="0" w:firstLine="709"/>
        <w:jc w:val="both"/>
        <w:rPr>
          <w:rFonts w:ascii="Times New Roman" w:hAnsi="Times New Roman"/>
          <w:sz w:val="24"/>
          <w:szCs w:val="24"/>
          <w:shd w:fill="auto" w:val="clear"/>
        </w:rPr>
      </w:pPr>
      <w:r>
        <w:rPr>
          <w:sz w:val="24"/>
          <w:szCs w:val="24"/>
          <w:shd w:fill="auto" w:val="clear"/>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Pr>
          <w:color w:val="000000"/>
          <w:sz w:val="24"/>
          <w:szCs w:val="24"/>
          <w:shd w:fill="auto" w:val="clear"/>
        </w:rPr>
        <w:t>сертификат о происхождении товара</w:t>
      </w:r>
      <w:r>
        <w:rPr>
          <w:sz w:val="24"/>
          <w:szCs w:val="24"/>
          <w:shd w:fill="auto" w:val="clear"/>
        </w:rPr>
        <w:t xml:space="preserve"> и т.п.) в зависимости от номенклатуры поставляемого Товара;</w:t>
      </w:r>
    </w:p>
    <w:p>
      <w:pPr>
        <w:pStyle w:val="Normal"/>
        <w:numPr>
          <w:ilvl w:val="0"/>
          <w:numId w:val="3"/>
        </w:numPr>
        <w:shd w:val="clear" w:fill="FFFFFF"/>
        <w:tabs>
          <w:tab w:val="clear" w:pos="367"/>
          <w:tab w:val="left" w:pos="1418" w:leader="none"/>
        </w:tabs>
        <w:ind w:left="0" w:right="0" w:firstLine="709"/>
        <w:jc w:val="both"/>
        <w:rPr>
          <w:rFonts w:ascii="Times New Roman" w:hAnsi="Times New Roman"/>
          <w:sz w:val="24"/>
          <w:szCs w:val="24"/>
          <w:shd w:fill="auto" w:val="clear"/>
        </w:rPr>
      </w:pPr>
      <w:r>
        <w:rPr>
          <w:sz w:val="24"/>
          <w:szCs w:val="24"/>
          <w:shd w:fill="auto" w:val="clear"/>
        </w:rPr>
        <w:t>накладная ТОРГ-12/УПД в 2 (двух) экз.;</w:t>
      </w:r>
    </w:p>
    <w:p>
      <w:pPr>
        <w:pStyle w:val="Normal"/>
        <w:numPr>
          <w:ilvl w:val="0"/>
          <w:numId w:val="3"/>
        </w:numPr>
        <w:shd w:val="clear" w:fill="FFFFFF"/>
        <w:tabs>
          <w:tab w:val="clear" w:pos="367"/>
          <w:tab w:val="left" w:pos="1418" w:leader="none"/>
        </w:tabs>
        <w:ind w:left="0" w:right="0" w:firstLine="709"/>
        <w:jc w:val="both"/>
        <w:rPr>
          <w:sz w:val="24"/>
          <w:szCs w:val="24"/>
        </w:rPr>
      </w:pPr>
      <w:r>
        <w:rPr>
          <w:sz w:val="24"/>
          <w:szCs w:val="24"/>
          <w:shd w:fill="auto" w:val="clear"/>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w:t>
      </w:r>
    </w:p>
    <w:p>
      <w:pPr>
        <w:pStyle w:val="ListParagraph"/>
        <w:widowControl/>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bookmarkStart w:id="1" w:name="_Ref361408474"/>
      <w:r>
        <w:rPr>
          <w:bCs/>
          <w:sz w:val="24"/>
          <w:szCs w:val="24"/>
        </w:rPr>
        <w:t>Товар должен отгружаться Продавцом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Продавец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fill="FFFFFF"/>
        <w:tabs>
          <w:tab w:val="clear" w:pos="367"/>
          <w:tab w:val="left" w:pos="1418" w:leader="none"/>
        </w:tabs>
        <w:ind w:left="0" w:right="0" w:firstLine="709"/>
        <w:jc w:val="both"/>
        <w:rPr>
          <w:rFonts w:ascii="Times New Roman" w:hAnsi="Times New Roman"/>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Коммерческом предложении (Приложение № 1 к Договору) и в Заявке. </w:t>
      </w:r>
    </w:p>
    <w:p>
      <w:pPr>
        <w:pStyle w:val="ListParagraph"/>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sz w:val="24"/>
          <w:szCs w:val="24"/>
        </w:rPr>
        <w:t xml:space="preserve">Погрузка, доставка, разгрузка </w:t>
      </w:r>
      <w:r>
        <w:rPr>
          <w:sz w:val="24"/>
          <w:szCs w:val="24"/>
          <w:shd w:fill="auto" w:val="clear"/>
        </w:rPr>
        <w:t xml:space="preserve">и перемещение Товара (в том числе </w:t>
        <w:br/>
        <w:t xml:space="preserve">по территории Покупателя) </w:t>
      </w:r>
      <w:r>
        <w:rPr>
          <w:bCs/>
          <w:sz w:val="24"/>
          <w:szCs w:val="24"/>
          <w:shd w:fill="auto" w:val="clear"/>
        </w:rPr>
        <w:t>осуществляется</w:t>
      </w:r>
      <w:r>
        <w:rPr>
          <w:sz w:val="24"/>
          <w:szCs w:val="24"/>
          <w:shd w:fill="auto" w:val="clear"/>
        </w:rPr>
        <w:t xml:space="preserve"> Продавцом. Стоимость погрузки, доставки, разгрузки и перемещения Товара вкл</w:t>
      </w:r>
      <w:r>
        <w:rPr>
          <w:sz w:val="24"/>
          <w:szCs w:val="24"/>
        </w:rPr>
        <w:t>ючена в Цену Договора.</w:t>
      </w:r>
    </w:p>
    <w:p>
      <w:pPr>
        <w:pStyle w:val="ListParagraph"/>
        <w:widowControl/>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sz w:val="24"/>
          <w:szCs w:val="24"/>
        </w:rPr>
        <w:t xml:space="preserve">Досрочная поставка Товара допускается только при условии получения Продавцом письменного согласия Покупателя. </w:t>
      </w:r>
    </w:p>
    <w:p>
      <w:pPr>
        <w:pStyle w:val="ListParagraph"/>
        <w:widowControl/>
        <w:numPr>
          <w:ilvl w:val="1"/>
          <w:numId w:val="2"/>
        </w:numPr>
        <w:shd w:val="clear" w:fill="FFFFFF"/>
        <w:tabs>
          <w:tab w:val="clear" w:pos="367"/>
          <w:tab w:val="left" w:pos="1418" w:leader="none"/>
        </w:tabs>
        <w:ind w:left="0" w:right="0" w:firstLine="709"/>
        <w:jc w:val="both"/>
        <w:rPr>
          <w:rFonts w:ascii="Times New Roman" w:hAnsi="Times New Roman"/>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fill="FFFFFF"/>
        <w:tabs>
          <w:tab w:val="clear" w:pos="367"/>
          <w:tab w:val="left" w:pos="1418" w:leader="none"/>
        </w:tabs>
        <w:ind w:left="0" w:right="0" w:firstLine="709"/>
        <w:jc w:val="both"/>
        <w:rPr>
          <w:rFonts w:ascii="Times New Roman" w:hAnsi="Times New Roman"/>
          <w:sz w:val="24"/>
          <w:szCs w:val="24"/>
        </w:rPr>
      </w:pPr>
      <w:r>
        <w:rPr>
          <w:sz w:val="24"/>
          <w:szCs w:val="24"/>
        </w:rPr>
        <w:t xml:space="preserve">Приемка Товара осуществляется Покупателем в дату поставки Товара. </w:t>
      </w:r>
    </w:p>
    <w:p>
      <w:pPr>
        <w:pStyle w:val="ListParagraph"/>
        <w:numPr>
          <w:ilvl w:val="1"/>
          <w:numId w:val="2"/>
        </w:numPr>
        <w:tabs>
          <w:tab w:val="clear" w:pos="367"/>
          <w:tab w:val="left" w:pos="1418" w:leader="none"/>
        </w:tabs>
        <w:ind w:left="0" w:right="0" w:firstLine="709"/>
        <w:jc w:val="both"/>
        <w:rPr>
          <w:rFonts w:ascii="Times New Roman" w:hAnsi="Times New Roman"/>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367"/>
          <w:tab w:val="left" w:pos="1418" w:leader="none"/>
        </w:tabs>
        <w:ind w:left="0" w:right="0" w:firstLine="709"/>
        <w:jc w:val="both"/>
        <w:rPr>
          <w:rFonts w:ascii="Times New Roman" w:hAnsi="Times New Roman"/>
          <w:sz w:val="24"/>
          <w:szCs w:val="24"/>
        </w:rPr>
      </w:pPr>
      <w:r>
        <w:rPr>
          <w:sz w:val="24"/>
          <w:szCs w:val="24"/>
        </w:rPr>
        <w:t>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w:t>
      </w:r>
    </w:p>
    <w:p>
      <w:pPr>
        <w:pStyle w:val="Normal"/>
        <w:shd w:val="clear" w:fill="FFFFFF"/>
        <w:tabs>
          <w:tab w:val="clear" w:pos="367"/>
          <w:tab w:val="left" w:pos="1134" w:leader="none"/>
          <w:tab w:val="left" w:pos="1418" w:leader="none"/>
          <w:tab w:val="left" w:pos="1851" w:leader="none"/>
        </w:tabs>
        <w:ind w:left="0" w:right="0" w:firstLine="709"/>
        <w:jc w:val="both"/>
        <w:rPr>
          <w:rFonts w:ascii="Times New Roman" w:hAnsi="Times New Roman"/>
          <w:sz w:val="24"/>
          <w:szCs w:val="24"/>
        </w:rPr>
      </w:pPr>
      <w:r>
        <w:rPr>
          <w:sz w:val="24"/>
          <w:szCs w:val="24"/>
        </w:rPr>
        <w:t>Продавец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fill="FFFFFF"/>
        <w:tabs>
          <w:tab w:val="clear" w:pos="367"/>
          <w:tab w:val="left" w:pos="1134" w:leader="none"/>
          <w:tab w:val="left" w:pos="1418" w:leader="none"/>
          <w:tab w:val="left" w:pos="1851" w:leader="none"/>
        </w:tabs>
        <w:ind w:left="0" w:right="0" w:firstLine="709"/>
        <w:jc w:val="both"/>
        <w:rPr>
          <w:rFonts w:ascii="Times New Roman" w:hAnsi="Times New Roman"/>
          <w:sz w:val="24"/>
          <w:szCs w:val="24"/>
        </w:rPr>
      </w:pPr>
      <w:bookmarkStart w:id="3" w:name="_Ref361408232"/>
      <w:r>
        <w:rPr>
          <w:sz w:val="24"/>
          <w:szCs w:val="24"/>
        </w:rPr>
        <w:t>Покупатель вправе не производить любые платежи, предусмотренные Договором, до исполнения Продавцом своих обязательств по Договору, при этом Покупатель не считается просрочившим, а Продавец лишается права ссылаться на отсутствие платежа при просрочке поставки Товара по Заявке.</w:t>
      </w:r>
      <w:bookmarkEnd w:id="3"/>
    </w:p>
    <w:p>
      <w:pPr>
        <w:pStyle w:val="ListParagraph"/>
        <w:numPr>
          <w:ilvl w:val="1"/>
          <w:numId w:val="2"/>
        </w:numPr>
        <w:shd w:val="clear" w:fill="FFFFFF"/>
        <w:tabs>
          <w:tab w:val="clear" w:pos="367"/>
          <w:tab w:val="left" w:pos="1418" w:leader="none"/>
          <w:tab w:val="left" w:pos="1851" w:leader="none"/>
        </w:tabs>
        <w:ind w:left="0" w:right="0" w:firstLine="709"/>
        <w:jc w:val="both"/>
        <w:rPr>
          <w:rFonts w:ascii="Times New Roman" w:hAnsi="Times New Roman"/>
          <w:sz w:val="24"/>
          <w:szCs w:val="24"/>
        </w:rPr>
      </w:pPr>
      <w:r>
        <w:rPr>
          <w:sz w:val="24"/>
          <w:szCs w:val="24"/>
        </w:rPr>
        <w:t>В случае неисполнения Продавцом обязательств по устранению выявленных недостатков, несоответствий и / или дефектов Товара в порядке, предусмотренном пунктом 3.12 Договора, Покупатель вправе отказаться от приемки Товара, направив соответствующее письменное уведомление Продавцу. Продавец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fill="FFFFFF"/>
        <w:tabs>
          <w:tab w:val="clear" w:pos="367"/>
          <w:tab w:val="left" w:pos="1283" w:leader="none"/>
          <w:tab w:val="left" w:pos="1851" w:leader="none"/>
        </w:tabs>
        <w:ind w:left="0" w:right="0" w:firstLine="709"/>
        <w:jc w:val="both"/>
        <w:rPr>
          <w:rFonts w:ascii="Times New Roman" w:hAnsi="Times New Roman"/>
          <w:sz w:val="24"/>
          <w:szCs w:val="24"/>
        </w:rPr>
      </w:pPr>
      <w:r>
        <w:rPr>
          <w:sz w:val="24"/>
          <w:szCs w:val="24"/>
        </w:rPr>
        <w:t>Если Продавец не вывезет Товар в указанный срок, Покупатель вправе самостоятельно возвратить Товар Продавцу. Расходы, понесенные Покупателем в связи                   с возвратом Товара, подлежат возмещению Продавцом.</w:t>
      </w:r>
    </w:p>
    <w:p>
      <w:pPr>
        <w:pStyle w:val="ListParagraph"/>
        <w:widowControl/>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sz w:val="24"/>
          <w:szCs w:val="24"/>
        </w:rPr>
        <w:t>Право собственности на Товар, а также риск его случайной гибели или случайного повреждения переходит от Продавца к Покупателю с момента подписания Сторонами Накладной ТОРГ-12/УПД.</w:t>
      </w:r>
    </w:p>
    <w:p>
      <w:pPr>
        <w:pStyle w:val="Normal"/>
        <w:numPr>
          <w:ilvl w:val="0"/>
          <w:numId w:val="2"/>
        </w:numPr>
        <w:shd w:val="clear" w:fill="FFFFFF"/>
        <w:ind w:left="0" w:right="0" w:hanging="0"/>
        <w:jc w:val="center"/>
        <w:rPr>
          <w:rFonts w:ascii="Times New Roman" w:hAnsi="Times New Roman"/>
          <w:b/>
          <w:bCs/>
          <w:sz w:val="24"/>
          <w:szCs w:val="24"/>
        </w:rPr>
      </w:pPr>
      <w:r>
        <w:rPr>
          <w:b/>
          <w:bCs/>
          <w:sz w:val="24"/>
          <w:szCs w:val="24"/>
        </w:rPr>
        <w:t>Ответственность Сторон</w:t>
      </w:r>
    </w:p>
    <w:p>
      <w:pPr>
        <w:pStyle w:val="ListParagraph"/>
        <w:numPr>
          <w:ilvl w:val="1"/>
          <w:numId w:val="2"/>
        </w:numPr>
        <w:tabs>
          <w:tab w:val="clear" w:pos="367"/>
          <w:tab w:val="left" w:pos="1276" w:leader="none"/>
        </w:tabs>
        <w:ind w:left="0" w:right="0" w:firstLine="709"/>
        <w:jc w:val="both"/>
        <w:rPr>
          <w:rFonts w:ascii="Times New Roman" w:hAnsi="Times New Roman"/>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367"/>
          <w:tab w:val="left" w:pos="1276" w:leader="none"/>
        </w:tabs>
        <w:ind w:left="0" w:right="0" w:firstLine="709"/>
        <w:jc w:val="both"/>
        <w:rPr>
          <w:rFonts w:ascii="Times New Roman" w:hAnsi="Times New Roman"/>
          <w:sz w:val="24"/>
          <w:szCs w:val="24"/>
        </w:rPr>
      </w:pPr>
      <w:r>
        <w:rPr>
          <w:sz w:val="24"/>
          <w:szCs w:val="24"/>
        </w:rPr>
        <w:t>В случае нарушения Покупателем сроков оплаты, установленных разделом 2 Договора, Продавец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widowControl/>
        <w:numPr>
          <w:ilvl w:val="1"/>
          <w:numId w:val="2"/>
        </w:numPr>
        <w:tabs>
          <w:tab w:val="clear" w:pos="367"/>
          <w:tab w:val="left" w:pos="1276" w:leader="none"/>
        </w:tabs>
        <w:ind w:left="0" w:right="0" w:firstLine="709"/>
        <w:jc w:val="both"/>
        <w:rPr>
          <w:rFonts w:ascii="Times New Roman" w:hAnsi="Times New Roman"/>
          <w:sz w:val="24"/>
          <w:szCs w:val="24"/>
        </w:rPr>
      </w:pPr>
      <w:r>
        <w:rPr>
          <w:bCs/>
          <w:sz w:val="24"/>
          <w:szCs w:val="24"/>
        </w:rPr>
        <w:t xml:space="preserve">В случае </w:t>
      </w:r>
      <w:r>
        <w:rPr>
          <w:sz w:val="24"/>
          <w:szCs w:val="24"/>
        </w:rPr>
        <w:t>нарушения Продавцом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Продавцом неустойки в размере 0,1 (ноль целых и одна десятая) процента от Цены Договора за каждый день просрочки.</w:t>
      </w:r>
    </w:p>
    <w:p>
      <w:pPr>
        <w:pStyle w:val="Normal"/>
        <w:ind w:left="-15" w:right="135" w:firstLine="724"/>
        <w:rPr>
          <w:rFonts w:ascii="Times New Roman" w:hAnsi="Times New Roman"/>
          <w:sz w:val="24"/>
          <w:szCs w:val="24"/>
        </w:rPr>
      </w:pPr>
      <w:r>
        <w:rPr>
          <w:sz w:val="24"/>
          <w:szCs w:val="24"/>
        </w:rPr>
        <w:t xml:space="preserve">В случае несвоевременного устранения Продавцом выявленных недостатков товара, Покупатель вправе потребовать уплаты Продавцом: </w:t>
      </w:r>
    </w:p>
    <w:p>
      <w:pPr>
        <w:pStyle w:val="Normal"/>
        <w:widowControl/>
        <w:numPr>
          <w:ilvl w:val="0"/>
          <w:numId w:val="12"/>
        </w:numPr>
        <w:tabs>
          <w:tab w:val="clear" w:pos="367"/>
          <w:tab w:val="left" w:pos="993" w:leader="none"/>
        </w:tabs>
        <w:spacing w:lineRule="auto" w:line="247" w:before="0" w:after="5"/>
        <w:ind w:left="0" w:right="135" w:firstLine="700"/>
        <w:jc w:val="both"/>
        <w:rPr>
          <w:rFonts w:ascii="Times New Roman" w:hAnsi="Times New Roman"/>
          <w:sz w:val="24"/>
          <w:szCs w:val="24"/>
        </w:rPr>
      </w:pPr>
      <w:r>
        <w:rPr>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12"/>
        </w:numPr>
        <w:tabs>
          <w:tab w:val="clear" w:pos="367"/>
          <w:tab w:val="left" w:pos="993" w:leader="none"/>
        </w:tabs>
        <w:spacing w:lineRule="auto" w:line="247" w:before="0" w:after="5"/>
        <w:ind w:left="0" w:right="135" w:firstLine="700"/>
        <w:jc w:val="both"/>
        <w:rPr>
          <w:rFonts w:ascii="Times New Roman" w:hAnsi="Times New Roman"/>
          <w:sz w:val="24"/>
          <w:szCs w:val="24"/>
        </w:rPr>
      </w:pPr>
      <w:r>
        <w:rPr>
          <w:sz w:val="24"/>
          <w:szCs w:val="24"/>
        </w:rPr>
        <w:t xml:space="preserve">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 </w:t>
      </w:r>
    </w:p>
    <w:p>
      <w:pPr>
        <w:pStyle w:val="ListParagraph"/>
        <w:widowControl/>
        <w:numPr>
          <w:ilvl w:val="1"/>
          <w:numId w:val="2"/>
        </w:numPr>
        <w:shd w:val="clear" w:fill="FFFFFF"/>
        <w:tabs>
          <w:tab w:val="clear" w:pos="367"/>
          <w:tab w:val="left" w:pos="1276" w:leader="none"/>
        </w:tabs>
        <w:ind w:left="0" w:right="0" w:firstLine="709"/>
        <w:jc w:val="both"/>
        <w:rPr>
          <w:rFonts w:ascii="Times New Roman" w:hAnsi="Times New Roman"/>
          <w:bCs/>
          <w:sz w:val="24"/>
          <w:szCs w:val="24"/>
          <w:shd w:fill="auto" w:val="clear"/>
        </w:rPr>
      </w:pPr>
      <w:r>
        <w:rPr>
          <w:bCs/>
          <w:sz w:val="24"/>
          <w:szCs w:val="24"/>
          <w:shd w:fill="auto" w:val="clear"/>
        </w:rPr>
        <w:t xml:space="preserve">Если в результате составления и выставления Продавцом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Продавец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Продавцом в течение 10 (десяти) рабочих дней с даты получения соответствующего письменного требования Покупателя.</w:t>
      </w:r>
    </w:p>
    <w:p>
      <w:pPr>
        <w:pStyle w:val="ListParagraph"/>
        <w:widowControl/>
        <w:shd w:val="clear" w:fill="FFFFFF"/>
        <w:tabs>
          <w:tab w:val="clear" w:pos="367"/>
          <w:tab w:val="left" w:pos="1276" w:leader="none"/>
        </w:tabs>
        <w:ind w:left="0" w:right="0" w:firstLine="709"/>
        <w:jc w:val="both"/>
        <w:rPr>
          <w:rFonts w:ascii="Times New Roman" w:hAnsi="Times New Roman"/>
          <w:sz w:val="24"/>
          <w:szCs w:val="24"/>
        </w:rPr>
      </w:pPr>
      <w:r>
        <w:rPr>
          <w:bCs/>
          <w:sz w:val="24"/>
          <w:szCs w:val="24"/>
        </w:rPr>
        <w:t>В случае нарушения Продавцом сроков предоставления счетов-фактур, установленных пунктом 2.9 Договора, Покупатель вправе требовать уплаты Продавцом штрафа в размере 50 000 (Пятидесяти тысяч) рублей за каждый случай нарушения.</w:t>
      </w:r>
    </w:p>
    <w:p>
      <w:pPr>
        <w:pStyle w:val="ListParagraph"/>
        <w:widowControl/>
        <w:numPr>
          <w:ilvl w:val="1"/>
          <w:numId w:val="2"/>
        </w:numPr>
        <w:shd w:val="clear" w:fill="FFFFFF"/>
        <w:tabs>
          <w:tab w:val="clear" w:pos="367"/>
          <w:tab w:val="left" w:pos="1276" w:leader="none"/>
        </w:tabs>
        <w:ind w:left="0" w:right="0" w:firstLine="709"/>
        <w:jc w:val="both"/>
        <w:rPr>
          <w:rFonts w:ascii="Times New Roman" w:hAnsi="Times New Roman"/>
          <w:bCs/>
          <w:sz w:val="24"/>
          <w:szCs w:val="24"/>
        </w:rPr>
      </w:pPr>
      <w:r>
        <w:rPr>
          <w:bCs/>
          <w:sz w:val="24"/>
          <w:szCs w:val="24"/>
        </w:rPr>
        <w:t xml:space="preserve">Продавец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Продавцом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fill="FFFFFF"/>
        <w:tabs>
          <w:tab w:val="clear" w:pos="367"/>
          <w:tab w:val="left" w:pos="1276" w:leader="none"/>
        </w:tabs>
        <w:ind w:left="0" w:right="0" w:firstLine="709"/>
        <w:jc w:val="both"/>
        <w:rPr>
          <w:rFonts w:ascii="Times New Roman" w:hAnsi="Times New Roman"/>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fill="FFFFFF"/>
        <w:tabs>
          <w:tab w:val="clear" w:pos="367"/>
          <w:tab w:val="left" w:pos="1276" w:leader="none"/>
        </w:tabs>
        <w:ind w:left="0" w:right="0" w:firstLine="709"/>
        <w:jc w:val="both"/>
        <w:rPr>
          <w:rFonts w:ascii="Times New Roman" w:hAnsi="Times New Roman"/>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fill="FFFFFF"/>
        <w:tabs>
          <w:tab w:val="clear" w:pos="367"/>
          <w:tab w:val="left" w:pos="1276" w:leader="none"/>
        </w:tabs>
        <w:ind w:left="0" w:right="0" w:firstLine="709"/>
        <w:jc w:val="both"/>
        <w:rPr>
          <w:rFonts w:ascii="Times New Roman" w:hAnsi="Times New Roman"/>
          <w:bCs/>
          <w:sz w:val="24"/>
          <w:szCs w:val="24"/>
        </w:rPr>
      </w:pPr>
      <w:r>
        <w:rPr>
          <w:bCs/>
          <w:sz w:val="24"/>
          <w:szCs w:val="24"/>
        </w:rPr>
        <w:t>Учитывая, что для Покупателя надлежащее и своевременное выполнение Продавцом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Продавцом соответствующих обязательств по Договору.</w:t>
      </w:r>
    </w:p>
    <w:p>
      <w:pPr>
        <w:pStyle w:val="ListParagraph"/>
        <w:widowControl/>
        <w:numPr>
          <w:ilvl w:val="1"/>
          <w:numId w:val="2"/>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sz w:val="24"/>
          <w:szCs w:val="24"/>
        </w:rPr>
        <w:t>Удержание пени и штрафов, подлежащих уплате Продавцом,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bCs/>
          <w:sz w:val="24"/>
          <w:szCs w:val="24"/>
        </w:rPr>
        <w:t>.</w:t>
      </w:r>
    </w:p>
    <w:p>
      <w:pPr>
        <w:pStyle w:val="ListParagraph"/>
        <w:widowControl/>
        <w:numPr>
          <w:ilvl w:val="0"/>
          <w:numId w:val="2"/>
        </w:numPr>
        <w:shd w:val="clear" w:fill="FFFFFF"/>
        <w:tabs>
          <w:tab w:val="clear" w:pos="367"/>
          <w:tab w:val="left" w:pos="0" w:leader="none"/>
        </w:tabs>
        <w:ind w:left="0" w:right="0" w:hanging="0"/>
        <w:jc w:val="center"/>
        <w:rPr>
          <w:rFonts w:ascii="Times New Roman" w:hAnsi="Times New Roman"/>
          <w:b/>
          <w:bCs/>
          <w:sz w:val="24"/>
          <w:szCs w:val="24"/>
        </w:rPr>
      </w:pPr>
      <w:r>
        <w:rPr>
          <w:b/>
          <w:bCs/>
          <w:sz w:val="24"/>
          <w:szCs w:val="24"/>
        </w:rPr>
        <w:t>Конфиденциальность</w:t>
      </w:r>
    </w:p>
    <w:p>
      <w:pPr>
        <w:pStyle w:val="ListParagraph"/>
        <w:widowControl/>
        <w:numPr>
          <w:ilvl w:val="1"/>
          <w:numId w:val="2"/>
        </w:numPr>
        <w:shd w:val="clear" w:fill="FFFFFF"/>
        <w:tabs>
          <w:tab w:val="clear" w:pos="367"/>
          <w:tab w:val="left" w:pos="0" w:leader="none"/>
          <w:tab w:val="left" w:pos="1134" w:leader="none"/>
        </w:tabs>
        <w:ind w:left="0" w:right="0" w:firstLine="709"/>
        <w:jc w:val="both"/>
        <w:rPr>
          <w:rFonts w:ascii="Times New Roman" w:hAnsi="Times New Roman"/>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Продавцу в устной либо документарной форме, в виде электронного файла, в любом другом виде, а также полученная Продавцом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367"/>
          <w:tab w:val="left" w:pos="0" w:leader="none"/>
          <w:tab w:val="left" w:pos="709" w:leader="none"/>
          <w:tab w:val="left" w:pos="1418" w:leader="none"/>
        </w:tabs>
        <w:ind w:left="0" w:right="0" w:firstLine="709"/>
        <w:jc w:val="both"/>
        <w:rPr>
          <w:rFonts w:ascii="Times New Roman" w:hAnsi="Times New Roman"/>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367"/>
          <w:tab w:val="left" w:pos="0" w:leader="none"/>
          <w:tab w:val="left" w:pos="709" w:leader="none"/>
          <w:tab w:val="left" w:pos="1418" w:leader="none"/>
        </w:tabs>
        <w:ind w:left="0" w:right="0" w:firstLine="709"/>
        <w:jc w:val="both"/>
        <w:rPr>
          <w:rFonts w:ascii="Times New Roman" w:hAnsi="Times New Roman"/>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fill="FFFFFF"/>
        <w:tabs>
          <w:tab w:val="clear" w:pos="367"/>
          <w:tab w:val="left" w:pos="0" w:leader="none"/>
          <w:tab w:val="left" w:pos="1134" w:leader="none"/>
        </w:tabs>
        <w:ind w:left="0" w:right="0" w:firstLine="709"/>
        <w:jc w:val="both"/>
        <w:rPr>
          <w:rFonts w:ascii="Times New Roman" w:hAnsi="Times New Roman"/>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fill="FFFFFF"/>
        <w:tabs>
          <w:tab w:val="clear" w:pos="367"/>
          <w:tab w:val="left" w:pos="0" w:leader="none"/>
          <w:tab w:val="left" w:pos="1134" w:leader="none"/>
        </w:tabs>
        <w:ind w:left="0" w:right="0" w:firstLine="709"/>
        <w:jc w:val="both"/>
        <w:rPr>
          <w:rFonts w:ascii="Times New Roman" w:hAnsi="Times New Roman"/>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fill="FFFFFF"/>
        <w:tabs>
          <w:tab w:val="clear" w:pos="367"/>
          <w:tab w:val="left" w:pos="0" w:leader="none"/>
          <w:tab w:val="left" w:pos="1134" w:leader="none"/>
        </w:tabs>
        <w:ind w:left="0" w:right="0" w:firstLine="709"/>
        <w:jc w:val="both"/>
        <w:rPr>
          <w:rFonts w:ascii="Times New Roman" w:hAnsi="Times New Roman"/>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fill="FFFFFF"/>
        <w:tabs>
          <w:tab w:val="clear" w:pos="367"/>
          <w:tab w:val="left" w:pos="0" w:leader="none"/>
          <w:tab w:val="left" w:pos="1134" w:leader="none"/>
        </w:tabs>
        <w:ind w:left="0" w:right="0" w:firstLine="709"/>
        <w:jc w:val="both"/>
        <w:rPr>
          <w:rFonts w:ascii="Times New Roman" w:hAnsi="Times New Roman"/>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учетные регистры бухгалтерского учета;</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бизнес-планы;</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 xml:space="preserve">сведения о Продавцах,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fill="FFFFFF"/>
        <w:tabs>
          <w:tab w:val="clear" w:pos="367"/>
          <w:tab w:val="left" w:pos="0" w:leader="none"/>
          <w:tab w:val="left" w:pos="1134" w:leader="none"/>
        </w:tabs>
        <w:ind w:left="0" w:right="0" w:firstLine="709"/>
        <w:jc w:val="both"/>
        <w:rPr>
          <w:rFonts w:ascii="Times New Roman" w:hAnsi="Times New Roman"/>
          <w:sz w:val="24"/>
          <w:szCs w:val="24"/>
        </w:rPr>
      </w:pPr>
      <w:bookmarkStart w:id="4" w:name="_Ref361337849"/>
      <w:r>
        <w:rPr>
          <w:bCs/>
          <w:sz w:val="24"/>
          <w:szCs w:val="24"/>
        </w:rPr>
        <w:t>Продавец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4"/>
      <w:r>
        <w:rPr>
          <w:bCs/>
          <w:sz w:val="24"/>
          <w:szCs w:val="24"/>
        </w:rPr>
        <w:t xml:space="preserve"> </w:t>
      </w:r>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Продавцом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Продавец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Продавца.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bookmarkStart w:id="5"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5"/>
    </w:p>
    <w:p>
      <w:pPr>
        <w:pStyle w:val="ListParagraph"/>
        <w:widowControl/>
        <w:numPr>
          <w:ilvl w:val="2"/>
          <w:numId w:val="2"/>
        </w:numPr>
        <w:shd w:val="clear" w:fill="FFFFFF"/>
        <w:tabs>
          <w:tab w:val="clear" w:pos="367"/>
          <w:tab w:val="left" w:pos="1418" w:leader="none"/>
        </w:tabs>
        <w:ind w:left="0" w:right="0" w:firstLine="709"/>
        <w:jc w:val="both"/>
        <w:rPr>
          <w:rFonts w:ascii="Times New Roman" w:hAnsi="Times New Roman"/>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fill="FFFFFF"/>
        <w:tabs>
          <w:tab w:val="clear" w:pos="367"/>
          <w:tab w:val="left" w:pos="1134" w:leader="none"/>
        </w:tabs>
        <w:ind w:left="0" w:right="0" w:firstLine="709"/>
        <w:jc w:val="both"/>
        <w:rPr>
          <w:rFonts w:ascii="Times New Roman" w:hAnsi="Times New Roman"/>
          <w:bCs/>
          <w:sz w:val="24"/>
          <w:szCs w:val="24"/>
        </w:rPr>
      </w:pPr>
      <w:bookmarkStart w:id="6" w:name="_Ref361337863"/>
      <w:r>
        <w:rPr>
          <w:bCs/>
          <w:sz w:val="24"/>
          <w:szCs w:val="24"/>
        </w:rPr>
        <w:t xml:space="preserve">Продавец,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6"/>
    </w:p>
    <w:p>
      <w:pPr>
        <w:pStyle w:val="Normal"/>
        <w:numPr>
          <w:ilvl w:val="1"/>
          <w:numId w:val="2"/>
        </w:numPr>
        <w:shd w:val="clear" w:fill="FFFFFF"/>
        <w:tabs>
          <w:tab w:val="clear" w:pos="367"/>
          <w:tab w:val="left" w:pos="1134" w:leader="none"/>
        </w:tabs>
        <w:ind w:left="0" w:right="0" w:firstLine="709"/>
        <w:jc w:val="both"/>
        <w:rPr>
          <w:rFonts w:ascii="Times New Roman" w:hAnsi="Times New Roman"/>
          <w:sz w:val="24"/>
          <w:szCs w:val="24"/>
        </w:rPr>
      </w:pPr>
      <w:r>
        <w:rPr>
          <w:bCs/>
          <w:sz w:val="24"/>
          <w:szCs w:val="24"/>
        </w:rPr>
        <w:t xml:space="preserve">Условия защиты Информации, представляемой Продавцом Покупателю, могут быть дополнительно урегулированы отдельно заключаемым Сторонами соглашением. </w:t>
      </w:r>
    </w:p>
    <w:p>
      <w:pPr>
        <w:pStyle w:val="ListParagraph"/>
        <w:widowControl/>
        <w:numPr>
          <w:ilvl w:val="0"/>
          <w:numId w:val="0"/>
        </w:numPr>
        <w:shd w:val="clear" w:fill="FFFFFF"/>
        <w:tabs>
          <w:tab w:val="clear" w:pos="367"/>
          <w:tab w:val="left" w:pos="426" w:leader="none"/>
        </w:tabs>
        <w:ind w:left="360" w:right="0" w:hanging="0"/>
        <w:jc w:val="center"/>
        <w:rPr>
          <w:rFonts w:ascii="Times New Roman" w:hAnsi="Times New Roman"/>
          <w:sz w:val="24"/>
          <w:szCs w:val="24"/>
        </w:rPr>
      </w:pPr>
      <w:r>
        <w:rPr>
          <w:b/>
          <w:bCs/>
          <w:sz w:val="24"/>
          <w:szCs w:val="24"/>
        </w:rPr>
        <w:t>6. Антикоррупционная оговорка</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11"/>
        </w:numPr>
        <w:shd w:val="clear" w:fill="FFFFFF"/>
        <w:tabs>
          <w:tab w:val="clear" w:pos="367"/>
          <w:tab w:val="left" w:pos="1418" w:leader="none"/>
        </w:tabs>
        <w:bidi w:val="0"/>
        <w:spacing w:before="0" w:after="0"/>
        <w:ind w:left="0" w:right="0" w:firstLine="737"/>
        <w:contextualSpacing/>
        <w:jc w:val="both"/>
        <w:rPr>
          <w:rFonts w:ascii="Times New Roman" w:hAnsi="Times New Roman"/>
          <w:bCs/>
          <w:color w:val="000000"/>
          <w:sz w:val="24"/>
          <w:szCs w:val="24"/>
        </w:rPr>
      </w:pPr>
      <w:r>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z w:val="24"/>
          <w:szCs w:val="24"/>
          <w:shd w:fill="auto" w:val="clear"/>
        </w:rPr>
        <w:t xml:space="preserve">Применимым правом </w:t>
      </w:r>
      <w:r>
        <w:rPr>
          <w:bCs/>
          <w:color w:val="000000"/>
          <w:sz w:val="24"/>
          <w:szCs w:val="24"/>
        </w:rPr>
        <w:t>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11"/>
        </w:numPr>
        <w:shd w:val="clear" w:fill="FFFFFF"/>
        <w:tabs>
          <w:tab w:val="clear" w:pos="367"/>
          <w:tab w:val="left" w:pos="567" w:leader="none"/>
          <w:tab w:val="left" w:pos="1418" w:leader="none"/>
        </w:tabs>
        <w:ind w:left="0" w:right="0" w:firstLine="709"/>
        <w:jc w:val="both"/>
        <w:rPr>
          <w:rFonts w:ascii="Times New Roman" w:hAnsi="Times New Roman"/>
          <w:color w:val="000000"/>
          <w:sz w:val="24"/>
          <w:szCs w:val="24"/>
        </w:rPr>
      </w:pPr>
      <w:r>
        <w:rPr>
          <w:color w:val="000000"/>
          <w:sz w:val="24"/>
          <w:szCs w:val="24"/>
        </w:rPr>
        <w:t xml:space="preserve">Каналы связи Линия доверия Группы РусГидро: </w:t>
      </w:r>
    </w:p>
    <w:p>
      <w:pPr>
        <w:pStyle w:val="ListParagraph"/>
        <w:numPr>
          <w:ilvl w:val="2"/>
          <w:numId w:val="11"/>
        </w:numPr>
        <w:shd w:val="clear" w:fill="FFFFFF"/>
        <w:tabs>
          <w:tab w:val="clear" w:pos="367"/>
          <w:tab w:val="left" w:pos="567" w:leader="none"/>
          <w:tab w:val="left" w:pos="1418" w:leader="none"/>
        </w:tabs>
        <w:ind w:left="0" w:right="0" w:firstLine="709"/>
        <w:jc w:val="both"/>
        <w:rPr>
          <w:rFonts w:ascii="Times New Roman" w:hAnsi="Times New Roman"/>
          <w:sz w:val="24"/>
          <w:szCs w:val="24"/>
        </w:rPr>
      </w:pPr>
      <w:r>
        <w:rPr>
          <w:sz w:val="24"/>
          <w:szCs w:val="24"/>
        </w:rPr>
        <w:t>Электронная почта: ld@rushydro.ru.</w:t>
      </w:r>
    </w:p>
    <w:p>
      <w:pPr>
        <w:pStyle w:val="ListParagraph"/>
        <w:numPr>
          <w:ilvl w:val="2"/>
          <w:numId w:val="11"/>
        </w:numPr>
        <w:shd w:val="clear" w:fill="FFFFFF"/>
        <w:tabs>
          <w:tab w:val="clear" w:pos="367"/>
          <w:tab w:val="left" w:pos="567" w:leader="none"/>
          <w:tab w:val="left" w:pos="1418" w:leader="none"/>
        </w:tabs>
        <w:ind w:left="0" w:right="0" w:firstLine="709"/>
        <w:jc w:val="both"/>
        <w:rPr>
          <w:rFonts w:ascii="Times New Roman" w:hAnsi="Times New Roman"/>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1"/>
        </w:numPr>
        <w:tabs>
          <w:tab w:val="clear" w:pos="367"/>
          <w:tab w:val="left" w:pos="1418" w:leader="none"/>
        </w:tabs>
        <w:spacing w:lineRule="auto" w:line="259" w:before="0" w:after="160"/>
        <w:ind w:left="0" w:right="0" w:firstLine="709"/>
        <w:contextualSpacing/>
        <w:jc w:val="both"/>
        <w:rPr>
          <w:rFonts w:ascii="Times New Roman" w:hAnsi="Times New Roman"/>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widowControl/>
        <w:numPr>
          <w:ilvl w:val="0"/>
          <w:numId w:val="11"/>
        </w:numPr>
        <w:shd w:val="clear" w:fill="FFFFFF"/>
        <w:ind w:left="720" w:right="0" w:hanging="360"/>
        <w:jc w:val="center"/>
        <w:rPr>
          <w:rFonts w:ascii="Times New Roman" w:hAnsi="Times New Roman"/>
          <w:b/>
          <w:bCs/>
          <w:sz w:val="24"/>
          <w:szCs w:val="24"/>
        </w:rPr>
      </w:pPr>
      <w:r>
        <w:rPr>
          <w:b/>
          <w:bCs/>
          <w:sz w:val="24"/>
          <w:szCs w:val="24"/>
        </w:rPr>
        <w:t>Обстоятельства непреодолимой силы (форс-мажор)</w:t>
      </w:r>
    </w:p>
    <w:p>
      <w:pPr>
        <w:pStyle w:val="ListParagraph"/>
        <w:widowControl/>
        <w:numPr>
          <w:ilvl w:val="1"/>
          <w:numId w:val="11"/>
        </w:numPr>
        <w:shd w:val="clear" w:fill="FFFFFF"/>
        <w:tabs>
          <w:tab w:val="clear" w:pos="367"/>
          <w:tab w:val="left" w:pos="0" w:leader="none"/>
          <w:tab w:val="left" w:pos="1134" w:leader="none"/>
          <w:tab w:val="left" w:pos="1418" w:leader="none"/>
        </w:tabs>
        <w:ind w:left="0" w:right="0" w:firstLine="709"/>
        <w:jc w:val="both"/>
        <w:rPr>
          <w:rFonts w:ascii="Times New Roman" w:hAnsi="Times New Roman"/>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1"/>
        </w:numPr>
        <w:shd w:val="clear" w:fill="FFFFFF"/>
        <w:tabs>
          <w:tab w:val="clear" w:pos="367"/>
          <w:tab w:val="left" w:pos="0" w:leader="none"/>
          <w:tab w:val="left" w:pos="1134" w:leader="none"/>
          <w:tab w:val="left" w:pos="1418" w:leader="none"/>
        </w:tabs>
        <w:ind w:left="0" w:right="0" w:firstLine="709"/>
        <w:jc w:val="both"/>
        <w:rPr>
          <w:rFonts w:ascii="Times New Roman" w:hAnsi="Times New Roman"/>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1"/>
        </w:numPr>
        <w:shd w:val="clear" w:fill="FFFFFF"/>
        <w:tabs>
          <w:tab w:val="clear" w:pos="367"/>
          <w:tab w:val="left" w:pos="0" w:leader="none"/>
          <w:tab w:val="left" w:pos="1134" w:leader="none"/>
          <w:tab w:val="left" w:pos="1418" w:leader="none"/>
        </w:tabs>
        <w:ind w:left="0" w:right="0" w:firstLine="709"/>
        <w:jc w:val="both"/>
        <w:rPr>
          <w:rFonts w:ascii="Times New Roman" w:hAnsi="Times New Roman"/>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1"/>
        </w:numPr>
        <w:shd w:val="clear" w:fill="FFFFFF"/>
        <w:tabs>
          <w:tab w:val="clear" w:pos="367"/>
          <w:tab w:val="left" w:pos="0" w:leader="none"/>
          <w:tab w:val="left" w:pos="1134" w:leader="none"/>
          <w:tab w:val="left" w:pos="1418" w:leader="none"/>
        </w:tabs>
        <w:ind w:left="0" w:right="0" w:firstLine="709"/>
        <w:jc w:val="both"/>
        <w:rPr>
          <w:rFonts w:ascii="Times New Roman" w:hAnsi="Times New Roman"/>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1"/>
        </w:numPr>
        <w:shd w:val="clear" w:fill="FFFFFF"/>
        <w:tabs>
          <w:tab w:val="clear" w:pos="367"/>
          <w:tab w:val="left" w:pos="0" w:leader="none"/>
          <w:tab w:val="left" w:pos="1134" w:leader="none"/>
          <w:tab w:val="left" w:pos="1418" w:leader="none"/>
        </w:tabs>
        <w:ind w:left="0" w:right="0" w:firstLine="709"/>
        <w:jc w:val="both"/>
        <w:rPr>
          <w:rFonts w:ascii="Times New Roman" w:hAnsi="Times New Roman"/>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1"/>
        </w:numPr>
        <w:shd w:val="clear" w:fill="FFFFFF"/>
        <w:tabs>
          <w:tab w:val="clear" w:pos="367"/>
          <w:tab w:val="left" w:pos="0" w:leader="none"/>
          <w:tab w:val="left" w:pos="568" w:leader="none"/>
          <w:tab w:val="left" w:pos="1134" w:leader="none"/>
          <w:tab w:val="left" w:pos="1418" w:leader="none"/>
        </w:tabs>
        <w:ind w:left="0" w:right="0" w:firstLine="709"/>
        <w:jc w:val="both"/>
        <w:rPr>
          <w:rFonts w:ascii="Times New Roman" w:hAnsi="Times New Roman"/>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fill="FFFFFF"/>
        <w:tabs>
          <w:tab w:val="clear" w:pos="367"/>
          <w:tab w:val="left" w:pos="0" w:leader="none"/>
          <w:tab w:val="left" w:pos="568" w:leader="none"/>
          <w:tab w:val="left" w:pos="1418" w:leader="none"/>
        </w:tabs>
        <w:ind w:left="0" w:right="0" w:firstLine="709"/>
        <w:jc w:val="both"/>
        <w:rPr>
          <w:rFonts w:ascii="Times New Roman" w:hAnsi="Times New Roman"/>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widowControl/>
        <w:numPr>
          <w:ilvl w:val="0"/>
          <w:numId w:val="11"/>
        </w:numPr>
        <w:shd w:val="clear" w:fill="FFFFFF"/>
        <w:spacing w:before="0" w:after="0"/>
        <w:ind w:left="0" w:right="0" w:hanging="0"/>
        <w:contextualSpacing/>
        <w:jc w:val="center"/>
        <w:rPr>
          <w:rFonts w:ascii="Times New Roman" w:hAnsi="Times New Roman"/>
          <w:b/>
          <w:bCs/>
          <w:sz w:val="24"/>
          <w:szCs w:val="24"/>
        </w:rPr>
      </w:pPr>
      <w:r>
        <w:rPr>
          <w:b/>
          <w:bCs/>
          <w:sz w:val="24"/>
          <w:szCs w:val="24"/>
        </w:rPr>
        <w:t>Особые положения</w:t>
      </w:r>
    </w:p>
    <w:p>
      <w:pPr>
        <w:pStyle w:val="ListParagraph"/>
        <w:widowControl/>
        <w:numPr>
          <w:ilvl w:val="1"/>
          <w:numId w:val="11"/>
        </w:numPr>
        <w:shd w:val="clear" w:fill="FFFFFF"/>
        <w:tabs>
          <w:tab w:val="clear" w:pos="367"/>
          <w:tab w:val="left" w:pos="0" w:leader="none"/>
          <w:tab w:val="left" w:pos="568" w:leader="none"/>
        </w:tabs>
        <w:ind w:left="0" w:right="0" w:firstLine="709"/>
        <w:jc w:val="both"/>
        <w:rPr/>
      </w:pPr>
      <w:r>
        <w:rPr>
          <w:bCs/>
          <w:sz w:val="24"/>
          <w:szCs w:val="24"/>
        </w:rPr>
        <w:t xml:space="preserve">Продавец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rStyle w:val="Hyperlink"/>
            <w:bCs/>
            <w:sz w:val="24"/>
            <w:szCs w:val="24"/>
          </w:rPr>
          <w:t>№ 18162/09</w:t>
        </w:r>
      </w:hyperlink>
      <w:r>
        <w:rPr>
          <w:bCs/>
          <w:sz w:val="24"/>
          <w:szCs w:val="24"/>
        </w:rPr>
        <w:t xml:space="preserve"> и от 25.05.2010 </w:t>
      </w:r>
      <w:hyperlink r:id="rId4">
        <w:r>
          <w:rPr>
            <w:rStyle w:val="Hyperlink"/>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5">
        <w:r>
          <w:rPr>
            <w:rStyle w:val="Hyperlink"/>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11"/>
        </w:numPr>
        <w:shd w:val="clear" w:fill="FFFFFF"/>
        <w:tabs>
          <w:tab w:val="clear" w:pos="367"/>
          <w:tab w:val="left" w:pos="0" w:leader="none"/>
          <w:tab w:val="left" w:pos="568" w:leader="none"/>
        </w:tabs>
        <w:ind w:left="0" w:right="0" w:firstLine="709"/>
        <w:jc w:val="both"/>
        <w:rPr>
          <w:rFonts w:ascii="Times New Roman" w:hAnsi="Times New Roman"/>
          <w:bCs/>
          <w:sz w:val="24"/>
          <w:szCs w:val="24"/>
        </w:rPr>
      </w:pPr>
      <w:r>
        <w:rPr>
          <w:bCs/>
          <w:sz w:val="24"/>
          <w:szCs w:val="24"/>
        </w:rPr>
        <w:t>Продавец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11"/>
        </w:numPr>
        <w:shd w:val="clear" w:fill="FFFFFF"/>
        <w:tabs>
          <w:tab w:val="clear" w:pos="367"/>
          <w:tab w:val="left" w:pos="0" w:leader="none"/>
          <w:tab w:val="left" w:pos="568" w:leader="none"/>
        </w:tabs>
        <w:ind w:left="0" w:right="0" w:firstLine="709"/>
        <w:jc w:val="both"/>
        <w:rPr>
          <w:rFonts w:ascii="Times New Roman" w:hAnsi="Times New Roman"/>
          <w:bCs/>
          <w:sz w:val="24"/>
          <w:szCs w:val="24"/>
        </w:rPr>
      </w:pPr>
      <w:r>
        <w:rPr>
          <w:bCs/>
          <w:sz w:val="24"/>
          <w:szCs w:val="24"/>
        </w:rPr>
        <w:t>В случае нарушения Продавцом обязательств, установленных пункт</w:t>
      </w:r>
      <w:r>
        <w:rPr>
          <w:bCs/>
          <w:sz w:val="24"/>
          <w:szCs w:val="24"/>
          <w:shd w:fill="auto" w:val="clear"/>
        </w:rPr>
        <w:t>ами 8.1, 8.2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Продавцом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Продавца, представленных до наступления указанной Покупателем даты расторжения.</w:t>
      </w:r>
    </w:p>
    <w:p>
      <w:pPr>
        <w:pStyle w:val="ListParagraph"/>
        <w:widowControl/>
        <w:numPr>
          <w:ilvl w:val="1"/>
          <w:numId w:val="11"/>
        </w:numPr>
        <w:shd w:val="clear" w:fill="FFFFFF"/>
        <w:tabs>
          <w:tab w:val="clear" w:pos="367"/>
          <w:tab w:val="left" w:pos="0" w:leader="none"/>
          <w:tab w:val="left" w:pos="568" w:leader="none"/>
        </w:tabs>
        <w:ind w:left="0" w:right="0" w:firstLine="709"/>
        <w:jc w:val="both"/>
        <w:rPr>
          <w:rFonts w:ascii="Times New Roman" w:hAnsi="Times New Roman"/>
          <w:bCs/>
          <w:sz w:val="24"/>
          <w:szCs w:val="24"/>
          <w:shd w:fill="auto" w:val="clear"/>
        </w:rPr>
      </w:pPr>
      <w:r>
        <w:rPr>
          <w:bCs/>
          <w:sz w:val="24"/>
          <w:szCs w:val="24"/>
          <w:shd w:fill="auto" w:val="clear"/>
        </w:rPr>
        <w:t>Продавец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8.1, 8.2 Договора.</w:t>
      </w:r>
    </w:p>
    <w:p>
      <w:pPr>
        <w:pStyle w:val="ListParagraph"/>
        <w:widowControl/>
        <w:numPr>
          <w:ilvl w:val="1"/>
          <w:numId w:val="11"/>
        </w:numPr>
        <w:shd w:val="clear" w:fill="FFFFFF"/>
        <w:tabs>
          <w:tab w:val="clear" w:pos="367"/>
          <w:tab w:val="left" w:pos="0" w:leader="none"/>
          <w:tab w:val="left" w:pos="568" w:leader="none"/>
        </w:tabs>
        <w:ind w:left="0" w:right="0" w:firstLine="709"/>
        <w:jc w:val="both"/>
        <w:rPr>
          <w:rFonts w:ascii="Times New Roman" w:hAnsi="Times New Roman"/>
          <w:bCs/>
          <w:sz w:val="24"/>
          <w:szCs w:val="24"/>
          <w:shd w:fill="auto" w:val="clear"/>
        </w:rPr>
      </w:pPr>
      <w:r>
        <w:rPr>
          <w:bCs/>
          <w:sz w:val="24"/>
          <w:szCs w:val="24"/>
          <w:shd w:fill="auto" w:val="clear"/>
        </w:rPr>
        <w:t>Штраф, предусмотренный пунктом 8.4 Договора, оплачивается Продавцом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8.3 Договора.</w:t>
      </w:r>
    </w:p>
    <w:p>
      <w:pPr>
        <w:pStyle w:val="ListParagraph"/>
        <w:widowControl/>
        <w:numPr>
          <w:ilvl w:val="1"/>
          <w:numId w:val="11"/>
        </w:numPr>
        <w:shd w:val="clear" w:fill="FFFFFF"/>
        <w:tabs>
          <w:tab w:val="clear" w:pos="367"/>
          <w:tab w:val="left" w:pos="142" w:leader="none"/>
          <w:tab w:val="left" w:pos="568" w:leader="none"/>
        </w:tabs>
        <w:ind w:left="0" w:right="0" w:firstLine="709"/>
        <w:jc w:val="both"/>
        <w:rPr>
          <w:rFonts w:ascii="Times New Roman" w:hAnsi="Times New Roman"/>
          <w:bCs/>
          <w:sz w:val="24"/>
          <w:szCs w:val="24"/>
          <w:shd w:fill="auto" w:val="clear"/>
        </w:rPr>
      </w:pPr>
      <w:r>
        <w:rPr>
          <w:bCs/>
          <w:sz w:val="24"/>
          <w:szCs w:val="24"/>
          <w:shd w:fill="auto" w:val="clear"/>
        </w:rPr>
        <w:t>Покупатель вправе приостановить осуществление любых платежей по Договору, причитающихся Продавцу, независимо от наличия оснований и наступления сроков таких платежей, до уплаты Продавцом штрафа, предусмотренного пунктом 8.4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11"/>
        </w:numPr>
        <w:shd w:val="clear" w:fill="FFFFFF"/>
        <w:tabs>
          <w:tab w:val="clear" w:pos="367"/>
          <w:tab w:val="left" w:pos="142" w:leader="none"/>
          <w:tab w:val="left" w:pos="568" w:leader="none"/>
        </w:tabs>
        <w:ind w:left="0" w:right="0" w:firstLine="709"/>
        <w:jc w:val="both"/>
        <w:rPr>
          <w:rFonts w:ascii="Times New Roman" w:hAnsi="Times New Roman"/>
          <w:bCs/>
          <w:sz w:val="24"/>
          <w:szCs w:val="24"/>
        </w:rPr>
      </w:pPr>
      <w:r>
        <w:rPr>
          <w:bCs/>
          <w:sz w:val="24"/>
          <w:szCs w:val="24"/>
          <w:shd w:fill="auto" w:val="clear"/>
        </w:rPr>
        <w:t>Независимо от других положений Договора, положения пунктов 8.4, 8.5 Дого</w:t>
      </w:r>
      <w:r>
        <w:rPr>
          <w:bCs/>
          <w:sz w:val="24"/>
          <w:szCs w:val="24"/>
        </w:rPr>
        <w:t>вора продолжают действовать в течение 4 (четырех) лет после его прекращения (расторжения) или исполнения.</w:t>
      </w:r>
    </w:p>
    <w:p>
      <w:pPr>
        <w:pStyle w:val="ListParagraph"/>
        <w:widowControl/>
        <w:numPr>
          <w:ilvl w:val="0"/>
          <w:numId w:val="11"/>
        </w:numPr>
        <w:shd w:val="clear" w:fill="FFFFFF"/>
        <w:ind w:left="0" w:right="0" w:hanging="0"/>
        <w:jc w:val="center"/>
        <w:rPr>
          <w:rFonts w:ascii="Times New Roman" w:hAnsi="Times New Roman"/>
          <w:sz w:val="24"/>
          <w:szCs w:val="24"/>
        </w:rPr>
      </w:pPr>
      <w:r>
        <w:rPr>
          <w:b/>
          <w:bCs/>
          <w:sz w:val="24"/>
          <w:szCs w:val="24"/>
        </w:rPr>
        <w:t>Заверения</w:t>
      </w:r>
      <w:r>
        <w:rPr>
          <w:b/>
          <w:sz w:val="24"/>
          <w:szCs w:val="24"/>
        </w:rPr>
        <w:t xml:space="preserve"> Сторон</w:t>
      </w:r>
    </w:p>
    <w:p>
      <w:pPr>
        <w:pStyle w:val="ListParagraph"/>
        <w:widowControl/>
        <w:numPr>
          <w:ilvl w:val="1"/>
          <w:numId w:val="11"/>
        </w:numPr>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fill="FFFFFF"/>
        <w:tabs>
          <w:tab w:val="clear" w:pos="367"/>
          <w:tab w:val="left" w:pos="0" w:leader="none"/>
          <w:tab w:val="left" w:pos="709" w:leader="none"/>
          <w:tab w:val="left" w:pos="1418" w:leader="none"/>
        </w:tabs>
        <w:ind w:left="0" w:right="0" w:firstLine="709"/>
        <w:jc w:val="both"/>
        <w:rPr>
          <w:rFonts w:ascii="Times New Roman" w:hAnsi="Times New Roman"/>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fill="FFFFFF"/>
        <w:tabs>
          <w:tab w:val="clear" w:pos="367"/>
          <w:tab w:val="left" w:pos="0" w:leader="none"/>
          <w:tab w:val="left" w:pos="709" w:leader="none"/>
          <w:tab w:val="left" w:pos="1418" w:leader="none"/>
        </w:tabs>
        <w:ind w:left="0" w:right="0" w:firstLine="709"/>
        <w:jc w:val="both"/>
        <w:rPr>
          <w:rFonts w:ascii="Times New Roman" w:hAnsi="Times New Roman"/>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fill="FFFFFF"/>
        <w:tabs>
          <w:tab w:val="clear" w:pos="367"/>
          <w:tab w:val="left" w:pos="0" w:leader="none"/>
          <w:tab w:val="left" w:pos="709" w:leader="none"/>
          <w:tab w:val="left" w:pos="1418" w:leader="none"/>
        </w:tabs>
        <w:ind w:left="0" w:right="0" w:firstLine="709"/>
        <w:jc w:val="both"/>
        <w:rPr>
          <w:rFonts w:ascii="Times New Roman" w:hAnsi="Times New Roman"/>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fill="FFFFFF"/>
        <w:tabs>
          <w:tab w:val="clear" w:pos="367"/>
          <w:tab w:val="left" w:pos="0" w:leader="none"/>
          <w:tab w:val="left" w:pos="709" w:leader="none"/>
          <w:tab w:val="left" w:pos="1418" w:leader="none"/>
        </w:tabs>
        <w:ind w:left="0" w:right="0" w:firstLine="709"/>
        <w:jc w:val="both"/>
        <w:rPr>
          <w:rFonts w:ascii="Times New Roman" w:hAnsi="Times New Roman"/>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fill="FFFFFF"/>
        <w:tabs>
          <w:tab w:val="clear" w:pos="367"/>
          <w:tab w:val="left" w:pos="0" w:leader="none"/>
          <w:tab w:val="left" w:pos="709" w:leader="none"/>
          <w:tab w:val="left" w:pos="1418" w:leader="none"/>
        </w:tabs>
        <w:ind w:left="0" w:right="0" w:firstLine="709"/>
        <w:jc w:val="both"/>
        <w:rPr>
          <w:rFonts w:ascii="Times New Roman" w:hAnsi="Times New Roman"/>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sz w:val="24"/>
          <w:szCs w:val="24"/>
        </w:rPr>
      </w:pPr>
      <w:r>
        <w:rPr>
          <w:sz w:val="24"/>
          <w:szCs w:val="24"/>
        </w:rPr>
        <w:t>Продавец заявляет и заверяет Покупателя в том, что на момент заключения Договора:</w:t>
      </w:r>
    </w:p>
    <w:p>
      <w:pPr>
        <w:pStyle w:val="ListParagraph"/>
        <w:widowControl/>
        <w:numPr>
          <w:ilvl w:val="0"/>
          <w:numId w:val="8"/>
        </w:numPr>
        <w:shd w:val="clear" w:fill="FFFFFF"/>
        <w:tabs>
          <w:tab w:val="clear" w:pos="367"/>
          <w:tab w:val="left" w:pos="0" w:leader="none"/>
          <w:tab w:val="left" w:pos="709" w:leader="none"/>
        </w:tabs>
        <w:ind w:left="0" w:right="0" w:firstLine="709"/>
        <w:jc w:val="both"/>
        <w:rPr>
          <w:rFonts w:ascii="Times New Roman" w:hAnsi="Times New Roman"/>
          <w:sz w:val="24"/>
          <w:szCs w:val="24"/>
        </w:rPr>
      </w:pPr>
      <w:r>
        <w:rPr>
          <w:sz w:val="24"/>
          <w:szCs w:val="24"/>
        </w:rPr>
        <w:t>учредителем / учредителями Продавца являются лица, не являющиеся массовыми учредителем / учредителями;</w:t>
      </w:r>
    </w:p>
    <w:p>
      <w:pPr>
        <w:pStyle w:val="ListParagraph"/>
        <w:widowControl/>
        <w:numPr>
          <w:ilvl w:val="0"/>
          <w:numId w:val="8"/>
        </w:numPr>
        <w:shd w:val="clear" w:fill="FFFFFF"/>
        <w:tabs>
          <w:tab w:val="clear" w:pos="367"/>
          <w:tab w:val="left" w:pos="0" w:leader="none"/>
          <w:tab w:val="left" w:pos="709" w:leader="none"/>
        </w:tabs>
        <w:ind w:left="0" w:right="0" w:firstLine="709"/>
        <w:jc w:val="both"/>
        <w:rPr>
          <w:rFonts w:ascii="Times New Roman" w:hAnsi="Times New Roman"/>
          <w:sz w:val="24"/>
          <w:szCs w:val="24"/>
        </w:rPr>
      </w:pPr>
      <w:r>
        <w:rPr>
          <w:sz w:val="24"/>
          <w:szCs w:val="24"/>
        </w:rPr>
        <w:t>руководителем Продавца является лицо, не являющееся массовым руководителем;</w:t>
      </w:r>
    </w:p>
    <w:p>
      <w:pPr>
        <w:pStyle w:val="ListParagraph"/>
        <w:widowControl/>
        <w:numPr>
          <w:ilvl w:val="0"/>
          <w:numId w:val="8"/>
        </w:numPr>
        <w:shd w:val="clear" w:fill="FFFFFF"/>
        <w:tabs>
          <w:tab w:val="clear" w:pos="367"/>
          <w:tab w:val="left" w:pos="0" w:leader="none"/>
          <w:tab w:val="left" w:pos="709" w:leader="none"/>
        </w:tabs>
        <w:ind w:left="0" w:right="0" w:firstLine="709"/>
        <w:jc w:val="both"/>
        <w:rPr>
          <w:rFonts w:ascii="Times New Roman" w:hAnsi="Times New Roman"/>
          <w:sz w:val="24"/>
          <w:szCs w:val="24"/>
        </w:rPr>
      </w:pPr>
      <w:r>
        <w:rPr>
          <w:sz w:val="24"/>
          <w:szCs w:val="24"/>
        </w:rPr>
        <w:t xml:space="preserve">Продавец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fill="FFFFFF"/>
        <w:tabs>
          <w:tab w:val="clear" w:pos="367"/>
          <w:tab w:val="left" w:pos="0" w:leader="none"/>
          <w:tab w:val="left" w:pos="709" w:leader="none"/>
        </w:tabs>
        <w:ind w:left="0" w:right="0" w:firstLine="709"/>
        <w:jc w:val="both"/>
        <w:rPr>
          <w:rFonts w:ascii="Times New Roman" w:hAnsi="Times New Roman"/>
          <w:sz w:val="24"/>
          <w:szCs w:val="24"/>
        </w:rPr>
      </w:pPr>
      <w:r>
        <w:rPr>
          <w:sz w:val="24"/>
          <w:szCs w:val="24"/>
        </w:rPr>
        <w:t xml:space="preserve">Продавец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fill="FFFFFF"/>
        <w:tabs>
          <w:tab w:val="clear" w:pos="367"/>
          <w:tab w:val="left" w:pos="0" w:leader="none"/>
          <w:tab w:val="left" w:pos="567" w:leader="none"/>
        </w:tabs>
        <w:ind w:left="0" w:right="0" w:firstLine="709"/>
        <w:jc w:val="both"/>
        <w:rPr>
          <w:rFonts w:ascii="Times New Roman" w:hAnsi="Times New Roman"/>
          <w:sz w:val="24"/>
          <w:szCs w:val="24"/>
        </w:rPr>
      </w:pPr>
      <w:r>
        <w:rPr>
          <w:sz w:val="24"/>
          <w:szCs w:val="24"/>
        </w:rPr>
        <w:t xml:space="preserve">Продавец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Продавца должным образом исполнять обязательства, возникающие из Договору или в связи с ним;</w:t>
      </w:r>
    </w:p>
    <w:p>
      <w:pPr>
        <w:pStyle w:val="ListParagraph"/>
        <w:widowControl/>
        <w:numPr>
          <w:ilvl w:val="0"/>
          <w:numId w:val="7"/>
        </w:numPr>
        <w:shd w:val="clear" w:fill="FFFFFF"/>
        <w:tabs>
          <w:tab w:val="clear" w:pos="367"/>
          <w:tab w:val="left" w:pos="0" w:leader="none"/>
          <w:tab w:val="left" w:pos="567" w:leader="none"/>
        </w:tabs>
        <w:ind w:left="0" w:right="0" w:firstLine="709"/>
        <w:jc w:val="both"/>
        <w:rPr>
          <w:rFonts w:ascii="Times New Roman" w:hAnsi="Times New Roman"/>
          <w:sz w:val="24"/>
          <w:szCs w:val="24"/>
        </w:rPr>
      </w:pPr>
      <w:r>
        <w:rPr>
          <w:sz w:val="24"/>
          <w:szCs w:val="24"/>
        </w:rPr>
        <w:t xml:space="preserve">Продавец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fill="FFFFFF"/>
        <w:tabs>
          <w:tab w:val="clear" w:pos="367"/>
          <w:tab w:val="left" w:pos="0" w:leader="none"/>
          <w:tab w:val="left" w:pos="567" w:leader="none"/>
        </w:tabs>
        <w:ind w:left="0" w:right="0" w:firstLine="709"/>
        <w:jc w:val="both"/>
        <w:rPr>
          <w:rFonts w:ascii="Times New Roman" w:hAnsi="Times New Roman"/>
          <w:sz w:val="24"/>
          <w:szCs w:val="24"/>
        </w:rPr>
      </w:pPr>
      <w:r>
        <w:rPr>
          <w:sz w:val="24"/>
          <w:szCs w:val="24"/>
        </w:rPr>
        <w:t xml:space="preserve">Продавец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fill="FFFFFF"/>
        <w:tabs>
          <w:tab w:val="clear" w:pos="367"/>
          <w:tab w:val="left" w:pos="0" w:leader="none"/>
          <w:tab w:val="left" w:pos="567" w:leader="none"/>
        </w:tabs>
        <w:ind w:left="0" w:right="0" w:firstLine="709"/>
        <w:jc w:val="both"/>
        <w:rPr>
          <w:rFonts w:ascii="Times New Roman" w:hAnsi="Times New Roman"/>
          <w:sz w:val="24"/>
          <w:szCs w:val="24"/>
        </w:rPr>
      </w:pPr>
      <w:r>
        <w:rPr>
          <w:sz w:val="24"/>
          <w:szCs w:val="24"/>
        </w:rPr>
        <w:t xml:space="preserve">вся информация, предоставленная Покупателю, является достоверной, полной </w:t>
        <w:br/>
        <w:t xml:space="preserve">и точной, и Продавец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1"/>
        </w:numPr>
        <w:tabs>
          <w:tab w:val="clear" w:pos="367"/>
          <w:tab w:val="left" w:pos="1418" w:leader="none"/>
        </w:tabs>
        <w:ind w:left="0" w:right="0" w:firstLine="709"/>
        <w:jc w:val="both"/>
        <w:rPr>
          <w:rFonts w:ascii="Times New Roman" w:hAnsi="Times New Roman"/>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sz w:val="24"/>
          <w:szCs w:val="24"/>
        </w:rPr>
      </w:pPr>
      <w:r>
        <w:rPr>
          <w:sz w:val="24"/>
          <w:szCs w:val="24"/>
        </w:rPr>
        <w:t xml:space="preserve">В случае, если </w:t>
      </w:r>
      <w:r>
        <w:rPr>
          <w:bCs/>
          <w:sz w:val="24"/>
          <w:szCs w:val="24"/>
        </w:rPr>
        <w:t xml:space="preserve">Продавец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Продавец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fill="FFFFFF"/>
        <w:tabs>
          <w:tab w:val="clear" w:pos="367"/>
          <w:tab w:val="left" w:pos="1418" w:leader="none"/>
        </w:tabs>
        <w:ind w:left="0" w:right="0" w:hanging="0"/>
        <w:jc w:val="both"/>
        <w:rPr>
          <w:rFonts w:ascii="Times New Roman" w:hAnsi="Times New Roman"/>
          <w:sz w:val="24"/>
          <w:szCs w:val="24"/>
        </w:rPr>
      </w:pPr>
      <w:r>
        <w:rPr>
          <w:sz w:val="24"/>
          <w:szCs w:val="24"/>
        </w:rPr>
      </w:r>
    </w:p>
    <w:p>
      <w:pPr>
        <w:pStyle w:val="ListParagraph"/>
        <w:widowControl/>
        <w:numPr>
          <w:ilvl w:val="0"/>
          <w:numId w:val="11"/>
        </w:numPr>
        <w:shd w:val="clear" w:fill="FFFFFF"/>
        <w:ind w:left="0" w:right="0" w:hanging="0"/>
        <w:jc w:val="center"/>
        <w:rPr>
          <w:rFonts w:ascii="Times New Roman" w:hAnsi="Times New Roman"/>
          <w:sz w:val="24"/>
          <w:szCs w:val="24"/>
        </w:rPr>
      </w:pPr>
      <w:r>
        <w:rPr>
          <w:b/>
          <w:bCs/>
          <w:sz w:val="24"/>
          <w:szCs w:val="24"/>
        </w:rPr>
        <w:t>П</w:t>
      </w:r>
      <w:r>
        <w:rPr>
          <w:b/>
          <w:sz w:val="24"/>
          <w:szCs w:val="24"/>
        </w:rPr>
        <w:t>рекращение (расторжение) Договора</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w:t>
      </w:r>
      <w:r>
        <w:rPr>
          <w:sz w:val="24"/>
          <w:szCs w:val="24"/>
          <w:shd w:fill="auto" w:val="clear"/>
        </w:rPr>
        <w:t xml:space="preserve">том 12.7 </w:t>
      </w:r>
      <w:r>
        <w:rPr>
          <w:sz w:val="24"/>
          <w:szCs w:val="24"/>
        </w:rPr>
        <w:t>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11"/>
        </w:numPr>
        <w:shd w:val="clear" w:fill="FFFFFF"/>
        <w:tabs>
          <w:tab w:val="clear" w:pos="367"/>
          <w:tab w:val="left" w:pos="1418" w:leader="none"/>
        </w:tabs>
        <w:ind w:left="0" w:right="0" w:firstLine="709"/>
        <w:jc w:val="both"/>
        <w:rPr>
          <w:rFonts w:ascii="Times New Roman" w:hAnsi="Times New Roman"/>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Продавцу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Продавцом уведомления Покупателя об отказе от Договора (исполнения Договора). </w:t>
      </w:r>
    </w:p>
    <w:p>
      <w:pPr>
        <w:pStyle w:val="ListParagraph"/>
        <w:widowControl/>
        <w:numPr>
          <w:ilvl w:val="1"/>
          <w:numId w:val="11"/>
        </w:numPr>
        <w:shd w:val="clear" w:fill="FFFFFF"/>
        <w:tabs>
          <w:tab w:val="clear" w:pos="367"/>
          <w:tab w:val="left" w:pos="709" w:leader="none"/>
          <w:tab w:val="left" w:pos="1418" w:leader="none"/>
        </w:tabs>
        <w:ind w:left="0" w:right="0" w:firstLine="709"/>
        <w:jc w:val="both"/>
        <w:rPr>
          <w:rFonts w:ascii="Times New Roman" w:hAnsi="Times New Roman"/>
          <w:sz w:val="24"/>
          <w:szCs w:val="24"/>
        </w:rPr>
      </w:pPr>
      <w:r>
        <w:rPr>
          <w:sz w:val="24"/>
          <w:szCs w:val="24"/>
        </w:rPr>
        <w:t xml:space="preserve">В случае существенного нарушения Договора Продавцом Покупатель вправе в одностороннем внесудебном порядке отказаться от Договора. </w:t>
      </w:r>
    </w:p>
    <w:p>
      <w:pPr>
        <w:pStyle w:val="ListParagraph"/>
        <w:widowControl/>
        <w:shd w:val="clear" w:fill="FFFFFF"/>
        <w:tabs>
          <w:tab w:val="clear" w:pos="367"/>
          <w:tab w:val="left" w:pos="1134" w:leader="none"/>
          <w:tab w:val="left" w:pos="1418" w:leader="none"/>
        </w:tabs>
        <w:ind w:left="0" w:right="0" w:firstLine="709"/>
        <w:jc w:val="both"/>
        <w:rPr>
          <w:rFonts w:ascii="Times New Roman" w:hAnsi="Times New Roman"/>
          <w:sz w:val="24"/>
          <w:szCs w:val="24"/>
        </w:rPr>
      </w:pPr>
      <w:r>
        <w:rPr>
          <w:sz w:val="24"/>
          <w:szCs w:val="24"/>
        </w:rPr>
        <w:t xml:space="preserve">Стороны установили, что существенным нарушением Договора Продавцом является: </w:t>
      </w:r>
    </w:p>
    <w:p>
      <w:pPr>
        <w:pStyle w:val="NormalWeb"/>
        <w:numPr>
          <w:ilvl w:val="0"/>
          <w:numId w:val="10"/>
        </w:numPr>
        <w:tabs>
          <w:tab w:val="clear" w:pos="367"/>
          <w:tab w:val="left" w:pos="1418" w:leader="none"/>
        </w:tabs>
        <w:spacing w:before="0" w:after="0"/>
        <w:ind w:left="0" w:right="0" w:firstLine="709"/>
        <w:jc w:val="both"/>
        <w:rPr>
          <w:rFonts w:ascii="Times New Roman" w:hAnsi="Times New Roman"/>
          <w:sz w:val="24"/>
          <w:szCs w:val="24"/>
        </w:rPr>
      </w:pPr>
      <w:r>
        <w:rPr>
          <w:sz w:val="24"/>
          <w:szCs w:val="24"/>
        </w:rPr>
        <w:t xml:space="preserve">нарушение Продавцом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0"/>
        </w:numPr>
        <w:tabs>
          <w:tab w:val="clear" w:pos="367"/>
          <w:tab w:val="left" w:pos="1418" w:leader="none"/>
        </w:tabs>
        <w:spacing w:before="0" w:after="0"/>
        <w:ind w:left="0" w:right="0" w:firstLine="709"/>
        <w:jc w:val="both"/>
        <w:rPr>
          <w:rFonts w:ascii="Times New Roman" w:hAnsi="Times New Roman"/>
          <w:sz w:val="24"/>
          <w:szCs w:val="24"/>
        </w:rPr>
      </w:pPr>
      <w:r>
        <w:rPr>
          <w:sz w:val="24"/>
          <w:szCs w:val="24"/>
        </w:rPr>
        <w:t xml:space="preserve">несоблюдение Продавцом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0"/>
        </w:numPr>
        <w:tabs>
          <w:tab w:val="clear" w:pos="367"/>
          <w:tab w:val="left" w:pos="1418" w:leader="none"/>
        </w:tabs>
        <w:spacing w:before="0" w:after="0"/>
        <w:ind w:left="0" w:right="0" w:firstLine="709"/>
        <w:jc w:val="both"/>
        <w:rPr>
          <w:rFonts w:ascii="Times New Roman" w:hAnsi="Times New Roman"/>
          <w:sz w:val="24"/>
          <w:szCs w:val="24"/>
        </w:rPr>
      </w:pPr>
      <w:r>
        <w:rPr>
          <w:sz w:val="24"/>
          <w:szCs w:val="24"/>
        </w:rPr>
        <w:t xml:space="preserve">наложение ареста на имущество Продавца, введение арбитражным судом процедуры несостоятельности (банкротства) в отношении Продавца; </w:t>
      </w:r>
    </w:p>
    <w:p>
      <w:pPr>
        <w:pStyle w:val="NormalWeb"/>
        <w:numPr>
          <w:ilvl w:val="0"/>
          <w:numId w:val="10"/>
        </w:numPr>
        <w:tabs>
          <w:tab w:val="clear" w:pos="367"/>
          <w:tab w:val="left" w:pos="1418" w:leader="none"/>
        </w:tabs>
        <w:bidi w:val="0"/>
        <w:spacing w:before="0" w:after="0"/>
        <w:ind w:left="0" w:right="0" w:firstLine="709"/>
        <w:jc w:val="both"/>
        <w:rPr>
          <w:rFonts w:ascii="Times New Roman" w:hAnsi="Times New Roman"/>
          <w:sz w:val="24"/>
          <w:szCs w:val="24"/>
        </w:rPr>
      </w:pPr>
      <w:r>
        <w:rPr>
          <w:sz w:val="24"/>
          <w:szCs w:val="24"/>
        </w:rPr>
        <w:t xml:space="preserve">установление в ходе исполнения Договора фактов несоответствия Продавца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Продавца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0"/>
          <w:numId w:val="0"/>
        </w:numPr>
        <w:shd w:val="clear" w:fill="FFFFFF"/>
        <w:tabs>
          <w:tab w:val="clear" w:pos="367"/>
          <w:tab w:val="left" w:pos="1418" w:leader="none"/>
        </w:tabs>
        <w:bidi w:val="0"/>
        <w:spacing w:before="0" w:after="0"/>
        <w:ind w:left="0" w:right="0" w:hanging="0"/>
        <w:contextualSpacing/>
        <w:jc w:val="both"/>
        <w:rPr>
          <w:rFonts w:ascii="Times New Roman" w:hAnsi="Times New Roman"/>
          <w:sz w:val="24"/>
          <w:szCs w:val="24"/>
        </w:rPr>
      </w:pPr>
      <w:r>
        <w:rPr>
          <w:sz w:val="24"/>
          <w:szCs w:val="24"/>
        </w:rPr>
        <w:t xml:space="preserve">       </w:t>
      </w:r>
      <w:r>
        <w:rPr>
          <w:b/>
          <w:bCs/>
          <w:sz w:val="24"/>
          <w:szCs w:val="24"/>
        </w:rPr>
        <w:t xml:space="preserve"> </w:t>
      </w:r>
      <w:r>
        <w:rPr>
          <w:b/>
          <w:bCs/>
          <w:sz w:val="24"/>
          <w:szCs w:val="24"/>
        </w:rPr>
        <w:t>10.4.</w:t>
      </w:r>
      <w:r>
        <w:rPr>
          <w:sz w:val="24"/>
          <w:szCs w:val="24"/>
        </w:rPr>
        <w:t xml:space="preserve"> 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Продавцом уведомления Покупателя об отказе от Договора (исполнения Договора). </w:t>
      </w:r>
    </w:p>
    <w:p>
      <w:pPr>
        <w:pStyle w:val="ListParagraph"/>
        <w:widowControl w:val="false"/>
        <w:numPr>
          <w:ilvl w:val="0"/>
          <w:numId w:val="0"/>
        </w:numPr>
        <w:bidi w:val="0"/>
        <w:spacing w:before="0" w:after="0"/>
        <w:ind w:left="0" w:right="0" w:hanging="0"/>
        <w:contextualSpacing/>
        <w:jc w:val="both"/>
        <w:rPr>
          <w:rFonts w:ascii="Times New Roman" w:hAnsi="Times New Roman"/>
          <w:sz w:val="24"/>
          <w:szCs w:val="24"/>
        </w:rPr>
      </w:pPr>
      <w:r>
        <w:rPr>
          <w:sz w:val="24"/>
          <w:szCs w:val="24"/>
        </w:rPr>
        <w:t xml:space="preserve">       </w:t>
      </w:r>
      <w:r>
        <w:rPr>
          <w:b/>
          <w:bCs/>
          <w:sz w:val="24"/>
          <w:szCs w:val="24"/>
        </w:rPr>
        <w:t>10.5.</w:t>
      </w:r>
      <w:r>
        <w:rPr>
          <w:sz w:val="24"/>
          <w:szCs w:val="24"/>
        </w:rPr>
        <w:t xml:space="preserve"> С даты прекращения (расторжения) Договора Продавец обязан прекратить поставку Товара.</w:t>
      </w:r>
    </w:p>
    <w:p>
      <w:pPr>
        <w:pStyle w:val="ListParagraph"/>
        <w:numPr>
          <w:ilvl w:val="0"/>
          <w:numId w:val="0"/>
        </w:numPr>
        <w:bidi w:val="0"/>
        <w:ind w:left="0" w:right="0" w:hanging="0"/>
        <w:jc w:val="both"/>
        <w:rPr>
          <w:rFonts w:ascii="Times New Roman" w:hAnsi="Times New Roman"/>
          <w:sz w:val="24"/>
          <w:szCs w:val="24"/>
        </w:rPr>
      </w:pPr>
      <w:r>
        <w:rPr>
          <w:sz w:val="24"/>
          <w:szCs w:val="24"/>
        </w:rPr>
        <w:t xml:space="preserve">   </w:t>
      </w:r>
      <w:r>
        <w:rPr>
          <w:b/>
          <w:bCs/>
          <w:sz w:val="24"/>
          <w:szCs w:val="24"/>
        </w:rPr>
        <w:t xml:space="preserve"> </w:t>
      </w:r>
      <w:r>
        <w:rPr>
          <w:b/>
          <w:bCs/>
          <w:sz w:val="24"/>
          <w:szCs w:val="24"/>
        </w:rPr>
        <w:t>10.6.</w:t>
      </w:r>
      <w:r>
        <w:rPr>
          <w:sz w:val="24"/>
          <w:szCs w:val="24"/>
        </w:rPr>
        <w:t xml:space="preserve"> 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Продавца в соответствии с разделом 4 Договора, а также обязательств Продавца по оплате неустойки, штрафов, возмещению убытков в случаях и размерах, предусмотренных Договором.</w:t>
      </w:r>
    </w:p>
    <w:p>
      <w:pPr>
        <w:pStyle w:val="ListParagraph"/>
        <w:widowControl/>
        <w:numPr>
          <w:ilvl w:val="0"/>
          <w:numId w:val="11"/>
        </w:numPr>
        <w:shd w:val="clear" w:fill="FFFFFF"/>
        <w:ind w:left="0" w:right="0" w:hanging="0"/>
        <w:jc w:val="center"/>
        <w:rPr>
          <w:rFonts w:ascii="Times New Roman" w:hAnsi="Times New Roman"/>
          <w:b/>
          <w:bCs/>
          <w:sz w:val="24"/>
          <w:szCs w:val="24"/>
        </w:rPr>
      </w:pPr>
      <w:r>
        <w:rPr>
          <w:b/>
          <w:bCs/>
          <w:sz w:val="24"/>
          <w:szCs w:val="24"/>
        </w:rPr>
        <w:t>Разрешение споров</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rPr>
      </w:pPr>
      <w:r>
        <w:rPr>
          <w:bCs/>
          <w:sz w:val="24"/>
          <w:szCs w:val="24"/>
        </w:rPr>
        <w:t>Споры, указанные в пу</w:t>
      </w:r>
      <w:r>
        <w:rPr>
          <w:bCs/>
          <w:sz w:val="24"/>
          <w:szCs w:val="24"/>
          <w:shd w:fill="auto" w:val="clear"/>
        </w:rPr>
        <w:t>нкте 11.1 До</w:t>
      </w:r>
      <w:r>
        <w:rPr>
          <w:bCs/>
          <w:sz w:val="24"/>
          <w:szCs w:val="24"/>
        </w:rPr>
        <w:t xml:space="preserve">говора, которые не были урегулированы Сторонами путем переговоров, подлежат разрешению в Арбитражном суде </w:t>
      </w:r>
      <w:r>
        <w:rPr>
          <w:bCs/>
          <w:sz w:val="24"/>
          <w:szCs w:val="24"/>
          <w:shd w:fill="auto" w:val="clear"/>
        </w:rPr>
        <w:t>Амурской области в соответствии с за</w:t>
      </w:r>
      <w:r>
        <w:rPr>
          <w:bCs/>
          <w:sz w:val="24"/>
          <w:szCs w:val="24"/>
        </w:rPr>
        <w:t xml:space="preserve">конодательством Российской Федерации. </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w:t>
      </w:r>
      <w:r>
        <w:rPr>
          <w:bCs/>
          <w:sz w:val="24"/>
          <w:szCs w:val="24"/>
          <w:shd w:fill="auto" w:val="clear"/>
        </w:rPr>
        <w:t>енном пунктом 12.7 Договора.</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bCs/>
          <w:sz w:val="24"/>
          <w:szCs w:val="24"/>
          <w:shd w:fill="auto" w:val="clear"/>
        </w:rPr>
      </w:pPr>
      <w:r>
        <w:rPr>
          <w:bCs/>
          <w:sz w:val="24"/>
          <w:szCs w:val="24"/>
          <w:shd w:fill="auto" w:val="clear"/>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bCs/>
          <w:sz w:val="24"/>
          <w:szCs w:val="24"/>
          <w:shd w:fill="auto" w:val="clear"/>
        </w:rPr>
      </w:pPr>
      <w:r>
        <w:rPr>
          <w:bCs/>
          <w:sz w:val="24"/>
          <w:szCs w:val="24"/>
          <w:shd w:fill="auto" w:val="clear"/>
        </w:rPr>
        <w:t>Условия настоящего раздела сохраняют свою силу в случае признания Договора незаключенным и / или недействительным.</w:t>
      </w:r>
    </w:p>
    <w:p>
      <w:pPr>
        <w:pStyle w:val="ListParagraph"/>
        <w:widowControl/>
        <w:numPr>
          <w:ilvl w:val="0"/>
          <w:numId w:val="11"/>
        </w:numPr>
        <w:shd w:val="clear" w:fill="FFFFFF"/>
        <w:ind w:left="0" w:right="0" w:hanging="0"/>
        <w:jc w:val="center"/>
        <w:rPr>
          <w:rFonts w:ascii="Times New Roman" w:hAnsi="Times New Roman"/>
          <w:b/>
          <w:bCs/>
          <w:sz w:val="24"/>
          <w:szCs w:val="24"/>
          <w:shd w:fill="auto" w:val="clear"/>
        </w:rPr>
      </w:pPr>
      <w:r>
        <w:rPr>
          <w:b/>
          <w:bCs/>
          <w:sz w:val="24"/>
          <w:szCs w:val="24"/>
          <w:shd w:fill="auto" w:val="clear"/>
        </w:rPr>
        <w:t>Заключительные положения</w:t>
      </w:r>
    </w:p>
    <w:p>
      <w:pPr>
        <w:pStyle w:val="ListParagraph"/>
        <w:widowControl/>
        <w:numPr>
          <w:ilvl w:val="1"/>
          <w:numId w:val="11"/>
        </w:numPr>
        <w:shd w:val="clear" w:fill="FFFFFF"/>
        <w:tabs>
          <w:tab w:val="clear" w:pos="367"/>
          <w:tab w:val="left" w:pos="0" w:leader="none"/>
          <w:tab w:val="left" w:pos="1418" w:leader="none"/>
        </w:tabs>
        <w:bidi w:val="0"/>
        <w:spacing w:before="0" w:after="0"/>
        <w:ind w:left="0" w:right="0" w:firstLine="737"/>
        <w:contextualSpacing/>
        <w:jc w:val="both"/>
        <w:rPr>
          <w:rFonts w:ascii="Times New Roman" w:hAnsi="Times New Roman"/>
          <w:sz w:val="24"/>
          <w:szCs w:val="24"/>
          <w:shd w:fill="auto" w:val="clear"/>
        </w:rPr>
      </w:pPr>
      <w:r>
        <w:rPr>
          <w:sz w:val="24"/>
          <w:szCs w:val="24"/>
          <w:shd w:fill="auto" w:val="clear"/>
        </w:rPr>
        <w:t xml:space="preserve">Договор вступает в силу с даты его подписания Сторонами и действует </w:t>
        <w:br/>
        <w:t>до 31.01.2028 г., а в части порядка расчетов и ответственности за нарушение сторонами своих обязательств, предусмотренных настоящим договором до полного исполнения принятых на себя обязательств.</w:t>
      </w:r>
    </w:p>
    <w:p>
      <w:pPr>
        <w:pStyle w:val="Normal"/>
        <w:widowControl/>
        <w:numPr>
          <w:ilvl w:val="1"/>
          <w:numId w:val="11"/>
        </w:numPr>
        <w:snapToGrid w:val="false"/>
        <w:ind w:left="0" w:firstLine="709"/>
        <w:jc w:val="both"/>
        <w:rPr>
          <w:highlight w:val="none"/>
          <w:shd w:fill="FFFFFF" w:val="clear"/>
        </w:rPr>
      </w:pPr>
      <w:r>
        <w:rPr>
          <w:sz w:val="24"/>
          <w:szCs w:val="24"/>
          <w:shd w:fill="FFFFFF" w:val="clear"/>
        </w:rPr>
        <w:t xml:space="preserve">Договор заключается в электронной форме с использованием программно-аппаратных средств </w:t>
      </w:r>
      <w:r>
        <w:rPr>
          <w:i/>
          <w:sz w:val="24"/>
          <w:szCs w:val="24"/>
          <w:shd w:fill="FFFFFF" w:val="clear"/>
        </w:rPr>
        <w:t>электронной площадки</w:t>
      </w:r>
      <w:r>
        <w:rPr>
          <w:sz w:val="24"/>
          <w:szCs w:val="24"/>
          <w:shd w:fill="FFFFFF" w:val="clear"/>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numPr>
          <w:ilvl w:val="0"/>
          <w:numId w:val="0"/>
        </w:numPr>
        <w:ind w:left="0" w:hanging="0"/>
        <w:jc w:val="both"/>
        <w:rPr>
          <w:highlight w:val="none"/>
          <w:shd w:fill="FFFFFF" w:val="clear"/>
        </w:rPr>
      </w:pPr>
      <w:r>
        <w:rPr>
          <w:sz w:val="24"/>
          <w:szCs w:val="24"/>
          <w:shd w:fill="FFFFFF" w:val="clear"/>
        </w:rPr>
        <w:t xml:space="preserve">          </w:t>
      </w:r>
      <w:r>
        <w:rPr>
          <w:sz w:val="24"/>
          <w:szCs w:val="24"/>
          <w:shd w:fill="FFFFFF"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shd w:fill="FFFFFF" w:val="clear"/>
        </w:rPr>
        <w:footnoteReference w:id="2"/>
      </w:r>
      <w:r>
        <w:rPr>
          <w:sz w:val="24"/>
          <w:szCs w:val="24"/>
          <w:shd w:fill="FFFFFF" w:val="clear"/>
        </w:rPr>
        <w:t>.</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shd w:fill="auto" w:val="clear"/>
        </w:rPr>
      </w:pPr>
      <w:r>
        <w:rPr>
          <w:sz w:val="24"/>
          <w:szCs w:val="24"/>
          <w:shd w:fill="auto"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12.6 Договора. </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shd w:fill="auto" w:val="clear"/>
        </w:rPr>
      </w:pPr>
      <w:r>
        <w:rPr>
          <w:sz w:val="24"/>
          <w:szCs w:val="24"/>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shd w:fill="auto" w:val="clear"/>
        </w:rPr>
      </w:pPr>
      <w:r>
        <w:rPr>
          <w:sz w:val="24"/>
          <w:szCs w:val="24"/>
          <w:shd w:fill="auto" w:val="clea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shd w:fill="auto" w:val="clear"/>
        </w:rPr>
      </w:pPr>
      <w:r>
        <w:rPr>
          <w:sz w:val="24"/>
          <w:szCs w:val="24"/>
          <w:shd w:fill="auto" w:val="clear"/>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12.7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shd w:fill="auto" w:val="clear"/>
        </w:rPr>
      </w:pPr>
      <w:bookmarkStart w:id="7" w:name="_Ref361338004"/>
      <w:r>
        <w:rPr>
          <w:sz w:val="24"/>
          <w:szCs w:val="24"/>
          <w:shd w:fill="auto" w:val="clear"/>
        </w:rPr>
        <w:t>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12.7 Договора.</w:t>
      </w:r>
      <w:bookmarkEnd w:id="7"/>
      <w:r>
        <w:rPr>
          <w:sz w:val="24"/>
          <w:szCs w:val="24"/>
          <w:shd w:fill="auto" w:val="clear"/>
        </w:rPr>
        <w:t xml:space="preserve"> </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rPr>
      </w:pPr>
      <w:bookmarkStart w:id="8" w:name="_Ref361338019"/>
      <w:bookmarkEnd w:id="8"/>
      <w:r>
        <w:rPr>
          <w:sz w:val="24"/>
          <w:szCs w:val="24"/>
          <w:shd w:fill="auto" w:val="clear"/>
        </w:rPr>
        <w:t>Письма, уведомления и / или сообщения напр</w:t>
      </w:r>
      <w:r>
        <w:rPr>
          <w:sz w:val="24"/>
          <w:szCs w:val="24"/>
        </w:rPr>
        <w:t>авляются Стороне</w:t>
      </w:r>
      <w:r>
        <w:rPr>
          <w:bCs/>
          <w:sz w:val="24"/>
          <w:szCs w:val="24"/>
        </w:rPr>
        <w:t>-</w:t>
      </w:r>
      <w:r>
        <w:rPr>
          <w:sz w:val="24"/>
          <w:szCs w:val="24"/>
        </w:rPr>
        <w:t>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widowControl w:val="false"/>
        <w:numPr>
          <w:ilvl w:val="2"/>
          <w:numId w:val="11"/>
        </w:numPr>
        <w:bidi w:val="0"/>
        <w:spacing w:before="0" w:after="0"/>
        <w:ind w:left="0" w:right="0" w:firstLine="737"/>
        <w:contextualSpacing/>
        <w:jc w:val="both"/>
        <w:rPr>
          <w:rFonts w:ascii="Times New Roman" w:hAnsi="Times New Roman"/>
          <w:sz w:val="24"/>
          <w:szCs w:val="24"/>
          <w:shd w:fill="auto" w:val="clear"/>
        </w:rPr>
      </w:pPr>
      <w:r>
        <w:rPr>
          <w:bCs/>
          <w:sz w:val="24"/>
          <w:szCs w:val="24"/>
          <w:shd w:fill="auto" w:val="clear"/>
        </w:rPr>
        <w:t xml:space="preserve">Заказным почтовым отправлением с уведомлением о вручении – </w:t>
      </w:r>
      <w:r>
        <w:rPr>
          <w:sz w:val="24"/>
          <w:szCs w:val="24"/>
          <w:shd w:fill="auto"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right="0" w:firstLine="709"/>
        <w:jc w:val="both"/>
        <w:rPr>
          <w:rFonts w:ascii="Times New Roman" w:hAnsi="Times New Roman"/>
          <w:sz w:val="24"/>
          <w:szCs w:val="24"/>
          <w:shd w:fill="auto" w:val="clear"/>
        </w:rPr>
      </w:pPr>
      <w:bookmarkStart w:id="9" w:name="_Ref361338019_Копия_1"/>
      <w:bookmarkEnd w:id="9"/>
      <w:r>
        <w:rPr>
          <w:bCs/>
          <w:sz w:val="24"/>
          <w:szCs w:val="24"/>
          <w:shd w:fill="auto" w:val="clear"/>
        </w:rPr>
        <w:t xml:space="preserve">12.7.2. Доставкой лично или курьером Стороны-отправителя </w:t>
      </w:r>
      <w:r>
        <w:rPr>
          <w:sz w:val="24"/>
          <w:szCs w:val="24"/>
          <w:shd w:fill="auto" w:val="clear"/>
        </w:rPr>
        <w:t>по адресу ее места нахождения / почтовому адресу, указанному в разделе 14 Договора, или в ранее полученном уведомлении Стороны об изменении адреса</w:t>
      </w:r>
      <w:r>
        <w:rPr>
          <w:bCs/>
          <w:sz w:val="24"/>
          <w:szCs w:val="24"/>
          <w:shd w:fill="auto" w:val="clear"/>
        </w:rPr>
        <w:t xml:space="preserve"> – в дату и время фактического приема уведомления Стороной-получателем с отметкой о получении</w:t>
      </w:r>
      <w:r>
        <w:rPr>
          <w:sz w:val="24"/>
          <w:szCs w:val="24"/>
          <w:shd w:fill="auto" w:val="clear"/>
        </w:rPr>
        <w:t xml:space="preserve">. </w:t>
      </w:r>
    </w:p>
    <w:p>
      <w:pPr>
        <w:pStyle w:val="ListParagraph"/>
        <w:ind w:left="0" w:right="0" w:firstLine="720"/>
        <w:jc w:val="both"/>
        <w:rPr>
          <w:rFonts w:ascii="Times New Roman" w:hAnsi="Times New Roman"/>
          <w:sz w:val="24"/>
          <w:szCs w:val="24"/>
        </w:rPr>
      </w:pPr>
      <w:bookmarkStart w:id="10" w:name="_Ref361338032"/>
      <w:r>
        <w:rPr>
          <w:bCs/>
          <w:sz w:val="24"/>
          <w:szCs w:val="24"/>
          <w:shd w:fill="auto" w:val="clear"/>
        </w:rPr>
        <w:t xml:space="preserve">12.7.3. </w:t>
      </w:r>
      <w:bookmarkEnd w:id="10"/>
      <w:r>
        <w:rPr>
          <w:bCs/>
          <w:sz w:val="24"/>
          <w:szCs w:val="24"/>
          <w:shd w:fill="auto" w:val="clear"/>
        </w:rPr>
        <w:t>Посредством электронной почты (</w:t>
      </w:r>
      <w:r>
        <w:rPr>
          <w:bCs/>
          <w:sz w:val="24"/>
          <w:szCs w:val="24"/>
          <w:shd w:fill="auto" w:val="clear"/>
          <w:lang w:val="en-US"/>
        </w:rPr>
        <w:t>e</w:t>
      </w:r>
      <w:r>
        <w:rPr>
          <w:bCs/>
          <w:sz w:val="24"/>
          <w:szCs w:val="24"/>
          <w:shd w:fill="auto" w:val="clear"/>
        </w:rPr>
        <w:t>-</w:t>
      </w:r>
      <w:r>
        <w:rPr>
          <w:bCs/>
          <w:sz w:val="24"/>
          <w:szCs w:val="24"/>
          <w:shd w:fill="auto" w:val="clear"/>
          <w:lang w:val="en-US"/>
        </w:rPr>
        <w:t>mail</w:t>
      </w:r>
      <w:r>
        <w:rPr>
          <w:bCs/>
          <w:sz w:val="24"/>
          <w:szCs w:val="24"/>
          <w:shd w:fill="auto" w:val="clear"/>
        </w:rPr>
        <w:t>) – в дату направления электронного сообщения, за</w:t>
      </w:r>
      <w:r>
        <w:rPr>
          <w:bCs/>
          <w:sz w:val="24"/>
          <w:szCs w:val="24"/>
        </w:rPr>
        <w:t>фиксированную на почтовом сервере отправителя.</w:t>
      </w:r>
    </w:p>
    <w:p>
      <w:pPr>
        <w:pStyle w:val="ListParagraph"/>
        <w:shd w:val="clear" w:fill="FFFFFF"/>
        <w:tabs>
          <w:tab w:val="clear" w:pos="367"/>
          <w:tab w:val="left" w:pos="0" w:leader="none"/>
          <w:tab w:val="left" w:pos="1418" w:leader="none"/>
          <w:tab w:val="left" w:pos="1701" w:leader="none"/>
        </w:tabs>
        <w:ind w:left="0" w:right="0" w:firstLine="709"/>
        <w:jc w:val="both"/>
        <w:rPr>
          <w:rFonts w:ascii="Times New Roman" w:hAnsi="Times New Roman"/>
          <w:bCs/>
          <w:sz w:val="24"/>
          <w:szCs w:val="24"/>
        </w:rPr>
      </w:pPr>
      <w:r>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12.7.1 – 12.7.2 Договора.</w:t>
      </w:r>
    </w:p>
    <w:p>
      <w:pPr>
        <w:pStyle w:val="ListParagraph"/>
        <w:shd w:val="clear" w:fill="FFFFFF"/>
        <w:tabs>
          <w:tab w:val="clear" w:pos="367"/>
          <w:tab w:val="left" w:pos="0" w:leader="none"/>
          <w:tab w:val="left" w:pos="1134" w:leader="none"/>
          <w:tab w:val="left" w:pos="1418" w:leader="none"/>
          <w:tab w:val="left" w:pos="1701" w:leader="none"/>
        </w:tabs>
        <w:ind w:left="0" w:right="0" w:firstLine="709"/>
        <w:jc w:val="both"/>
        <w:rPr>
          <w:rFonts w:ascii="Times New Roman" w:hAnsi="Times New Roman"/>
          <w:sz w:val="24"/>
          <w:szCs w:val="24"/>
        </w:rPr>
      </w:pPr>
      <w:r>
        <w:rPr>
          <w:bCs/>
          <w:sz w:val="24"/>
          <w:szCs w:val="24"/>
        </w:rPr>
        <w:t xml:space="preserve">В случае заключения Соглашения, согласно которому </w:t>
      </w:r>
      <w:r>
        <w:rPr>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11"/>
        </w:numPr>
        <w:tabs>
          <w:tab w:val="clear" w:pos="367"/>
          <w:tab w:val="left" w:pos="0" w:leader="none"/>
          <w:tab w:val="left" w:pos="1418" w:leader="none"/>
        </w:tabs>
        <w:ind w:left="0" w:right="0" w:firstLine="709"/>
        <w:jc w:val="both"/>
        <w:rPr>
          <w:rFonts w:ascii="Times New Roman" w:hAnsi="Times New Roman"/>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rPr>
      </w:pPr>
      <w:r>
        <w:rPr>
          <w:sz w:val="24"/>
          <w:szCs w:val="24"/>
        </w:rPr>
        <w:t>Уступка (передача), в том числе в залог, прав (требований) к Покупателю</w:t>
        <w:br/>
        <w:t>по денежным обязательствам, возникших из Договора и принадлежащих Продавцу,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1"/>
        </w:numPr>
        <w:shd w:val="clear" w:fill="FFFFFF"/>
        <w:tabs>
          <w:tab w:val="clear" w:pos="367"/>
          <w:tab w:val="left" w:pos="0" w:leader="none"/>
          <w:tab w:val="left" w:pos="1418" w:leader="none"/>
        </w:tabs>
        <w:ind w:left="0" w:right="0" w:firstLine="709"/>
        <w:jc w:val="both"/>
        <w:rPr>
          <w:rFonts w:ascii="Times New Roman" w:hAnsi="Times New Roman"/>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11"/>
        </w:numPr>
        <w:shd w:val="clear" w:fill="FFFFFF"/>
        <w:tabs>
          <w:tab w:val="clear" w:pos="367"/>
          <w:tab w:val="left" w:pos="709" w:leader="none"/>
          <w:tab w:val="left" w:pos="851" w:leader="none"/>
          <w:tab w:val="left" w:pos="993" w:leader="none"/>
          <w:tab w:val="left" w:pos="1134" w:leader="none"/>
          <w:tab w:val="left" w:pos="1419" w:leader="none"/>
        </w:tabs>
        <w:ind w:left="0" w:right="0" w:firstLine="709"/>
        <w:jc w:val="both"/>
        <w:rPr>
          <w:rFonts w:ascii="Times New Roman" w:hAnsi="Times New Roman"/>
          <w:bCs/>
          <w:iCs/>
          <w:sz w:val="24"/>
          <w:szCs w:val="24"/>
        </w:rPr>
      </w:pPr>
      <w:r>
        <w:rPr>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Standard"/>
        <w:numPr>
          <w:ilvl w:val="0"/>
          <w:numId w:val="11"/>
        </w:numPr>
        <w:tabs>
          <w:tab w:val="clear" w:pos="367"/>
          <w:tab w:val="left" w:pos="1134" w:leader="none"/>
        </w:tabs>
        <w:ind w:left="0" w:right="0" w:firstLine="709"/>
        <w:jc w:val="both"/>
        <w:rPr>
          <w:rFonts w:ascii="Times New Roman" w:hAnsi="Times New Roman"/>
          <w:bCs/>
          <w:iCs/>
          <w:sz w:val="24"/>
          <w:szCs w:val="24"/>
        </w:rPr>
      </w:pPr>
      <w:r>
        <w:rPr>
          <w:bCs/>
          <w:iCs/>
          <w:sz w:val="24"/>
          <w:szCs w:val="24"/>
        </w:rPr>
        <w:t>Не позднее 5 календарных дней с момента заключения договора предоставить Покупателю информацию (по форме согласно Приложению № 2 к договору)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исполнительных органах контрагента, предоставлять соответствующую информацию не позднее 5 календарных дней после таких изменений. Непредставление Поставщиком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Покупателем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Normal"/>
        <w:widowControl/>
        <w:numPr>
          <w:ilvl w:val="0"/>
          <w:numId w:val="11"/>
        </w:numPr>
        <w:shd w:val="clear" w:fill="FFFFFF"/>
        <w:spacing w:before="0" w:after="0"/>
        <w:ind w:left="0" w:right="0" w:hanging="0"/>
        <w:contextualSpacing/>
        <w:jc w:val="center"/>
        <w:rPr>
          <w:rFonts w:ascii="Times New Roman" w:hAnsi="Times New Roman"/>
          <w:b/>
          <w:bCs/>
          <w:sz w:val="24"/>
          <w:szCs w:val="24"/>
        </w:rPr>
      </w:pPr>
      <w:r>
        <w:rPr>
          <w:b/>
          <w:bCs/>
          <w:sz w:val="24"/>
          <w:szCs w:val="24"/>
        </w:rPr>
        <w:t xml:space="preserve">Список приложений </w:t>
      </w:r>
    </w:p>
    <w:p>
      <w:pPr>
        <w:pStyle w:val="Normal"/>
        <w:widowControl/>
        <w:shd w:val="clear" w:fill="FFFFFF"/>
        <w:tabs>
          <w:tab w:val="clear" w:pos="367"/>
          <w:tab w:val="left" w:pos="0" w:leader="none"/>
        </w:tabs>
        <w:suppressAutoHyphens w:val="true"/>
        <w:ind w:left="0" w:right="0" w:firstLine="709"/>
        <w:jc w:val="both"/>
        <w:rPr>
          <w:rFonts w:ascii="Times New Roman" w:hAnsi="Times New Roman"/>
          <w:sz w:val="24"/>
          <w:szCs w:val="24"/>
        </w:rPr>
      </w:pPr>
      <w:r>
        <w:rPr>
          <w:rFonts w:eastAsia="Calibri"/>
          <w:sz w:val="24"/>
          <w:szCs w:val="24"/>
          <w:lang w:eastAsia="en-US"/>
        </w:rPr>
        <w:t>Приложение № 1 – Коммерческое предложение;</w:t>
      </w:r>
    </w:p>
    <w:p>
      <w:pPr>
        <w:pStyle w:val="Standard"/>
        <w:widowControl/>
        <w:tabs>
          <w:tab w:val="clear" w:pos="367"/>
          <w:tab w:val="left" w:pos="0" w:leader="none"/>
          <w:tab w:val="left" w:pos="2694" w:leader="none"/>
        </w:tabs>
        <w:ind w:left="0" w:right="0" w:firstLine="709"/>
        <w:jc w:val="both"/>
        <w:rPr>
          <w:rFonts w:ascii="Times New Roman" w:hAnsi="Times New Roman"/>
          <w:sz w:val="24"/>
          <w:szCs w:val="24"/>
        </w:rPr>
      </w:pPr>
      <w:r>
        <w:rPr>
          <w:rFonts w:eastAsia="Calibri"/>
          <w:bCs/>
          <w:sz w:val="24"/>
          <w:szCs w:val="24"/>
          <w:lang w:eastAsia="en-US"/>
        </w:rPr>
        <w:t>Приложение № 2 – Информация о контрагенте.</w:t>
      </w:r>
    </w:p>
    <w:p>
      <w:pPr>
        <w:pStyle w:val="Standard"/>
        <w:widowControl/>
        <w:tabs>
          <w:tab w:val="clear" w:pos="367"/>
          <w:tab w:val="left" w:pos="0" w:leader="none"/>
          <w:tab w:val="left" w:pos="2694" w:leader="none"/>
        </w:tabs>
        <w:ind w:left="0" w:right="0" w:firstLine="709"/>
        <w:jc w:val="both"/>
        <w:rPr>
          <w:rFonts w:eastAsia="Calibri"/>
          <w:bCs/>
          <w:lang w:eastAsia="en-US"/>
        </w:rPr>
      </w:pPr>
      <w:r>
        <w:rPr>
          <w:rFonts w:eastAsia="Calibri"/>
          <w:bCs/>
          <w:lang w:eastAsia="en-US"/>
        </w:rPr>
      </w:r>
    </w:p>
    <w:p>
      <w:pPr>
        <w:pStyle w:val="ListParagraph"/>
        <w:widowControl/>
        <w:numPr>
          <w:ilvl w:val="0"/>
          <w:numId w:val="11"/>
        </w:numPr>
        <w:shd w:val="clear" w:fill="FFFFFF"/>
        <w:ind w:left="0" w:right="0" w:hanging="0"/>
        <w:jc w:val="center"/>
        <w:rPr>
          <w:rFonts w:ascii="Times New Roman" w:hAnsi="Times New Roman"/>
          <w:b/>
          <w:bCs/>
          <w:sz w:val="24"/>
          <w:szCs w:val="24"/>
        </w:rPr>
      </w:pPr>
      <w:r>
        <w:rPr>
          <w:b/>
          <w:bCs/>
          <w:sz w:val="24"/>
          <w:szCs w:val="24"/>
        </w:rPr>
        <w:t>Адреса и платежные реквизиты Сторон</w:t>
      </w:r>
    </w:p>
    <w:tbl>
      <w:tblPr>
        <w:tblW w:w="9808" w:type="dxa"/>
        <w:jc w:val="left"/>
        <w:tblInd w:w="-108" w:type="dxa"/>
        <w:tblLayout w:type="fixed"/>
        <w:tblCellMar>
          <w:top w:w="0" w:type="dxa"/>
          <w:left w:w="108" w:type="dxa"/>
          <w:bottom w:w="0" w:type="dxa"/>
          <w:right w:w="108" w:type="dxa"/>
        </w:tblCellMar>
      </w:tblPr>
      <w:tblGrid>
        <w:gridCol w:w="5630"/>
        <w:gridCol w:w="137"/>
        <w:gridCol w:w="3922"/>
        <w:gridCol w:w="119"/>
      </w:tblGrid>
      <w:tr>
        <w:trPr/>
        <w:tc>
          <w:tcPr>
            <w:tcW w:w="5767" w:type="dxa"/>
            <w:gridSpan w:val="2"/>
            <w:tcBorders/>
          </w:tcPr>
          <w:p>
            <w:pPr>
              <w:pStyle w:val="Normal"/>
              <w:widowControl w:val="false"/>
              <w:rPr>
                <w:rFonts w:ascii="Times New Roman" w:hAnsi="Times New Roman"/>
                <w:b/>
                <w:sz w:val="24"/>
                <w:szCs w:val="24"/>
                <w:shd w:fill="auto" w:val="clear"/>
              </w:rPr>
            </w:pPr>
            <w:r>
              <w:rPr>
                <w:b/>
                <w:sz w:val="24"/>
                <w:szCs w:val="24"/>
                <w:shd w:fill="auto" w:val="clear"/>
              </w:rPr>
              <w:t>Покупатель:</w:t>
            </w:r>
          </w:p>
        </w:tc>
        <w:tc>
          <w:tcPr>
            <w:tcW w:w="4041" w:type="dxa"/>
            <w:gridSpan w:val="2"/>
            <w:tcBorders/>
          </w:tcPr>
          <w:p>
            <w:pPr>
              <w:pStyle w:val="Normal"/>
              <w:widowControl w:val="false"/>
              <w:rPr>
                <w:rFonts w:ascii="Times New Roman" w:hAnsi="Times New Roman"/>
                <w:b/>
                <w:sz w:val="24"/>
                <w:szCs w:val="24"/>
                <w:shd w:fill="auto" w:val="clear"/>
              </w:rPr>
            </w:pPr>
            <w:r>
              <w:rPr>
                <w:b/>
                <w:sz w:val="24"/>
                <w:szCs w:val="24"/>
                <w:shd w:fill="auto" w:val="clear"/>
              </w:rPr>
              <w:t>Продавец:</w:t>
            </w:r>
          </w:p>
        </w:tc>
      </w:tr>
      <w:tr>
        <w:trPr/>
        <w:tc>
          <w:tcPr>
            <w:tcW w:w="5630" w:type="dxa"/>
            <w:tcBorders/>
          </w:tcPr>
          <w:p>
            <w:pPr>
              <w:pStyle w:val="Normal"/>
              <w:widowControl w:val="false"/>
              <w:rPr>
                <w:rFonts w:ascii="Times New Roman" w:hAnsi="Times New Roman"/>
                <w:sz w:val="24"/>
                <w:szCs w:val="24"/>
              </w:rPr>
            </w:pPr>
            <w:r>
              <w:rPr>
                <w:sz w:val="24"/>
                <w:szCs w:val="24"/>
              </w:rPr>
              <w:t>АО «ДРСК»</w:t>
            </w:r>
          </w:p>
          <w:p>
            <w:pPr>
              <w:pStyle w:val="Normal"/>
              <w:widowControl w:val="false"/>
              <w:rPr>
                <w:rFonts w:ascii="Times New Roman" w:hAnsi="Times New Roman"/>
                <w:sz w:val="24"/>
                <w:szCs w:val="24"/>
              </w:rPr>
            </w:pPr>
            <w:r>
              <w:rPr>
                <w:sz w:val="24"/>
                <w:szCs w:val="24"/>
              </w:rPr>
              <w:t>675004, г. Благовещенск, ул. Шевченко,32</w:t>
            </w:r>
          </w:p>
          <w:p>
            <w:pPr>
              <w:pStyle w:val="Normal"/>
              <w:widowControl w:val="false"/>
              <w:rPr>
                <w:rFonts w:ascii="Times New Roman" w:hAnsi="Times New Roman"/>
                <w:sz w:val="24"/>
                <w:szCs w:val="24"/>
              </w:rPr>
            </w:pPr>
            <w:r>
              <w:rPr>
                <w:sz w:val="24"/>
                <w:szCs w:val="24"/>
              </w:rPr>
              <w:t xml:space="preserve">ИНН 2801108200 </w:t>
            </w:r>
          </w:p>
          <w:p>
            <w:pPr>
              <w:pStyle w:val="Normal"/>
              <w:widowControl w:val="false"/>
              <w:rPr>
                <w:rFonts w:ascii="Times New Roman" w:hAnsi="Times New Roman"/>
                <w:sz w:val="24"/>
                <w:szCs w:val="24"/>
              </w:rPr>
            </w:pPr>
            <w:r>
              <w:rPr>
                <w:sz w:val="24"/>
                <w:szCs w:val="24"/>
              </w:rPr>
              <w:t>р/с  40702810003010113258</w:t>
            </w:r>
          </w:p>
          <w:p>
            <w:pPr>
              <w:pStyle w:val="Normal"/>
              <w:widowControl w:val="false"/>
              <w:rPr>
                <w:rFonts w:ascii="Times New Roman" w:hAnsi="Times New Roman"/>
                <w:sz w:val="24"/>
                <w:szCs w:val="24"/>
              </w:rPr>
            </w:pPr>
            <w:r>
              <w:rPr>
                <w:sz w:val="24"/>
                <w:szCs w:val="24"/>
              </w:rPr>
              <w:t>ДАЛЬНЕВОСТОЧНЫЙ БАНК</w:t>
            </w:r>
          </w:p>
          <w:p>
            <w:pPr>
              <w:pStyle w:val="Normal"/>
              <w:widowControl w:val="false"/>
              <w:rPr>
                <w:rFonts w:ascii="Times New Roman" w:hAnsi="Times New Roman"/>
                <w:sz w:val="24"/>
                <w:szCs w:val="24"/>
              </w:rPr>
            </w:pPr>
            <w:r>
              <w:rPr>
                <w:sz w:val="24"/>
                <w:szCs w:val="24"/>
              </w:rPr>
              <w:t>ПАО СБЕРБАНК" Г.ХАБАРОВСК</w:t>
            </w:r>
          </w:p>
          <w:p>
            <w:pPr>
              <w:pStyle w:val="Normal"/>
              <w:widowControl w:val="false"/>
              <w:rPr>
                <w:rFonts w:ascii="Times New Roman" w:hAnsi="Times New Roman"/>
                <w:sz w:val="24"/>
                <w:szCs w:val="24"/>
              </w:rPr>
            </w:pPr>
            <w:r>
              <w:rPr>
                <w:sz w:val="24"/>
                <w:szCs w:val="24"/>
              </w:rPr>
              <w:t>к/с 30101810600000000608</w:t>
            </w:r>
          </w:p>
          <w:p>
            <w:pPr>
              <w:pStyle w:val="Normal"/>
              <w:widowControl w:val="false"/>
              <w:rPr>
                <w:rFonts w:ascii="Times New Roman" w:hAnsi="Times New Roman"/>
                <w:sz w:val="24"/>
                <w:szCs w:val="24"/>
              </w:rPr>
            </w:pPr>
            <w:r>
              <w:rPr>
                <w:sz w:val="24"/>
                <w:szCs w:val="24"/>
              </w:rPr>
              <w:t>БИК 040813608</w:t>
            </w:r>
          </w:p>
          <w:p>
            <w:pPr>
              <w:pStyle w:val="Normal"/>
              <w:widowControl w:val="false"/>
              <w:rPr>
                <w:rFonts w:ascii="Times New Roman" w:hAnsi="Times New Roman"/>
                <w:sz w:val="24"/>
                <w:szCs w:val="24"/>
              </w:rPr>
            </w:pPr>
            <w:r>
              <w:rPr>
                <w:sz w:val="24"/>
                <w:szCs w:val="24"/>
              </w:rPr>
              <w:t>Грузополучатель: Филиал АО «ДРСК»  «Амурские электрические сети»</w:t>
            </w:r>
          </w:p>
          <w:p>
            <w:pPr>
              <w:pStyle w:val="Normal"/>
              <w:widowControl w:val="false"/>
              <w:rPr>
                <w:rFonts w:ascii="Times New Roman" w:hAnsi="Times New Roman"/>
                <w:sz w:val="24"/>
                <w:szCs w:val="24"/>
              </w:rPr>
            </w:pPr>
            <w:r>
              <w:rPr>
                <w:sz w:val="24"/>
                <w:szCs w:val="24"/>
              </w:rPr>
              <w:t>675004, г. Благовещенск, ул. Шевченко, 28</w:t>
            </w:r>
          </w:p>
          <w:p>
            <w:pPr>
              <w:pStyle w:val="Normal"/>
              <w:widowControl w:val="false"/>
              <w:rPr>
                <w:rFonts w:ascii="Times New Roman" w:hAnsi="Times New Roman"/>
                <w:sz w:val="24"/>
                <w:szCs w:val="24"/>
              </w:rPr>
            </w:pPr>
            <w:r>
              <w:rPr>
                <w:sz w:val="24"/>
                <w:szCs w:val="24"/>
              </w:rPr>
              <w:t>тел. (4162) 39-92-81.</w:t>
            </w:r>
          </w:p>
          <w:p>
            <w:pPr>
              <w:pStyle w:val="Normal"/>
              <w:widowControl w:val="false"/>
              <w:rPr>
                <w:rFonts w:ascii="Times New Roman" w:hAnsi="Times New Roman"/>
                <w:sz w:val="24"/>
                <w:szCs w:val="24"/>
              </w:rPr>
            </w:pPr>
            <w:r>
              <w:rPr>
                <w:sz w:val="24"/>
                <w:szCs w:val="24"/>
              </w:rPr>
              <w:t>ИНН 2801108200  КПП 280102003</w:t>
            </w:r>
          </w:p>
          <w:p>
            <w:pPr>
              <w:pStyle w:val="Normal"/>
              <w:widowControl w:val="false"/>
              <w:rPr>
                <w:rFonts w:ascii="Times New Roman" w:hAnsi="Times New Roman"/>
                <w:sz w:val="24"/>
                <w:szCs w:val="24"/>
              </w:rPr>
            </w:pPr>
            <w:r>
              <w:rPr>
                <w:sz w:val="24"/>
                <w:szCs w:val="24"/>
              </w:rPr>
              <w:t>Ответственный исполнитель по договору:</w:t>
            </w:r>
          </w:p>
          <w:p>
            <w:pPr>
              <w:pStyle w:val="Normal"/>
              <w:widowControl w:val="false"/>
              <w:rPr>
                <w:rFonts w:ascii="Times New Roman" w:hAnsi="Times New Roman"/>
                <w:sz w:val="24"/>
                <w:szCs w:val="24"/>
              </w:rPr>
            </w:pPr>
            <w:r>
              <w:rPr>
                <w:sz w:val="24"/>
                <w:szCs w:val="24"/>
              </w:rPr>
              <w:t>Бирюкова Ольга Николаевна</w:t>
            </w:r>
          </w:p>
          <w:p>
            <w:pPr>
              <w:pStyle w:val="Normal"/>
              <w:widowControl w:val="false"/>
              <w:rPr>
                <w:rFonts w:ascii="Times New Roman" w:hAnsi="Times New Roman"/>
                <w:sz w:val="24"/>
                <w:szCs w:val="24"/>
              </w:rPr>
            </w:pPr>
            <w:r>
              <w:rPr>
                <w:sz w:val="24"/>
                <w:szCs w:val="24"/>
                <w:lang w:val="en-US"/>
              </w:rPr>
              <w:t>e</w:t>
            </w:r>
            <w:r>
              <w:rPr>
                <w:sz w:val="24"/>
                <w:szCs w:val="24"/>
              </w:rPr>
              <w:t>-</w:t>
            </w:r>
            <w:r>
              <w:rPr>
                <w:sz w:val="24"/>
                <w:szCs w:val="24"/>
                <w:lang w:val="en-US"/>
              </w:rPr>
              <w:t>mail</w:t>
            </w:r>
            <w:r>
              <w:rPr>
                <w:sz w:val="24"/>
                <w:szCs w:val="24"/>
              </w:rPr>
              <w:t xml:space="preserve">: </w:t>
            </w:r>
            <w:r>
              <w:rPr>
                <w:sz w:val="24"/>
                <w:szCs w:val="24"/>
                <w:lang w:val="en-US"/>
              </w:rPr>
              <w:t>Korotaeva</w:t>
            </w:r>
            <w:r>
              <w:rPr>
                <w:sz w:val="24"/>
                <w:szCs w:val="24"/>
              </w:rPr>
              <w:t>-</w:t>
            </w:r>
            <w:r>
              <w:rPr>
                <w:sz w:val="24"/>
                <w:szCs w:val="24"/>
                <w:lang w:val="en-US"/>
              </w:rPr>
              <w:t>TV</w:t>
            </w:r>
            <w:r>
              <w:rPr>
                <w:sz w:val="24"/>
                <w:szCs w:val="24"/>
              </w:rPr>
              <w:t>@</w:t>
            </w:r>
            <w:r>
              <w:rPr>
                <w:sz w:val="24"/>
                <w:szCs w:val="24"/>
                <w:lang w:val="en-US"/>
              </w:rPr>
              <w:t>amur</w:t>
            </w:r>
            <w:r>
              <w:rPr>
                <w:sz w:val="24"/>
                <w:szCs w:val="24"/>
              </w:rPr>
              <w:t>.</w:t>
            </w:r>
            <w:r>
              <w:rPr>
                <w:sz w:val="24"/>
                <w:szCs w:val="24"/>
                <w:lang w:val="en-US"/>
              </w:rPr>
              <w:t>drsk</w:t>
            </w:r>
            <w:r>
              <w:rPr>
                <w:sz w:val="24"/>
                <w:szCs w:val="24"/>
              </w:rPr>
              <w:t>.</w:t>
            </w:r>
            <w:r>
              <w:rPr>
                <w:sz w:val="24"/>
                <w:szCs w:val="24"/>
                <w:lang w:val="en-US"/>
              </w:rPr>
              <w:t>ru</w:t>
            </w:r>
          </w:p>
          <w:p>
            <w:pPr>
              <w:pStyle w:val="Normal"/>
              <w:widowControl w:val="false"/>
              <w:tabs>
                <w:tab w:val="clear" w:pos="367"/>
                <w:tab w:val="left" w:pos="0" w:leader="none"/>
                <w:tab w:val="left" w:pos="1134" w:leader="none"/>
              </w:tabs>
              <w:ind w:left="0" w:right="282" w:hanging="0"/>
              <w:rPr>
                <w:rFonts w:ascii="Times New Roman" w:hAnsi="Times New Roman"/>
                <w:sz w:val="24"/>
                <w:szCs w:val="24"/>
              </w:rPr>
            </w:pPr>
            <w:r>
              <w:rPr>
                <w:sz w:val="24"/>
                <w:szCs w:val="24"/>
              </w:rPr>
              <w:t>Тел.: (4162)399-281</w:t>
            </w:r>
          </w:p>
          <w:p>
            <w:pPr>
              <w:pStyle w:val="Normal"/>
              <w:widowControl w:val="false"/>
              <w:rPr>
                <w:rFonts w:ascii="Times New Roman" w:hAnsi="Times New Roman"/>
                <w:sz w:val="24"/>
                <w:szCs w:val="24"/>
              </w:rPr>
            </w:pPr>
            <w:r>
              <w:rPr>
                <w:sz w:val="24"/>
                <w:szCs w:val="24"/>
              </w:rPr>
            </w:r>
          </w:p>
          <w:p>
            <w:pPr>
              <w:pStyle w:val="Normal"/>
              <w:widowControl w:val="false"/>
              <w:rPr>
                <w:rFonts w:ascii="Times New Roman" w:hAnsi="Times New Roman"/>
                <w:b/>
                <w:sz w:val="24"/>
                <w:szCs w:val="24"/>
              </w:rPr>
            </w:pPr>
            <w:r>
              <w:rPr>
                <w:b/>
                <w:sz w:val="24"/>
                <w:szCs w:val="24"/>
              </w:rPr>
            </w:r>
          </w:p>
        </w:tc>
        <w:tc>
          <w:tcPr>
            <w:tcW w:w="4059" w:type="dxa"/>
            <w:gridSpan w:val="2"/>
            <w:tcBorders/>
          </w:tcPr>
          <w:p>
            <w:pPr>
              <w:pStyle w:val="Normal"/>
              <w:widowControl w:val="false"/>
              <w:rPr>
                <w:rFonts w:ascii="Times New Roman" w:hAnsi="Times New Roman"/>
                <w:color w:val="000000"/>
                <w:sz w:val="24"/>
                <w:szCs w:val="24"/>
              </w:rPr>
            </w:pPr>
            <w:r>
              <w:rPr>
                <w:color w:val="000000"/>
                <w:sz w:val="24"/>
                <w:szCs w:val="24"/>
              </w:rPr>
              <w:t xml:space="preserve"> </w:t>
            </w:r>
          </w:p>
          <w:p>
            <w:pPr>
              <w:pStyle w:val="Normal"/>
              <w:widowControl w:val="false"/>
              <w:rPr>
                <w:rFonts w:ascii="Times New Roman" w:hAnsi="Times New Roman"/>
                <w:color w:val="000000"/>
                <w:sz w:val="24"/>
                <w:szCs w:val="24"/>
              </w:rPr>
            </w:pPr>
            <w:r>
              <w:rPr>
                <w:color w:val="000000"/>
                <w:sz w:val="24"/>
                <w:szCs w:val="24"/>
              </w:rPr>
            </w:r>
          </w:p>
          <w:p>
            <w:pPr>
              <w:pStyle w:val="Normal"/>
              <w:widowControl w:val="false"/>
              <w:ind w:left="360" w:right="0" w:hanging="0"/>
              <w:rPr>
                <w:rFonts w:ascii="Times New Roman" w:hAnsi="Times New Roman"/>
                <w:color w:val="000000"/>
                <w:sz w:val="24"/>
                <w:szCs w:val="24"/>
              </w:rPr>
            </w:pPr>
            <w:r>
              <w:rPr>
                <w:color w:val="000000"/>
                <w:sz w:val="24"/>
                <w:szCs w:val="24"/>
              </w:rPr>
            </w:r>
          </w:p>
          <w:p>
            <w:pPr>
              <w:pStyle w:val="Normal"/>
              <w:widowControl w:val="false"/>
              <w:ind w:left="360" w:right="0" w:hanging="0"/>
              <w:rPr>
                <w:rFonts w:ascii="Times New Roman" w:hAnsi="Times New Roman"/>
                <w:color w:val="000000"/>
                <w:sz w:val="24"/>
                <w:szCs w:val="24"/>
              </w:rPr>
            </w:pPr>
            <w:r>
              <w:rPr>
                <w:color w:val="000000"/>
                <w:sz w:val="24"/>
                <w:szCs w:val="24"/>
              </w:rPr>
              <w:t xml:space="preserve">  </w:t>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360" w:right="0" w:hanging="0"/>
              <w:rPr>
                <w:rFonts w:ascii="Times New Roman" w:hAnsi="Times New Roman"/>
                <w:b/>
                <w:sz w:val="24"/>
                <w:szCs w:val="24"/>
              </w:rPr>
            </w:pPr>
            <w:r>
              <w:rPr>
                <w:b/>
                <w:sz w:val="24"/>
                <w:szCs w:val="24"/>
              </w:rPr>
            </w:r>
          </w:p>
          <w:p>
            <w:pPr>
              <w:pStyle w:val="Normal"/>
              <w:widowControl w:val="false"/>
              <w:ind w:left="0" w:right="612" w:hanging="0"/>
              <w:jc w:val="both"/>
              <w:rPr>
                <w:rFonts w:ascii="Times New Roman" w:hAnsi="Times New Roman"/>
                <w:b/>
                <w:sz w:val="24"/>
                <w:szCs w:val="24"/>
              </w:rPr>
            </w:pPr>
            <w:r>
              <w:rPr>
                <w:b/>
                <w:sz w:val="24"/>
                <w:szCs w:val="24"/>
              </w:rPr>
            </w:r>
          </w:p>
          <w:p>
            <w:pPr>
              <w:pStyle w:val="Normal"/>
              <w:widowControl w:val="false"/>
              <w:ind w:left="0" w:right="612" w:hanging="0"/>
              <w:jc w:val="both"/>
              <w:rPr>
                <w:rFonts w:ascii="Times New Roman" w:hAnsi="Times New Roman"/>
                <w:b/>
                <w:sz w:val="24"/>
                <w:szCs w:val="24"/>
              </w:rPr>
            </w:pPr>
            <w:r>
              <w:rPr>
                <w:b/>
                <w:sz w:val="24"/>
                <w:szCs w:val="24"/>
              </w:rPr>
            </w:r>
          </w:p>
          <w:p>
            <w:pPr>
              <w:pStyle w:val="Normal"/>
              <w:widowControl w:val="false"/>
              <w:rPr>
                <w:rFonts w:ascii="Times New Roman" w:hAnsi="Times New Roman"/>
                <w:sz w:val="24"/>
                <w:szCs w:val="24"/>
              </w:rPr>
            </w:pPr>
            <w:r>
              <w:rPr>
                <w:b/>
                <w:sz w:val="24"/>
                <w:szCs w:val="24"/>
              </w:rPr>
              <w:t xml:space="preserve">     </w:t>
            </w:r>
            <w:r>
              <w:rPr>
                <w:b/>
                <w:sz w:val="24"/>
                <w:szCs w:val="24"/>
              </w:rPr>
              <w:t>_____________</w:t>
            </w:r>
            <w:r>
              <w:rPr>
                <w:color w:val="000000"/>
                <w:sz w:val="24"/>
                <w:szCs w:val="24"/>
              </w:rPr>
              <w:t xml:space="preserve">                                                 </w:t>
            </w:r>
          </w:p>
        </w:tc>
        <w:tc>
          <w:tcPr>
            <w:tcW w:w="119" w:type="dxa"/>
            <w:tcBorders/>
          </w:tcPr>
          <w:p>
            <w:pPr>
              <w:pStyle w:val="Normal"/>
              <w:widowControl w:val="false"/>
              <w:rPr>
                <w:rFonts w:ascii="Times New Roman" w:hAnsi="Times New Roman"/>
                <w:sz w:val="24"/>
                <w:szCs w:val="24"/>
              </w:rPr>
            </w:pPr>
            <w:r>
              <w:rPr>
                <w:sz w:val="24"/>
                <w:szCs w:val="24"/>
              </w:rPr>
            </w:r>
          </w:p>
        </w:tc>
      </w:tr>
    </w:tbl>
    <w:p>
      <w:pPr>
        <w:sectPr>
          <w:headerReference w:type="default" r:id="rId6"/>
          <w:headerReference w:type="first" r:id="rId7"/>
          <w:footnotePr>
            <w:numFmt w:val="decimal"/>
          </w:footnotePr>
          <w:type w:val="nextPage"/>
          <w:pgSz w:w="11906" w:h="16838"/>
          <w:pgMar w:left="1418" w:right="851" w:gutter="0" w:header="964" w:top="1389" w:footer="0" w:bottom="1134"/>
          <w:pgNumType w:fmt="decimal"/>
          <w:formProt w:val="false"/>
          <w:textDirection w:val="lrTb"/>
          <w:docGrid w:type="default" w:linePitch="360" w:charSpace="1638"/>
        </w:sectPr>
      </w:pPr>
    </w:p>
    <w:p>
      <w:pPr>
        <w:pStyle w:val="Normal"/>
        <w:suppressAutoHyphens w:val="true"/>
        <w:ind w:left="0" w:right="0" w:firstLine="4820"/>
        <w:jc w:val="right"/>
        <w:rPr>
          <w:rFonts w:ascii="Times New Roman" w:hAnsi="Times New Roman"/>
          <w:sz w:val="24"/>
          <w:szCs w:val="24"/>
        </w:rPr>
      </w:pPr>
      <w:r>
        <w:rPr>
          <w:sz w:val="24"/>
          <w:szCs w:val="24"/>
        </w:rPr>
        <w:t>Приложение № 1</w:t>
      </w:r>
    </w:p>
    <w:p>
      <w:pPr>
        <w:pStyle w:val="Normal"/>
        <w:suppressAutoHyphens w:val="true"/>
        <w:ind w:left="0" w:right="0" w:firstLine="4820"/>
        <w:jc w:val="right"/>
        <w:rPr>
          <w:rFonts w:ascii="Times New Roman" w:hAnsi="Times New Roman"/>
          <w:sz w:val="24"/>
          <w:szCs w:val="24"/>
        </w:rPr>
      </w:pPr>
      <w:r>
        <w:rPr>
          <w:sz w:val="24"/>
          <w:szCs w:val="24"/>
        </w:rPr>
        <w:t>к Договору купли-продажи</w:t>
      </w:r>
    </w:p>
    <w:p>
      <w:pPr>
        <w:pStyle w:val="Normal"/>
        <w:suppressAutoHyphens w:val="true"/>
        <w:ind w:left="0" w:right="0" w:firstLine="4820"/>
        <w:jc w:val="right"/>
        <w:rPr>
          <w:rFonts w:ascii="Times New Roman" w:hAnsi="Times New Roman"/>
          <w:sz w:val="24"/>
          <w:szCs w:val="24"/>
        </w:rPr>
      </w:pPr>
      <w:r>
        <w:rPr>
          <w:sz w:val="24"/>
          <w:szCs w:val="24"/>
        </w:rPr>
        <w:t>от «____» _____202__г. № _____</w:t>
      </w:r>
    </w:p>
    <w:p>
      <w:pPr>
        <w:pStyle w:val="Normal"/>
        <w:widowControl/>
        <w:suppressAutoHyphens w:val="true"/>
        <w:ind w:left="0" w:right="0" w:firstLine="709"/>
        <w:rPr>
          <w:rFonts w:ascii="Times New Roman" w:hAnsi="Times New Roman" w:eastAsia="Calibri"/>
          <w:b/>
          <w:sz w:val="24"/>
          <w:szCs w:val="24"/>
          <w:lang w:eastAsia="en-US"/>
        </w:rPr>
      </w:pPr>
      <w:r>
        <w:rPr>
          <w:rFonts w:eastAsia="Calibri"/>
          <w:b/>
          <w:sz w:val="24"/>
          <w:szCs w:val="24"/>
          <w:lang w:eastAsia="en-US"/>
        </w:rPr>
      </w:r>
    </w:p>
    <w:p>
      <w:pPr>
        <w:pStyle w:val="Normal"/>
        <w:ind w:left="0" w:right="0" w:firstLine="709"/>
        <w:jc w:val="center"/>
        <w:rPr>
          <w:rFonts w:ascii="Times New Roman" w:hAnsi="Times New Roman"/>
          <w:b/>
          <w:sz w:val="24"/>
          <w:szCs w:val="24"/>
        </w:rPr>
      </w:pPr>
      <w:r>
        <w:rPr>
          <w:b/>
          <w:sz w:val="24"/>
          <w:szCs w:val="24"/>
        </w:rPr>
      </w:r>
    </w:p>
    <w:p>
      <w:pPr>
        <w:pStyle w:val="Normal"/>
        <w:ind w:left="0" w:right="0" w:firstLine="709"/>
        <w:jc w:val="center"/>
        <w:rPr>
          <w:rFonts w:ascii="Times New Roman" w:hAnsi="Times New Roman"/>
          <w:b/>
          <w:sz w:val="24"/>
          <w:szCs w:val="24"/>
        </w:rPr>
      </w:pPr>
      <w:r>
        <w:rPr>
          <w:b/>
          <w:sz w:val="24"/>
          <w:szCs w:val="24"/>
        </w:rPr>
      </w:r>
    </w:p>
    <w:p>
      <w:pPr>
        <w:pStyle w:val="Normal"/>
        <w:jc w:val="center"/>
        <w:rPr>
          <w:rFonts w:ascii="Times New Roman" w:hAnsi="Times New Roman"/>
          <w:b/>
          <w:sz w:val="24"/>
          <w:szCs w:val="24"/>
        </w:rPr>
      </w:pPr>
      <w:r>
        <w:rPr>
          <w:b/>
          <w:sz w:val="24"/>
          <w:szCs w:val="24"/>
        </w:rPr>
        <w:t>Коммерческое предложение</w:t>
      </w:r>
    </w:p>
    <w:p>
      <w:pPr>
        <w:pStyle w:val="Normal"/>
        <w:widowControl/>
        <w:suppressAutoHyphens w:val="true"/>
        <w:ind w:left="0" w:right="0" w:firstLine="709"/>
        <w:jc w:val="center"/>
        <w:rPr>
          <w:rFonts w:ascii="Times New Roman" w:hAnsi="Times New Roman" w:eastAsia="Calibri"/>
          <w:b/>
          <w:sz w:val="24"/>
          <w:szCs w:val="24"/>
          <w:lang w:eastAsia="en-US"/>
        </w:rPr>
      </w:pPr>
      <w:r>
        <w:rPr>
          <w:rFonts w:eastAsia="Calibri"/>
          <w:b/>
          <w:sz w:val="24"/>
          <w:szCs w:val="24"/>
          <w:lang w:eastAsia="en-US"/>
        </w:rPr>
      </w:r>
    </w:p>
    <w:p>
      <w:pPr>
        <w:pStyle w:val="Normal"/>
        <w:widowControl/>
        <w:suppressAutoHyphens w:val="true"/>
        <w:ind w:left="0" w:right="0" w:firstLine="709"/>
        <w:jc w:val="center"/>
        <w:rPr>
          <w:rFonts w:ascii="Times New Roman" w:hAnsi="Times New Roman" w:eastAsia="Calibri"/>
          <w:b/>
          <w:sz w:val="24"/>
          <w:szCs w:val="24"/>
          <w:lang w:eastAsia="en-US"/>
        </w:rPr>
      </w:pPr>
      <w:r>
        <w:rPr>
          <w:rFonts w:eastAsia="Calibri"/>
          <w:b/>
          <w:sz w:val="24"/>
          <w:szCs w:val="24"/>
          <w:lang w:eastAsia="en-US"/>
        </w:rPr>
      </w:r>
    </w:p>
    <w:tbl>
      <w:tblPr>
        <w:tblW w:w="9634" w:type="dxa"/>
        <w:jc w:val="left"/>
        <w:tblInd w:w="-83" w:type="dxa"/>
        <w:tblLayout w:type="fixed"/>
        <w:tblCellMar>
          <w:top w:w="0" w:type="dxa"/>
          <w:left w:w="78" w:type="dxa"/>
          <w:bottom w:w="0" w:type="dxa"/>
          <w:right w:w="73" w:type="dxa"/>
        </w:tblCellMar>
      </w:tblPr>
      <w:tblGrid>
        <w:gridCol w:w="815"/>
        <w:gridCol w:w="5133"/>
        <w:gridCol w:w="1558"/>
        <w:gridCol w:w="2127"/>
      </w:tblGrid>
      <w:tr>
        <w:trPr>
          <w:trHeight w:val="543" w:hRule="atLeast"/>
        </w:trPr>
        <w:tc>
          <w:tcPr>
            <w:tcW w:w="815" w:type="dxa"/>
            <w:tcBorders>
              <w:top w:val="single" w:sz="4" w:space="0" w:color="00000A"/>
              <w:left w:val="single" w:sz="4" w:space="0" w:color="00000A"/>
              <w:bottom w:val="single" w:sz="4" w:space="0" w:color="00000A"/>
              <w:right w:val="single" w:sz="4" w:space="0" w:color="00000A"/>
            </w:tcBorders>
          </w:tcPr>
          <w:p>
            <w:pPr>
              <w:pStyle w:val="Normal"/>
              <w:widowControl w:val="false"/>
              <w:rPr>
                <w:rFonts w:ascii="Times New Roman" w:hAnsi="Times New Roman"/>
                <w:b/>
                <w:bCs/>
                <w:sz w:val="24"/>
                <w:szCs w:val="24"/>
              </w:rPr>
            </w:pPr>
            <w:r>
              <w:rPr>
                <w:b/>
                <w:bCs/>
                <w:sz w:val="24"/>
                <w:szCs w:val="24"/>
              </w:rPr>
              <w:t xml:space="preserve">№  </w:t>
            </w:r>
          </w:p>
        </w:tc>
        <w:tc>
          <w:tcPr>
            <w:tcW w:w="5133" w:type="dxa"/>
            <w:tcBorders>
              <w:top w:val="single" w:sz="4" w:space="0" w:color="00000A"/>
              <w:left w:val="single" w:sz="4" w:space="0" w:color="00000A"/>
              <w:bottom w:val="single" w:sz="4" w:space="0" w:color="00000A"/>
              <w:right w:val="single" w:sz="4" w:space="0" w:color="00000A"/>
            </w:tcBorders>
          </w:tcPr>
          <w:p>
            <w:pPr>
              <w:pStyle w:val="Normal"/>
              <w:widowControl w:val="false"/>
              <w:rPr>
                <w:rFonts w:ascii="Times New Roman" w:hAnsi="Times New Roman"/>
                <w:b/>
                <w:bCs/>
                <w:sz w:val="24"/>
                <w:szCs w:val="24"/>
              </w:rPr>
            </w:pPr>
            <w:r>
              <w:rPr>
                <w:b/>
                <w:bCs/>
                <w:sz w:val="24"/>
                <w:szCs w:val="24"/>
              </w:rPr>
              <w:t>Наименование</w:t>
            </w:r>
          </w:p>
        </w:tc>
        <w:tc>
          <w:tcPr>
            <w:tcW w:w="1558" w:type="dxa"/>
            <w:tcBorders>
              <w:top w:val="single" w:sz="4" w:space="0" w:color="00000A"/>
              <w:left w:val="single" w:sz="4" w:space="0" w:color="00000A"/>
              <w:bottom w:val="single" w:sz="4" w:space="0" w:color="00000A"/>
              <w:right w:val="single" w:sz="4" w:space="0" w:color="00000A"/>
            </w:tcBorders>
          </w:tcPr>
          <w:p>
            <w:pPr>
              <w:pStyle w:val="Normal"/>
              <w:widowControl w:val="false"/>
              <w:rPr>
                <w:rFonts w:ascii="Times New Roman" w:hAnsi="Times New Roman"/>
                <w:b/>
                <w:bCs/>
                <w:sz w:val="24"/>
                <w:szCs w:val="24"/>
              </w:rPr>
            </w:pPr>
            <w:r>
              <w:rPr>
                <w:b/>
                <w:bCs/>
                <w:sz w:val="24"/>
                <w:szCs w:val="24"/>
              </w:rPr>
              <w:t>Ед. изм.</w:t>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rPr>
                <w:rFonts w:ascii="Times New Roman" w:hAnsi="Times New Roman"/>
                <w:b/>
                <w:bCs/>
                <w:sz w:val="24"/>
                <w:szCs w:val="24"/>
              </w:rPr>
            </w:pPr>
            <w:r>
              <w:rPr>
                <w:b/>
                <w:bCs/>
                <w:sz w:val="24"/>
                <w:szCs w:val="24"/>
              </w:rPr>
              <w:t>Цена(руб.) без учета НДС</w:t>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t>1</w:t>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t>2</w:t>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t>3</w:t>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t>4</w:t>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t>5</w:t>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r>
        <w:trPr>
          <w:trHeight w:val="408" w:hRule="atLeast"/>
        </w:trPr>
        <w:tc>
          <w:tcPr>
            <w:tcW w:w="815" w:type="dxa"/>
            <w:tcBorders>
              <w:top w:val="single" w:sz="4" w:space="0" w:color="00000A"/>
              <w:left w:val="single" w:sz="4" w:space="0" w:color="00000A"/>
              <w:bottom w:val="single" w:sz="4" w:space="0" w:color="00000A"/>
              <w:right w:val="single" w:sz="4" w:space="0" w:color="00000A"/>
            </w:tcBorders>
            <w:shd w:fill="FFFFFF" w:val="clear"/>
            <w:vAlign w:val="bottom"/>
          </w:tcPr>
          <w:p>
            <w:pPr>
              <w:pStyle w:val="Normal"/>
              <w:widowControl w:val="false"/>
              <w:jc w:val="center"/>
              <w:rPr>
                <w:rFonts w:ascii="Times New Roman" w:hAnsi="Times New Roman"/>
                <w:sz w:val="24"/>
                <w:szCs w:val="24"/>
              </w:rPr>
            </w:pPr>
            <w:r>
              <w:rPr>
                <w:sz w:val="24"/>
                <w:szCs w:val="24"/>
              </w:rPr>
            </w:r>
          </w:p>
        </w:tc>
        <w:tc>
          <w:tcPr>
            <w:tcW w:w="5133"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Times New Roman" w:hAnsi="Times New Roman"/>
                <w:sz w:val="24"/>
                <w:szCs w:val="24"/>
              </w:rPr>
            </w:pPr>
            <w:r>
              <w:rPr>
                <w:sz w:val="24"/>
                <w:szCs w:val="24"/>
              </w:rPr>
            </w:r>
          </w:p>
        </w:tc>
        <w:tc>
          <w:tcPr>
            <w:tcW w:w="1558"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center"/>
              <w:rPr>
                <w:rFonts w:ascii="Times New Roman" w:hAnsi="Times New Roman"/>
                <w:sz w:val="24"/>
                <w:szCs w:val="24"/>
              </w:rPr>
            </w:pPr>
            <w:r>
              <w:rPr>
                <w:sz w:val="24"/>
                <w:szCs w:val="24"/>
              </w:rPr>
            </w:r>
          </w:p>
        </w:tc>
        <w:tc>
          <w:tcPr>
            <w:tcW w:w="2127" w:type="dxa"/>
            <w:tcBorders>
              <w:top w:val="single" w:sz="4" w:space="0" w:color="00000A"/>
              <w:left w:val="single" w:sz="4" w:space="0" w:color="00000A"/>
              <w:bottom w:val="single" w:sz="4" w:space="0" w:color="00000A"/>
              <w:right w:val="single" w:sz="4" w:space="0" w:color="00000A"/>
            </w:tcBorders>
          </w:tcPr>
          <w:p>
            <w:pPr>
              <w:pStyle w:val="Normal"/>
              <w:widowControl w:val="false"/>
              <w:jc w:val="center"/>
              <w:rPr>
                <w:rFonts w:ascii="Times New Roman" w:hAnsi="Times New Roman"/>
                <w:sz w:val="24"/>
                <w:szCs w:val="24"/>
              </w:rPr>
            </w:pPr>
            <w:r>
              <w:rPr>
                <w:sz w:val="24"/>
                <w:szCs w:val="24"/>
              </w:rPr>
            </w:r>
          </w:p>
        </w:tc>
      </w:tr>
    </w:tbl>
    <w:p>
      <w:pPr>
        <w:pStyle w:val="Normal"/>
        <w:widowControl/>
        <w:suppressAutoHyphens w:val="true"/>
        <w:ind w:left="0" w:right="0" w:firstLine="709"/>
        <w:jc w:val="center"/>
        <w:rPr>
          <w:rFonts w:ascii="Times New Roman" w:hAnsi="Times New Roman" w:eastAsia="Calibri"/>
          <w:b/>
          <w:sz w:val="24"/>
          <w:szCs w:val="24"/>
          <w:lang w:eastAsia="en-US"/>
        </w:rPr>
      </w:pPr>
      <w:r>
        <w:rPr>
          <w:rFonts w:eastAsia="Calibri"/>
          <w:b/>
          <w:sz w:val="24"/>
          <w:szCs w:val="24"/>
          <w:lang w:eastAsia="en-US"/>
        </w:rPr>
      </w:r>
    </w:p>
    <w:p>
      <w:pPr>
        <w:pStyle w:val="Normal"/>
        <w:widowControl/>
        <w:suppressAutoHyphens w:val="true"/>
        <w:ind w:left="0" w:right="0" w:firstLine="709"/>
        <w:jc w:val="center"/>
        <w:rPr>
          <w:rFonts w:ascii="Times New Roman" w:hAnsi="Times New Roman" w:eastAsia="Calibri"/>
          <w:b/>
          <w:sz w:val="24"/>
          <w:szCs w:val="24"/>
          <w:lang w:eastAsia="en-US"/>
        </w:rPr>
      </w:pPr>
      <w:r>
        <w:rPr>
          <w:rFonts w:eastAsia="Calibri"/>
          <w:b/>
          <w:sz w:val="24"/>
          <w:szCs w:val="24"/>
          <w:lang w:eastAsia="en-US"/>
        </w:rPr>
      </w:r>
    </w:p>
    <w:p>
      <w:pPr>
        <w:pStyle w:val="Normal"/>
        <w:widowControl/>
        <w:suppressAutoHyphens w:val="true"/>
        <w:rPr>
          <w:rFonts w:ascii="Times New Roman" w:hAnsi="Times New Roman" w:eastAsia="Calibri"/>
          <w:b/>
          <w:sz w:val="24"/>
          <w:szCs w:val="24"/>
          <w:lang w:eastAsia="en-US"/>
        </w:rPr>
      </w:pPr>
      <w:r>
        <w:rPr>
          <w:rFonts w:eastAsia="Calibri"/>
          <w:b/>
          <w:sz w:val="24"/>
          <w:szCs w:val="24"/>
          <w:lang w:eastAsia="en-US"/>
        </w:rPr>
        <w:t>Покупатель:</w:t>
        <w:tab/>
        <w:t xml:space="preserve">                                                        Поставщик:</w:t>
      </w:r>
    </w:p>
    <w:p>
      <w:pPr>
        <w:pStyle w:val="Normal"/>
        <w:widowControl w:val="false"/>
        <w:tabs>
          <w:tab w:val="clear" w:pos="367"/>
          <w:tab w:val="left" w:pos="-288" w:leader="none"/>
        </w:tabs>
        <w:bidi w:val="0"/>
        <w:ind w:left="-340" w:right="0" w:hanging="0"/>
        <w:jc w:val="center"/>
        <w:rPr>
          <w:rFonts w:ascii="Times New Roman" w:hAnsi="Times New Roman"/>
          <w:b/>
          <w:sz w:val="24"/>
          <w:szCs w:val="24"/>
        </w:rPr>
      </w:pPr>
      <w:r>
        <w:rPr>
          <w:b/>
          <w:sz w:val="24"/>
          <w:szCs w:val="24"/>
        </w:rPr>
        <w:t xml:space="preserve">                                                                                   </w:t>
      </w:r>
    </w:p>
    <w:p>
      <w:pPr>
        <w:pStyle w:val="Normal"/>
        <w:rPr>
          <w:rFonts w:ascii="Times New Roman" w:hAnsi="Times New Roman"/>
          <w:sz w:val="24"/>
          <w:szCs w:val="24"/>
        </w:rPr>
      </w:pPr>
      <w:r>
        <w:rPr>
          <w:sz w:val="24"/>
          <w:szCs w:val="24"/>
        </w:rPr>
      </w:r>
    </w:p>
    <w:p>
      <w:pPr>
        <w:pStyle w:val="Normal"/>
        <w:numPr>
          <w:ilvl w:val="0"/>
          <w:numId w:val="0"/>
        </w:numPr>
        <w:ind w:left="0" w:hanging="0"/>
        <w:jc w:val="center"/>
        <w:outlineLvl w:val="0"/>
        <w:rPr>
          <w:rFonts w:ascii="Times New Roman" w:hAnsi="Times New Roman"/>
          <w:sz w:val="24"/>
          <w:szCs w:val="24"/>
        </w:rPr>
      </w:pPr>
      <w:r>
        <w:rPr>
          <w:sz w:val="24"/>
          <w:szCs w:val="24"/>
        </w:rPr>
      </w:r>
    </w:p>
    <w:p>
      <w:pPr>
        <w:pStyle w:val="Normal"/>
        <w:widowContro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sectPr>
          <w:headerReference w:type="default" r:id="rId8"/>
          <w:headerReference w:type="first" r:id="rId9"/>
          <w:footnotePr>
            <w:numFmt w:val="decimal"/>
          </w:footnotePr>
          <w:type w:val="nextPage"/>
          <w:pgSz w:w="11906" w:h="16838"/>
          <w:pgMar w:left="1418" w:right="851" w:gutter="0" w:header="709" w:top="1134" w:footer="0" w:bottom="1134"/>
          <w:pgNumType w:fmt="decimal"/>
          <w:formProt w:val="false"/>
          <w:textDirection w:val="lrTb"/>
          <w:docGrid w:type="default" w:linePitch="299" w:charSpace="1638"/>
        </w:sectPr>
        <w:pStyle w:val="Normal"/>
        <w:ind w:left="0" w:right="0" w:firstLine="709"/>
        <w:rPr>
          <w:rFonts w:ascii="Times New Roman" w:hAnsi="Times New Roman"/>
          <w:b/>
          <w:bCs/>
          <w:sz w:val="24"/>
          <w:szCs w:val="24"/>
        </w:rPr>
      </w:pPr>
      <w:r>
        <w:rPr>
          <w:b/>
          <w:bCs/>
          <w:sz w:val="24"/>
          <w:szCs w:val="24"/>
        </w:rPr>
      </w:r>
    </w:p>
    <w:p>
      <w:pPr>
        <w:pStyle w:val="Normal"/>
        <w:jc w:val="right"/>
        <w:rPr>
          <w:b/>
          <w:bCs/>
          <w:sz w:val="26"/>
          <w:szCs w:val="26"/>
          <w:shd w:fill="auto" w:val="clear"/>
        </w:rPr>
      </w:pPr>
      <w:r>
        <w:rPr>
          <w:sz w:val="24"/>
          <w:szCs w:val="24"/>
        </w:rPr>
        <w:t>Приложение №2</w:t>
      </w:r>
    </w:p>
    <w:p>
      <w:pPr>
        <w:pStyle w:val="Normal"/>
        <w:jc w:val="right"/>
        <w:rPr>
          <w:b/>
          <w:bCs/>
          <w:sz w:val="26"/>
          <w:szCs w:val="26"/>
          <w:shd w:fill="auto" w:val="clear"/>
        </w:rPr>
      </w:pPr>
      <w:r>
        <w:rPr>
          <w:sz w:val="24"/>
          <w:szCs w:val="24"/>
        </w:rPr>
        <w:t>к договору  № ___________</w:t>
      </w:r>
    </w:p>
    <w:p>
      <w:pPr>
        <w:pStyle w:val="Normal"/>
        <w:widowControl w:val="false"/>
        <w:suppressAutoHyphens w:val="true"/>
        <w:jc w:val="right"/>
        <w:rPr>
          <w:b/>
          <w:bCs/>
          <w:sz w:val="26"/>
          <w:szCs w:val="26"/>
          <w:shd w:fill="auto" w:val="clear"/>
        </w:rPr>
      </w:pPr>
      <w:r>
        <w:rPr>
          <w:sz w:val="24"/>
          <w:szCs w:val="24"/>
        </w:rPr>
        <w:t xml:space="preserve">                           №</w:t>
      </w:r>
      <w:r>
        <w:rPr>
          <w:sz w:val="24"/>
          <w:szCs w:val="24"/>
        </w:rPr>
        <w:t xml:space="preserve">__________________ 202__ г. </w:t>
      </w:r>
    </w:p>
    <w:p>
      <w:pPr>
        <w:pStyle w:val="Normal"/>
        <w:jc w:val="right"/>
        <w:rPr>
          <w:b/>
          <w:bCs/>
          <w:sz w:val="26"/>
          <w:szCs w:val="26"/>
          <w:shd w:fill="auto" w:val="clear"/>
        </w:rPr>
      </w:pPr>
      <w:r>
        <w:rPr>
          <w:b/>
          <w:bCs/>
          <w:sz w:val="26"/>
          <w:szCs w:val="26"/>
          <w:shd w:fill="auto" w:val="clear"/>
        </w:rPr>
      </w:r>
    </w:p>
    <w:tbl>
      <w:tblPr>
        <w:tblW w:w="15953" w:type="dxa"/>
        <w:jc w:val="left"/>
        <w:tblInd w:w="-322" w:type="dxa"/>
        <w:tblLayout w:type="fixed"/>
        <w:tblCellMar>
          <w:top w:w="0" w:type="dxa"/>
          <w:left w:w="0" w:type="dxa"/>
          <w:bottom w:w="0" w:type="dxa"/>
          <w:right w:w="0" w:type="dxa"/>
        </w:tblCellMar>
      </w:tblPr>
      <w:tblGrid>
        <w:gridCol w:w="567"/>
        <w:gridCol w:w="1005"/>
        <w:gridCol w:w="1053"/>
        <w:gridCol w:w="1060"/>
        <w:gridCol w:w="708"/>
        <w:gridCol w:w="1134"/>
        <w:gridCol w:w="1276"/>
        <w:gridCol w:w="580"/>
        <w:gridCol w:w="1110"/>
        <w:gridCol w:w="1211"/>
        <w:gridCol w:w="946"/>
        <w:gridCol w:w="992"/>
        <w:gridCol w:w="1418"/>
        <w:gridCol w:w="1248"/>
        <w:gridCol w:w="1306"/>
        <w:gridCol w:w="50"/>
        <w:gridCol w:w="9"/>
        <w:gridCol w:w="42"/>
        <w:gridCol w:w="19"/>
        <w:gridCol w:w="40"/>
        <w:gridCol w:w="21"/>
        <w:gridCol w:w="39"/>
        <w:gridCol w:w="20"/>
        <w:gridCol w:w="39"/>
        <w:gridCol w:w="21"/>
        <w:gridCol w:w="35"/>
      </w:tblGrid>
      <w:tr>
        <w:trPr>
          <w:trHeight w:val="450" w:hRule="atLeast"/>
        </w:trPr>
        <w:tc>
          <w:tcPr>
            <w:tcW w:w="15614" w:type="dxa"/>
            <w:gridSpan w:val="15"/>
            <w:tcBorders/>
            <w:vAlign w:val="bottom"/>
          </w:tcPr>
          <w:p>
            <w:pPr>
              <w:pStyle w:val="Normal"/>
              <w:widowControl w:val="false"/>
              <w:jc w:val="center"/>
              <w:rPr/>
            </w:pPr>
            <w:bookmarkStart w:id="11" w:name="k"/>
            <w:r>
              <w:rPr>
                <w:b/>
                <w:bCs/>
                <w:sz w:val="24"/>
                <w:szCs w:val="24"/>
              </w:rPr>
              <w:t>Информация о контрагенте</w:t>
            </w:r>
            <w:bookmarkEnd w:id="11"/>
            <w:r>
              <w:rPr>
                <w:b/>
                <w:bCs/>
                <w:sz w:val="24"/>
                <w:szCs w:val="24"/>
              </w:rPr>
              <w:t xml:space="preserve"> (форма)</w:t>
            </w:r>
          </w:p>
        </w:tc>
        <w:tc>
          <w:tcPr>
            <w:tcW w:w="59" w:type="dxa"/>
            <w:gridSpan w:val="2"/>
            <w:tcBorders/>
          </w:tcPr>
          <w:p>
            <w:pPr>
              <w:pStyle w:val="Normal"/>
              <w:widowControl w:val="false"/>
              <w:snapToGrid w:val="false"/>
              <w:rPr>
                <w:b/>
                <w:bCs/>
                <w:sz w:val="24"/>
                <w:szCs w:val="22"/>
              </w:rPr>
            </w:pPr>
            <w:r>
              <w:rPr>
                <w:b/>
                <w:bCs/>
                <w:sz w:val="24"/>
                <w:szCs w:val="22"/>
              </w:rPr>
            </w:r>
          </w:p>
        </w:tc>
        <w:tc>
          <w:tcPr>
            <w:tcW w:w="61" w:type="dxa"/>
            <w:gridSpan w:val="2"/>
            <w:tcBorders/>
          </w:tcPr>
          <w:p>
            <w:pPr>
              <w:pStyle w:val="Normal"/>
              <w:widowControl w:val="false"/>
              <w:snapToGrid w:val="false"/>
              <w:rPr>
                <w:b/>
                <w:bCs/>
                <w:sz w:val="24"/>
                <w:szCs w:val="22"/>
              </w:rPr>
            </w:pPr>
            <w:r>
              <w:rPr>
                <w:b/>
                <w:bCs/>
                <w:sz w:val="24"/>
                <w:szCs w:val="22"/>
              </w:rPr>
            </w:r>
          </w:p>
        </w:tc>
        <w:tc>
          <w:tcPr>
            <w:tcW w:w="61" w:type="dxa"/>
            <w:gridSpan w:val="2"/>
            <w:tcBorders/>
          </w:tcPr>
          <w:p>
            <w:pPr>
              <w:pStyle w:val="Normal"/>
              <w:widowControl w:val="false"/>
              <w:snapToGrid w:val="false"/>
              <w:rPr>
                <w:b/>
                <w:bCs/>
                <w:sz w:val="24"/>
                <w:szCs w:val="22"/>
              </w:rPr>
            </w:pPr>
            <w:r>
              <w:rPr>
                <w:b/>
                <w:bCs/>
                <w:sz w:val="24"/>
                <w:szCs w:val="22"/>
              </w:rPr>
            </w:r>
          </w:p>
        </w:tc>
        <w:tc>
          <w:tcPr>
            <w:tcW w:w="59" w:type="dxa"/>
            <w:gridSpan w:val="2"/>
            <w:tcBorders/>
          </w:tcPr>
          <w:p>
            <w:pPr>
              <w:pStyle w:val="Normal"/>
              <w:widowControl w:val="false"/>
              <w:snapToGrid w:val="false"/>
              <w:rPr>
                <w:b/>
                <w:bCs/>
                <w:sz w:val="24"/>
                <w:szCs w:val="22"/>
              </w:rPr>
            </w:pPr>
            <w:r>
              <w:rPr>
                <w:b/>
                <w:bCs/>
                <w:sz w:val="24"/>
                <w:szCs w:val="22"/>
              </w:rPr>
            </w:r>
          </w:p>
        </w:tc>
        <w:tc>
          <w:tcPr>
            <w:tcW w:w="60" w:type="dxa"/>
            <w:gridSpan w:val="2"/>
            <w:tcBorders/>
          </w:tcPr>
          <w:p>
            <w:pPr>
              <w:pStyle w:val="Normal"/>
              <w:widowControl w:val="false"/>
              <w:snapToGrid w:val="false"/>
              <w:rPr>
                <w:b/>
                <w:bCs/>
                <w:sz w:val="24"/>
                <w:szCs w:val="22"/>
              </w:rPr>
            </w:pPr>
            <w:r>
              <w:rPr>
                <w:b/>
                <w:bCs/>
                <w:sz w:val="24"/>
                <w:szCs w:val="22"/>
              </w:rPr>
            </w:r>
          </w:p>
        </w:tc>
        <w:tc>
          <w:tcPr>
            <w:tcW w:w="35" w:type="dxa"/>
            <w:tcBorders/>
          </w:tcPr>
          <w:p>
            <w:pPr>
              <w:pStyle w:val="Normal"/>
              <w:widowControl w:val="false"/>
              <w:snapToGrid w:val="false"/>
              <w:rPr>
                <w:b/>
                <w:bCs/>
                <w:sz w:val="24"/>
                <w:szCs w:val="22"/>
              </w:rPr>
            </w:pPr>
            <w:r>
              <w:rPr>
                <w:b/>
                <w:bCs/>
                <w:sz w:val="24"/>
                <w:szCs w:val="22"/>
              </w:rPr>
            </w:r>
          </w:p>
        </w:tc>
      </w:tr>
      <w:tr>
        <w:trPr>
          <w:trHeight w:val="349" w:hRule="atLeast"/>
        </w:trPr>
        <w:tc>
          <w:tcPr>
            <w:tcW w:w="15614" w:type="dxa"/>
            <w:gridSpan w:val="15"/>
            <w:tcBorders>
              <w:bottom w:val="single" w:sz="4" w:space="0" w:color="000000"/>
            </w:tcBorders>
            <w:vAlign w:val="bottom"/>
          </w:tcPr>
          <w:p>
            <w:pPr>
              <w:pStyle w:val="Normal"/>
              <w:widowControl w:val="false"/>
              <w:snapToGrid w:val="false"/>
              <w:jc w:val="center"/>
              <w:rPr>
                <w:b/>
                <w:bCs/>
                <w:sz w:val="24"/>
                <w:szCs w:val="22"/>
              </w:rPr>
            </w:pPr>
            <w:r>
              <w:rPr>
                <w:b/>
                <w:bCs/>
                <w:sz w:val="24"/>
                <w:szCs w:val="22"/>
              </w:rPr>
            </w:r>
          </w:p>
        </w:tc>
        <w:tc>
          <w:tcPr>
            <w:tcW w:w="59" w:type="dxa"/>
            <w:gridSpan w:val="2"/>
            <w:tcBorders/>
          </w:tcPr>
          <w:p>
            <w:pPr>
              <w:pStyle w:val="Normal"/>
              <w:widowControl w:val="false"/>
              <w:snapToGrid w:val="false"/>
              <w:rPr>
                <w:b/>
                <w:bCs/>
                <w:sz w:val="24"/>
                <w:szCs w:val="22"/>
              </w:rPr>
            </w:pPr>
            <w:r>
              <w:rPr>
                <w:b/>
                <w:bCs/>
                <w:sz w:val="24"/>
                <w:szCs w:val="22"/>
              </w:rPr>
            </w:r>
          </w:p>
        </w:tc>
        <w:tc>
          <w:tcPr>
            <w:tcW w:w="61" w:type="dxa"/>
            <w:gridSpan w:val="2"/>
            <w:tcBorders/>
          </w:tcPr>
          <w:p>
            <w:pPr>
              <w:pStyle w:val="Normal"/>
              <w:widowControl w:val="false"/>
              <w:snapToGrid w:val="false"/>
              <w:rPr>
                <w:b/>
                <w:bCs/>
                <w:sz w:val="24"/>
                <w:szCs w:val="22"/>
              </w:rPr>
            </w:pPr>
            <w:r>
              <w:rPr>
                <w:b/>
                <w:bCs/>
                <w:sz w:val="24"/>
                <w:szCs w:val="22"/>
              </w:rPr>
            </w:r>
          </w:p>
        </w:tc>
        <w:tc>
          <w:tcPr>
            <w:tcW w:w="61" w:type="dxa"/>
            <w:gridSpan w:val="2"/>
            <w:tcBorders/>
          </w:tcPr>
          <w:p>
            <w:pPr>
              <w:pStyle w:val="Normal"/>
              <w:widowControl w:val="false"/>
              <w:snapToGrid w:val="false"/>
              <w:rPr>
                <w:b/>
                <w:bCs/>
                <w:sz w:val="24"/>
                <w:szCs w:val="22"/>
              </w:rPr>
            </w:pPr>
            <w:r>
              <w:rPr>
                <w:b/>
                <w:bCs/>
                <w:sz w:val="24"/>
                <w:szCs w:val="22"/>
              </w:rPr>
            </w:r>
          </w:p>
        </w:tc>
        <w:tc>
          <w:tcPr>
            <w:tcW w:w="59" w:type="dxa"/>
            <w:gridSpan w:val="2"/>
            <w:tcBorders/>
          </w:tcPr>
          <w:p>
            <w:pPr>
              <w:pStyle w:val="Normal"/>
              <w:widowControl w:val="false"/>
              <w:snapToGrid w:val="false"/>
              <w:rPr>
                <w:b/>
                <w:bCs/>
                <w:sz w:val="24"/>
                <w:szCs w:val="22"/>
              </w:rPr>
            </w:pPr>
            <w:r>
              <w:rPr>
                <w:b/>
                <w:bCs/>
                <w:sz w:val="24"/>
                <w:szCs w:val="22"/>
              </w:rPr>
            </w:r>
          </w:p>
        </w:tc>
        <w:tc>
          <w:tcPr>
            <w:tcW w:w="60" w:type="dxa"/>
            <w:gridSpan w:val="2"/>
            <w:tcBorders/>
          </w:tcPr>
          <w:p>
            <w:pPr>
              <w:pStyle w:val="Normal"/>
              <w:widowControl w:val="false"/>
              <w:snapToGrid w:val="false"/>
              <w:rPr>
                <w:b/>
                <w:bCs/>
                <w:sz w:val="24"/>
                <w:szCs w:val="22"/>
              </w:rPr>
            </w:pPr>
            <w:r>
              <w:rPr>
                <w:b/>
                <w:bCs/>
                <w:sz w:val="24"/>
                <w:szCs w:val="22"/>
              </w:rPr>
            </w:r>
          </w:p>
        </w:tc>
        <w:tc>
          <w:tcPr>
            <w:tcW w:w="35" w:type="dxa"/>
            <w:tcBorders/>
          </w:tcPr>
          <w:p>
            <w:pPr>
              <w:pStyle w:val="Normal"/>
              <w:widowControl w:val="false"/>
              <w:snapToGrid w:val="false"/>
              <w:rPr>
                <w:b/>
                <w:bCs/>
                <w:sz w:val="24"/>
                <w:szCs w:val="22"/>
              </w:rPr>
            </w:pPr>
            <w:r>
              <w:rPr>
                <w:b/>
                <w:bCs/>
                <w:sz w:val="24"/>
                <w:szCs w:val="22"/>
              </w:rPr>
            </w:r>
          </w:p>
        </w:tc>
      </w:tr>
      <w:tr>
        <w:trPr>
          <w:trHeight w:val="264" w:hRule="atLeast"/>
        </w:trPr>
        <w:tc>
          <w:tcPr>
            <w:tcW w:w="15614" w:type="dxa"/>
            <w:gridSpan w:val="15"/>
            <w:tcBorders>
              <w:bottom w:val="single" w:sz="8" w:space="0" w:color="000000"/>
            </w:tcBorders>
          </w:tcPr>
          <w:p>
            <w:pPr>
              <w:pStyle w:val="Normal"/>
              <w:widowControl w:val="false"/>
              <w:snapToGrid w:val="false"/>
              <w:jc w:val="center"/>
              <w:rPr>
                <w:b/>
                <w:bCs/>
                <w:sz w:val="24"/>
                <w:szCs w:val="22"/>
              </w:rPr>
            </w:pPr>
            <w:r>
              <w:rPr>
                <w:b/>
                <w:bCs/>
                <w:sz w:val="24"/>
                <w:szCs w:val="22"/>
              </w:rPr>
            </w:r>
          </w:p>
        </w:tc>
        <w:tc>
          <w:tcPr>
            <w:tcW w:w="59" w:type="dxa"/>
            <w:gridSpan w:val="2"/>
            <w:tcBorders/>
          </w:tcPr>
          <w:p>
            <w:pPr>
              <w:pStyle w:val="Normal"/>
              <w:widowControl w:val="false"/>
              <w:snapToGrid w:val="false"/>
              <w:rPr>
                <w:b/>
                <w:bCs/>
                <w:sz w:val="24"/>
                <w:szCs w:val="22"/>
              </w:rPr>
            </w:pPr>
            <w:r>
              <w:rPr>
                <w:b/>
                <w:bCs/>
                <w:sz w:val="24"/>
                <w:szCs w:val="22"/>
              </w:rPr>
            </w:r>
          </w:p>
        </w:tc>
        <w:tc>
          <w:tcPr>
            <w:tcW w:w="61" w:type="dxa"/>
            <w:gridSpan w:val="2"/>
            <w:tcBorders/>
          </w:tcPr>
          <w:p>
            <w:pPr>
              <w:pStyle w:val="Normal"/>
              <w:widowControl w:val="false"/>
              <w:snapToGrid w:val="false"/>
              <w:rPr>
                <w:b/>
                <w:bCs/>
                <w:sz w:val="24"/>
                <w:szCs w:val="22"/>
              </w:rPr>
            </w:pPr>
            <w:r>
              <w:rPr>
                <w:b/>
                <w:bCs/>
                <w:sz w:val="24"/>
                <w:szCs w:val="22"/>
              </w:rPr>
            </w:r>
          </w:p>
        </w:tc>
        <w:tc>
          <w:tcPr>
            <w:tcW w:w="61" w:type="dxa"/>
            <w:gridSpan w:val="2"/>
            <w:tcBorders/>
          </w:tcPr>
          <w:p>
            <w:pPr>
              <w:pStyle w:val="Normal"/>
              <w:widowControl w:val="false"/>
              <w:snapToGrid w:val="false"/>
              <w:rPr>
                <w:b/>
                <w:bCs/>
                <w:sz w:val="24"/>
                <w:szCs w:val="22"/>
              </w:rPr>
            </w:pPr>
            <w:r>
              <w:rPr>
                <w:b/>
                <w:bCs/>
                <w:sz w:val="24"/>
                <w:szCs w:val="22"/>
              </w:rPr>
            </w:r>
          </w:p>
        </w:tc>
        <w:tc>
          <w:tcPr>
            <w:tcW w:w="59" w:type="dxa"/>
            <w:gridSpan w:val="2"/>
            <w:tcBorders/>
          </w:tcPr>
          <w:p>
            <w:pPr>
              <w:pStyle w:val="Normal"/>
              <w:widowControl w:val="false"/>
              <w:snapToGrid w:val="false"/>
              <w:rPr>
                <w:b/>
                <w:bCs/>
                <w:sz w:val="24"/>
                <w:szCs w:val="22"/>
              </w:rPr>
            </w:pPr>
            <w:r>
              <w:rPr>
                <w:b/>
                <w:bCs/>
                <w:sz w:val="24"/>
                <w:szCs w:val="22"/>
              </w:rPr>
            </w:r>
          </w:p>
        </w:tc>
        <w:tc>
          <w:tcPr>
            <w:tcW w:w="60" w:type="dxa"/>
            <w:gridSpan w:val="2"/>
            <w:tcBorders/>
          </w:tcPr>
          <w:p>
            <w:pPr>
              <w:pStyle w:val="Normal"/>
              <w:widowControl w:val="false"/>
              <w:snapToGrid w:val="false"/>
              <w:rPr>
                <w:b/>
                <w:bCs/>
                <w:sz w:val="24"/>
                <w:szCs w:val="22"/>
              </w:rPr>
            </w:pPr>
            <w:r>
              <w:rPr>
                <w:b/>
                <w:bCs/>
                <w:sz w:val="24"/>
                <w:szCs w:val="22"/>
              </w:rPr>
            </w:r>
          </w:p>
        </w:tc>
        <w:tc>
          <w:tcPr>
            <w:tcW w:w="35" w:type="dxa"/>
            <w:tcBorders/>
          </w:tcPr>
          <w:p>
            <w:pPr>
              <w:pStyle w:val="Normal"/>
              <w:widowControl w:val="false"/>
              <w:snapToGrid w:val="false"/>
              <w:rPr>
                <w:b/>
                <w:bCs/>
                <w:sz w:val="24"/>
                <w:szCs w:val="22"/>
              </w:rPr>
            </w:pPr>
            <w:r>
              <w:rPr>
                <w:b/>
                <w:bCs/>
                <w:sz w:val="24"/>
                <w:szCs w:val="22"/>
              </w:rPr>
            </w:r>
          </w:p>
        </w:tc>
      </w:tr>
      <w:tr>
        <w:trPr>
          <w:trHeight w:val="315" w:hRule="atLeast"/>
        </w:trPr>
        <w:tc>
          <w:tcPr>
            <w:tcW w:w="567" w:type="dxa"/>
            <w:vMerge w:val="restart"/>
            <w:tcBorders>
              <w:left w:val="single" w:sz="8" w:space="0" w:color="000000"/>
              <w:bottom w:val="single" w:sz="8" w:space="0" w:color="000000"/>
            </w:tcBorders>
            <w:tcMar>
              <w:left w:w="108" w:type="dxa"/>
              <w:right w:w="108" w:type="dxa"/>
            </w:tcMar>
            <w:vAlign w:val="center"/>
          </w:tcPr>
          <w:p>
            <w:pPr>
              <w:pStyle w:val="Normal"/>
              <w:widowControl w:val="false"/>
              <w:jc w:val="center"/>
              <w:rPr/>
            </w:pPr>
            <w:r>
              <w:rPr>
                <w:szCs w:val="22"/>
              </w:rPr>
              <w:t xml:space="preserve">№ </w:t>
            </w:r>
            <w:r>
              <w:rPr>
                <w:szCs w:val="22"/>
              </w:rPr>
              <w:t>п/п</w:t>
            </w:r>
          </w:p>
        </w:tc>
        <w:tc>
          <w:tcPr>
            <w:tcW w:w="6236" w:type="dxa"/>
            <w:gridSpan w:val="6"/>
            <w:tcBorders>
              <w:top w:val="single" w:sz="8" w:space="0" w:color="000000"/>
              <w:left w:val="single" w:sz="4" w:space="0" w:color="000000"/>
              <w:bottom w:val="single" w:sz="4" w:space="0" w:color="000000"/>
            </w:tcBorders>
            <w:tcMar>
              <w:left w:w="108" w:type="dxa"/>
              <w:right w:w="108" w:type="dxa"/>
            </w:tcMar>
            <w:vAlign w:val="bottom"/>
          </w:tcPr>
          <w:p>
            <w:pPr>
              <w:pStyle w:val="Normal"/>
              <w:widowControl w:val="false"/>
              <w:jc w:val="center"/>
              <w:rPr>
                <w:szCs w:val="22"/>
              </w:rPr>
            </w:pPr>
            <w:r>
              <w:rPr>
                <w:szCs w:val="22"/>
              </w:rPr>
              <w:t>Наименование контрагента (ИНН, вид деятельности)</w:t>
            </w:r>
          </w:p>
        </w:tc>
        <w:tc>
          <w:tcPr>
            <w:tcW w:w="7505" w:type="dxa"/>
            <w:gridSpan w:val="7"/>
            <w:tcBorders>
              <w:top w:val="single" w:sz="8" w:space="0" w:color="000000"/>
              <w:left w:val="single" w:sz="4" w:space="0" w:color="000000"/>
              <w:bottom w:val="single" w:sz="4" w:space="0" w:color="000000"/>
            </w:tcBorders>
            <w:tcMar>
              <w:left w:w="108" w:type="dxa"/>
              <w:right w:w="108" w:type="dxa"/>
            </w:tcMar>
            <w:vAlign w:val="bottom"/>
          </w:tcPr>
          <w:p>
            <w:pPr>
              <w:pStyle w:val="Normal"/>
              <w:widowControl w:val="false"/>
              <w:jc w:val="center"/>
              <w:rPr>
                <w:szCs w:val="22"/>
              </w:rPr>
            </w:pPr>
            <w:r>
              <w:rPr>
                <w:szCs w:val="22"/>
              </w:rPr>
              <w:t>Информация о цепочке собственников контрагента, включая бенефициаров (в том числе, конечных)</w:t>
            </w:r>
          </w:p>
        </w:tc>
        <w:tc>
          <w:tcPr>
            <w:tcW w:w="1641" w:type="dxa"/>
            <w:gridSpan w:val="12"/>
            <w:vMerge w:val="restart"/>
            <w:tcBorders>
              <w:left w:val="single" w:sz="4" w:space="0" w:color="000000"/>
              <w:bottom w:val="single" w:sz="8" w:space="0" w:color="000000"/>
              <w:right w:val="single" w:sz="8" w:space="0" w:color="000000"/>
            </w:tcBorders>
            <w:tcMar>
              <w:left w:w="108" w:type="dxa"/>
              <w:right w:w="108" w:type="dxa"/>
            </w:tcMar>
            <w:vAlign w:val="bottom"/>
          </w:tcPr>
          <w:p>
            <w:pPr>
              <w:pStyle w:val="Normal"/>
              <w:widowControl w:val="false"/>
              <w:jc w:val="center"/>
              <w:rPr>
                <w:szCs w:val="22"/>
              </w:rPr>
            </w:pPr>
            <w:r>
              <w:rPr>
                <w:szCs w:val="22"/>
              </w:rPr>
              <w:t>Информация о подтверждающих документах (наименование, реквизиты и т.д.)</w:t>
            </w:r>
          </w:p>
        </w:tc>
      </w:tr>
      <w:tr>
        <w:trPr>
          <w:trHeight w:val="1590" w:hRule="atLeast"/>
        </w:trPr>
        <w:tc>
          <w:tcPr>
            <w:tcW w:w="567" w:type="dxa"/>
            <w:vMerge w:val="continue"/>
            <w:tcBorders>
              <w:left w:val="single" w:sz="8" w:space="0" w:color="000000"/>
              <w:bottom w:val="single" w:sz="8" w:space="0" w:color="000000"/>
            </w:tcBorders>
            <w:tcMar>
              <w:left w:w="108" w:type="dxa"/>
              <w:right w:w="108" w:type="dxa"/>
            </w:tcMar>
            <w:vAlign w:val="center"/>
          </w:tcPr>
          <w:p>
            <w:pPr>
              <w:pStyle w:val="Normal"/>
              <w:widowControl w:val="false"/>
              <w:snapToGrid w:val="false"/>
              <w:rPr>
                <w:szCs w:val="22"/>
              </w:rPr>
            </w:pPr>
            <w:r>
              <w:rPr>
                <w:szCs w:val="22"/>
              </w:rPr>
            </w:r>
          </w:p>
        </w:tc>
        <w:tc>
          <w:tcPr>
            <w:tcW w:w="1005"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ИНН</w:t>
            </w:r>
          </w:p>
        </w:tc>
        <w:tc>
          <w:tcPr>
            <w:tcW w:w="1053"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ОГРН</w:t>
            </w:r>
          </w:p>
        </w:tc>
        <w:tc>
          <w:tcPr>
            <w:tcW w:w="1060"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Наименование краткое</w:t>
            </w:r>
          </w:p>
        </w:tc>
        <w:tc>
          <w:tcPr>
            <w:tcW w:w="708"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Код ОКВЭД</w:t>
            </w:r>
          </w:p>
        </w:tc>
        <w:tc>
          <w:tcPr>
            <w:tcW w:w="1134"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Фамилия, Имя, Отчество руководи</w:t>
            </w:r>
          </w:p>
          <w:p>
            <w:pPr>
              <w:pStyle w:val="Normal"/>
              <w:widowControl w:val="false"/>
              <w:jc w:val="center"/>
              <w:rPr>
                <w:szCs w:val="22"/>
              </w:rPr>
            </w:pPr>
            <w:r>
              <w:rPr>
                <w:szCs w:val="22"/>
              </w:rPr>
              <w:t>теля</w:t>
            </w:r>
          </w:p>
        </w:tc>
        <w:tc>
          <w:tcPr>
            <w:tcW w:w="1276"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Серия и номер документа, удостоверяющего личность руководителя</w:t>
            </w:r>
          </w:p>
        </w:tc>
        <w:tc>
          <w:tcPr>
            <w:tcW w:w="580"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 xml:space="preserve">№ </w:t>
            </w:r>
          </w:p>
        </w:tc>
        <w:tc>
          <w:tcPr>
            <w:tcW w:w="1110"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 xml:space="preserve">ИНН </w:t>
            </w:r>
          </w:p>
        </w:tc>
        <w:tc>
          <w:tcPr>
            <w:tcW w:w="1211"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ОГРН</w:t>
            </w:r>
          </w:p>
        </w:tc>
        <w:tc>
          <w:tcPr>
            <w:tcW w:w="946"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Наименование / ФИО</w:t>
            </w:r>
          </w:p>
        </w:tc>
        <w:tc>
          <w:tcPr>
            <w:tcW w:w="992"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Адрес регистрации</w:t>
            </w:r>
          </w:p>
        </w:tc>
        <w:tc>
          <w:tcPr>
            <w:tcW w:w="1418"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Серия и номер документа, удостоверяющего личность (для физического лица)</w:t>
            </w:r>
          </w:p>
        </w:tc>
        <w:tc>
          <w:tcPr>
            <w:tcW w:w="1248" w:type="dxa"/>
            <w:tcBorders>
              <w:left w:val="single" w:sz="4" w:space="0" w:color="000000"/>
              <w:bottom w:val="single" w:sz="8" w:space="0" w:color="000000"/>
            </w:tcBorders>
            <w:tcMar>
              <w:left w:w="108" w:type="dxa"/>
              <w:right w:w="108" w:type="dxa"/>
            </w:tcMar>
            <w:vAlign w:val="center"/>
          </w:tcPr>
          <w:p>
            <w:pPr>
              <w:pStyle w:val="Normal"/>
              <w:widowControl w:val="false"/>
              <w:jc w:val="center"/>
              <w:rPr>
                <w:szCs w:val="22"/>
              </w:rPr>
            </w:pPr>
            <w:r>
              <w:rPr>
                <w:szCs w:val="22"/>
              </w:rPr>
              <w:t>Руководитель / участник / акционер /бенефициар</w:t>
            </w:r>
          </w:p>
        </w:tc>
        <w:tc>
          <w:tcPr>
            <w:tcW w:w="1641" w:type="dxa"/>
            <w:gridSpan w:val="12"/>
            <w:vMerge w:val="continue"/>
            <w:tcBorders>
              <w:left w:val="single" w:sz="4" w:space="0" w:color="000000"/>
              <w:bottom w:val="single" w:sz="8" w:space="0" w:color="000000"/>
              <w:right w:val="single" w:sz="8" w:space="0" w:color="000000"/>
            </w:tcBorders>
            <w:tcMar>
              <w:left w:w="108" w:type="dxa"/>
              <w:right w:w="108" w:type="dxa"/>
            </w:tcMar>
            <w:vAlign w:val="bottom"/>
          </w:tcPr>
          <w:p>
            <w:pPr>
              <w:pStyle w:val="Normal"/>
              <w:widowControl w:val="false"/>
              <w:snapToGrid w:val="false"/>
              <w:rPr>
                <w:szCs w:val="22"/>
              </w:rPr>
            </w:pPr>
            <w:r>
              <w:rPr>
                <w:szCs w:val="22"/>
              </w:rPr>
            </w:r>
          </w:p>
        </w:tc>
      </w:tr>
      <w:tr>
        <w:trPr>
          <w:trHeight w:val="676" w:hRule="atLeast"/>
        </w:trPr>
        <w:tc>
          <w:tcPr>
            <w:tcW w:w="567" w:type="dxa"/>
            <w:tcBorders>
              <w:left w:val="single" w:sz="4" w:space="0" w:color="000000"/>
              <w:bottom w:val="single" w:sz="4" w:space="0" w:color="000000"/>
            </w:tcBorders>
            <w:vAlign w:val="bottom"/>
          </w:tcPr>
          <w:p>
            <w:pPr>
              <w:pStyle w:val="Normal"/>
              <w:widowControl w:val="false"/>
              <w:jc w:val="right"/>
              <w:rPr>
                <w:rFonts w:ascii="Book Antiqua" w:hAnsi="Book Antiqua" w:cs="Book Antiqua"/>
                <w:i/>
                <w:i/>
                <w:iCs/>
                <w:szCs w:val="22"/>
              </w:rPr>
            </w:pPr>
            <w:r>
              <w:rPr>
                <w:rFonts w:cs="Book Antiqua" w:ascii="Book Antiqua" w:hAnsi="Book Antiqua"/>
                <w:i/>
                <w:iCs/>
                <w:szCs w:val="22"/>
              </w:rPr>
              <w:t>1</w:t>
            </w:r>
          </w:p>
        </w:tc>
        <w:tc>
          <w:tcPr>
            <w:tcW w:w="1005" w:type="dxa"/>
            <w:tcBorders>
              <w:left w:val="single" w:sz="4" w:space="0" w:color="000000"/>
              <w:bottom w:val="single" w:sz="4" w:space="0" w:color="000000"/>
            </w:tcBorders>
            <w:vAlign w:val="bottom"/>
          </w:tcPr>
          <w:p>
            <w:pPr>
              <w:pStyle w:val="Normal"/>
              <w:widowControl w:val="false"/>
              <w:snapToGrid w:val="false"/>
              <w:jc w:val="right"/>
              <w:rPr>
                <w:rFonts w:ascii="Book Antiqua" w:hAnsi="Book Antiqua" w:cs="Book Antiqua"/>
                <w:i/>
                <w:i/>
                <w:iCs/>
                <w:szCs w:val="22"/>
              </w:rPr>
            </w:pPr>
            <w:r>
              <w:rPr>
                <w:rFonts w:cs="Book Antiqua" w:ascii="Book Antiqua" w:hAnsi="Book Antiqua"/>
                <w:i/>
                <w:iCs/>
                <w:szCs w:val="22"/>
              </w:rPr>
            </w:r>
          </w:p>
        </w:tc>
        <w:tc>
          <w:tcPr>
            <w:tcW w:w="1053" w:type="dxa"/>
            <w:tcBorders>
              <w:left w:val="single" w:sz="4" w:space="0" w:color="000000"/>
              <w:bottom w:val="single" w:sz="4" w:space="0" w:color="000000"/>
            </w:tcBorders>
            <w:vAlign w:val="bottom"/>
          </w:tcPr>
          <w:p>
            <w:pPr>
              <w:pStyle w:val="Normal"/>
              <w:widowControl w:val="false"/>
              <w:snapToGrid w:val="false"/>
              <w:jc w:val="right"/>
              <w:rPr>
                <w:rFonts w:ascii="Book Antiqua" w:hAnsi="Book Antiqua" w:cs="Book Antiqua"/>
                <w:i/>
                <w:i/>
                <w:iCs/>
                <w:szCs w:val="22"/>
              </w:rPr>
            </w:pPr>
            <w:r>
              <w:rPr>
                <w:rFonts w:cs="Book Antiqua" w:ascii="Book Antiqua" w:hAnsi="Book Antiqua"/>
                <w:i/>
                <w:iCs/>
                <w:szCs w:val="22"/>
              </w:rPr>
            </w:r>
          </w:p>
        </w:tc>
        <w:tc>
          <w:tcPr>
            <w:tcW w:w="1060"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708"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134"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276"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580"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110" w:type="dxa"/>
            <w:tcBorders>
              <w:left w:val="single" w:sz="4" w:space="0" w:color="000000"/>
              <w:bottom w:val="single" w:sz="4" w:space="0" w:color="000000"/>
            </w:tcBorders>
            <w:vAlign w:val="bottom"/>
          </w:tcPr>
          <w:p>
            <w:pPr>
              <w:pStyle w:val="Normal"/>
              <w:widowControl w:val="false"/>
              <w:snapToGrid w:val="false"/>
              <w:jc w:val="right"/>
              <w:rPr>
                <w:rFonts w:ascii="Book Antiqua" w:hAnsi="Book Antiqua" w:cs="Book Antiqua"/>
                <w:i/>
                <w:i/>
                <w:iCs/>
                <w:szCs w:val="22"/>
              </w:rPr>
            </w:pPr>
            <w:r>
              <w:rPr>
                <w:rFonts w:cs="Book Antiqua" w:ascii="Book Antiqua" w:hAnsi="Book Antiqua"/>
                <w:i/>
                <w:iCs/>
                <w:szCs w:val="22"/>
              </w:rPr>
            </w:r>
          </w:p>
        </w:tc>
        <w:tc>
          <w:tcPr>
            <w:tcW w:w="1211" w:type="dxa"/>
            <w:tcBorders>
              <w:left w:val="single" w:sz="4" w:space="0" w:color="000000"/>
              <w:bottom w:val="single" w:sz="4" w:space="0" w:color="000000"/>
            </w:tcBorders>
            <w:vAlign w:val="bottom"/>
          </w:tcPr>
          <w:p>
            <w:pPr>
              <w:pStyle w:val="Normal"/>
              <w:widowControl w:val="false"/>
              <w:snapToGrid w:val="false"/>
              <w:jc w:val="right"/>
              <w:rPr>
                <w:rFonts w:ascii="Book Antiqua" w:hAnsi="Book Antiqua" w:cs="Book Antiqua"/>
                <w:i/>
                <w:i/>
                <w:iCs/>
                <w:szCs w:val="22"/>
              </w:rPr>
            </w:pPr>
            <w:r>
              <w:rPr>
                <w:rFonts w:cs="Book Antiqua" w:ascii="Book Antiqua" w:hAnsi="Book Antiqua"/>
                <w:i/>
                <w:iCs/>
                <w:szCs w:val="22"/>
              </w:rPr>
            </w:r>
          </w:p>
        </w:tc>
        <w:tc>
          <w:tcPr>
            <w:tcW w:w="946"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992"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418"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248"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356" w:type="dxa"/>
            <w:gridSpan w:val="2"/>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51" w:type="dxa"/>
            <w:gridSpan w:val="2"/>
            <w:tcBorders>
              <w:left w:val="single" w:sz="4" w:space="0" w:color="000000"/>
            </w:tcBorders>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59" w:type="dxa"/>
            <w:gridSpan w:val="2"/>
            <w:tcBorders/>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60" w:type="dxa"/>
            <w:gridSpan w:val="2"/>
            <w:tcBorders/>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59" w:type="dxa"/>
            <w:gridSpan w:val="2"/>
            <w:tcBorders/>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56" w:type="dxa"/>
            <w:gridSpan w:val="2"/>
            <w:tcBorders/>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r>
      <w:tr>
        <w:trPr>
          <w:trHeight w:val="573" w:hRule="atLeast"/>
        </w:trPr>
        <w:tc>
          <w:tcPr>
            <w:tcW w:w="567" w:type="dxa"/>
            <w:tcBorders>
              <w:left w:val="single" w:sz="4" w:space="0" w:color="000000"/>
              <w:bottom w:val="single" w:sz="4" w:space="0" w:color="000000"/>
            </w:tcBorders>
            <w:vAlign w:val="bottom"/>
          </w:tcPr>
          <w:p>
            <w:pPr>
              <w:pStyle w:val="Normal"/>
              <w:widowControl w:val="false"/>
              <w:rPr>
                <w:rFonts w:ascii="Book Antiqua" w:hAnsi="Book Antiqua" w:cs="Book Antiqua"/>
                <w:i/>
                <w:i/>
                <w:iCs/>
                <w:szCs w:val="22"/>
              </w:rPr>
            </w:pPr>
            <w:r>
              <w:rPr>
                <w:rFonts w:cs="Book Antiqua" w:ascii="Book Antiqua" w:hAnsi="Book Antiqua"/>
                <w:i/>
                <w:iCs/>
                <w:szCs w:val="22"/>
              </w:rPr>
              <w:t> </w:t>
            </w:r>
          </w:p>
        </w:tc>
        <w:tc>
          <w:tcPr>
            <w:tcW w:w="1005"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053"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060"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708"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134"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276"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580"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110" w:type="dxa"/>
            <w:tcBorders>
              <w:left w:val="single" w:sz="4" w:space="0" w:color="000000"/>
              <w:bottom w:val="single" w:sz="4" w:space="0" w:color="000000"/>
            </w:tcBorders>
            <w:vAlign w:val="bottom"/>
          </w:tcPr>
          <w:p>
            <w:pPr>
              <w:pStyle w:val="Normal"/>
              <w:widowControl w:val="false"/>
              <w:snapToGrid w:val="false"/>
              <w:jc w:val="right"/>
              <w:rPr>
                <w:rFonts w:ascii="Book Antiqua" w:hAnsi="Book Antiqua" w:cs="Book Antiqua"/>
                <w:i/>
                <w:i/>
                <w:iCs/>
                <w:szCs w:val="22"/>
              </w:rPr>
            </w:pPr>
            <w:r>
              <w:rPr>
                <w:rFonts w:cs="Book Antiqua" w:ascii="Book Antiqua" w:hAnsi="Book Antiqua"/>
                <w:i/>
                <w:iCs/>
                <w:szCs w:val="22"/>
              </w:rPr>
            </w:r>
          </w:p>
        </w:tc>
        <w:tc>
          <w:tcPr>
            <w:tcW w:w="1211"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946"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992"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418"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248" w:type="dxa"/>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1356" w:type="dxa"/>
            <w:gridSpan w:val="2"/>
            <w:tcBorders>
              <w:left w:val="single" w:sz="4" w:space="0" w:color="000000"/>
              <w:bottom w:val="single" w:sz="4" w:space="0" w:color="000000"/>
            </w:tcBorders>
            <w:vAlign w:val="bottom"/>
          </w:tcPr>
          <w:p>
            <w:pPr>
              <w:pStyle w:val="Normal"/>
              <w:widowControl w:val="false"/>
              <w:snapToGrid w:val="false"/>
              <w:rPr>
                <w:rFonts w:ascii="Book Antiqua" w:hAnsi="Book Antiqua" w:cs="Book Antiqua"/>
                <w:i/>
                <w:i/>
                <w:iCs/>
                <w:szCs w:val="22"/>
              </w:rPr>
            </w:pPr>
            <w:r>
              <w:rPr>
                <w:rFonts w:cs="Book Antiqua" w:ascii="Book Antiqua" w:hAnsi="Book Antiqua"/>
                <w:i/>
                <w:iCs/>
                <w:szCs w:val="22"/>
              </w:rPr>
            </w:r>
          </w:p>
        </w:tc>
        <w:tc>
          <w:tcPr>
            <w:tcW w:w="51" w:type="dxa"/>
            <w:gridSpan w:val="2"/>
            <w:tcBorders>
              <w:left w:val="single" w:sz="4" w:space="0" w:color="000000"/>
            </w:tcBorders>
          </w:tcPr>
          <w:p>
            <w:pPr>
              <w:pStyle w:val="Normal"/>
              <w:widowControl w:val="false"/>
              <w:snapToGrid w:val="false"/>
              <w:rPr>
                <w:rFonts w:ascii="Book Antiqua" w:hAnsi="Book Antiqua" w:cs="Book Antiqua"/>
                <w:i/>
                <w:i/>
                <w:iCs/>
                <w:sz w:val="24"/>
                <w:szCs w:val="24"/>
              </w:rPr>
            </w:pPr>
            <w:r>
              <w:rPr>
                <w:rFonts w:cs="Book Antiqua" w:ascii="Book Antiqua" w:hAnsi="Book Antiqua"/>
                <w:i/>
                <w:iCs/>
                <w:sz w:val="24"/>
                <w:szCs w:val="24"/>
              </w:rPr>
            </w:r>
          </w:p>
        </w:tc>
        <w:tc>
          <w:tcPr>
            <w:tcW w:w="59" w:type="dxa"/>
            <w:gridSpan w:val="2"/>
            <w:tcBorders/>
          </w:tcPr>
          <w:p>
            <w:pPr>
              <w:pStyle w:val="Normal"/>
              <w:widowControl w:val="false"/>
              <w:snapToGrid w:val="false"/>
              <w:rPr>
                <w:rFonts w:ascii="Book Antiqua" w:hAnsi="Book Antiqua" w:cs="Book Antiqua"/>
                <w:i/>
                <w:i/>
                <w:iCs/>
                <w:sz w:val="24"/>
                <w:szCs w:val="24"/>
              </w:rPr>
            </w:pPr>
            <w:r>
              <w:rPr>
                <w:rFonts w:cs="Book Antiqua" w:ascii="Book Antiqua" w:hAnsi="Book Antiqua"/>
                <w:i/>
                <w:iCs/>
                <w:sz w:val="24"/>
                <w:szCs w:val="24"/>
              </w:rPr>
            </w:r>
          </w:p>
        </w:tc>
        <w:tc>
          <w:tcPr>
            <w:tcW w:w="60" w:type="dxa"/>
            <w:gridSpan w:val="2"/>
            <w:tcBorders/>
          </w:tcPr>
          <w:p>
            <w:pPr>
              <w:pStyle w:val="Normal"/>
              <w:widowControl w:val="false"/>
              <w:snapToGrid w:val="false"/>
              <w:rPr>
                <w:rFonts w:ascii="Book Antiqua" w:hAnsi="Book Antiqua" w:cs="Book Antiqua"/>
                <w:i/>
                <w:i/>
                <w:iCs/>
                <w:sz w:val="24"/>
                <w:szCs w:val="24"/>
              </w:rPr>
            </w:pPr>
            <w:r>
              <w:rPr>
                <w:rFonts w:cs="Book Antiqua" w:ascii="Book Antiqua" w:hAnsi="Book Antiqua"/>
                <w:i/>
                <w:iCs/>
                <w:sz w:val="24"/>
                <w:szCs w:val="24"/>
              </w:rPr>
            </w:r>
          </w:p>
        </w:tc>
        <w:tc>
          <w:tcPr>
            <w:tcW w:w="59" w:type="dxa"/>
            <w:gridSpan w:val="2"/>
            <w:tcBorders/>
          </w:tcPr>
          <w:p>
            <w:pPr>
              <w:pStyle w:val="Normal"/>
              <w:widowControl w:val="false"/>
              <w:snapToGrid w:val="false"/>
              <w:rPr>
                <w:rFonts w:ascii="Book Antiqua" w:hAnsi="Book Antiqua" w:cs="Book Antiqua"/>
                <w:i/>
                <w:i/>
                <w:iCs/>
                <w:sz w:val="24"/>
                <w:szCs w:val="24"/>
              </w:rPr>
            </w:pPr>
            <w:r>
              <w:rPr>
                <w:rFonts w:cs="Book Antiqua" w:ascii="Book Antiqua" w:hAnsi="Book Antiqua"/>
                <w:i/>
                <w:iCs/>
                <w:sz w:val="24"/>
                <w:szCs w:val="24"/>
              </w:rPr>
            </w:r>
          </w:p>
        </w:tc>
        <w:tc>
          <w:tcPr>
            <w:tcW w:w="56" w:type="dxa"/>
            <w:gridSpan w:val="2"/>
            <w:tcBorders/>
          </w:tcPr>
          <w:p>
            <w:pPr>
              <w:pStyle w:val="Normal"/>
              <w:widowControl w:val="false"/>
              <w:snapToGrid w:val="false"/>
              <w:rPr>
                <w:rFonts w:ascii="Book Antiqua" w:hAnsi="Book Antiqua" w:cs="Book Antiqua"/>
                <w:i/>
                <w:i/>
                <w:iCs/>
                <w:sz w:val="24"/>
                <w:szCs w:val="24"/>
              </w:rPr>
            </w:pPr>
            <w:r>
              <w:rPr>
                <w:rFonts w:cs="Book Antiqua" w:ascii="Book Antiqua" w:hAnsi="Book Antiqua"/>
                <w:i/>
                <w:iCs/>
                <w:sz w:val="24"/>
                <w:szCs w:val="24"/>
              </w:rPr>
            </w:r>
          </w:p>
        </w:tc>
      </w:tr>
    </w:tbl>
    <w:p>
      <w:pPr>
        <w:pStyle w:val="Normal"/>
        <w:rPr>
          <w:b/>
          <w:bCs/>
          <w:sz w:val="26"/>
          <w:szCs w:val="26"/>
          <w:shd w:fill="auto" w:val="clear"/>
        </w:rPr>
      </w:pPr>
      <w:r>
        <w:rPr>
          <w:b/>
          <w:bCs/>
          <w:sz w:val="26"/>
          <w:szCs w:val="26"/>
          <w:shd w:fill="auto" w:val="clear"/>
        </w:rPr>
      </w:r>
    </w:p>
    <w:p>
      <w:pPr>
        <w:pStyle w:val="Normal"/>
        <w:ind w:left="-142" w:right="0" w:hanging="0"/>
        <w:rPr>
          <w:b/>
          <w:bCs/>
          <w:sz w:val="26"/>
          <w:szCs w:val="26"/>
          <w:shd w:fill="auto" w:val="clear"/>
        </w:rPr>
      </w:pPr>
      <w:r>
        <w:rPr>
          <w:b/>
          <w:szCs w:val="22"/>
        </w:rPr>
        <w:t>Покупатель:</w:t>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b/>
          <w:bCs/>
          <w:sz w:val="24"/>
          <w:szCs w:val="24"/>
        </w:rPr>
      </w:pPr>
      <w:r>
        <w:rPr>
          <w:b/>
          <w:bCs/>
          <w:sz w:val="24"/>
          <w:szCs w:val="24"/>
        </w:rPr>
      </w:r>
    </w:p>
    <w:p>
      <w:pPr>
        <w:pStyle w:val="Normal"/>
        <w:ind w:left="0" w:right="0" w:firstLine="709"/>
        <w:rPr>
          <w:rFonts w:ascii="Times New Roman" w:hAnsi="Times New Roman"/>
          <w:sz w:val="24"/>
          <w:szCs w:val="24"/>
        </w:rPr>
      </w:pPr>
      <w:r>
        <w:rPr>
          <w:sz w:val="24"/>
          <w:szCs w:val="24"/>
        </w:rPr>
      </w:r>
    </w:p>
    <w:p>
      <w:pPr>
        <w:pStyle w:val="Normal"/>
        <w:ind w:left="0" w:right="0" w:hanging="0"/>
        <w:rPr>
          <w:rFonts w:ascii="Times New Roman" w:hAnsi="Times New Roman"/>
          <w:sz w:val="24"/>
          <w:szCs w:val="24"/>
        </w:rPr>
      </w:pPr>
      <w:r>
        <w:rPr/>
      </w:r>
    </w:p>
    <w:sectPr>
      <w:headerReference w:type="default" r:id="rId10"/>
      <w:headerReference w:type="first" r:id="rId11"/>
      <w:footnotePr>
        <w:numFmt w:val="decimal"/>
      </w:footnotePr>
      <w:type w:val="nextPage"/>
      <w:pgSz w:orient="landscape" w:w="16838" w:h="11906"/>
      <w:pgMar w:left="993" w:right="851" w:gutter="0" w:header="0" w:top="1134" w:footer="0" w:bottom="708"/>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Book Antiqu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8"/>
        </w:rPr>
        <w:footnoteRef/>
      </w:r>
      <w:r>
        <w:rPr>
          <w:rStyle w:val="Style18"/>
        </w:rPr>
        <w:tab/>
      </w:r>
      <w:r>
        <w:rPr/>
        <w:t xml:space="preserve"> </w:t>
      </w:r>
      <w:r>
        <w:rPr>
          <w:highlight w:val="lightGray"/>
        </w:rPr>
        <w:t>Применяется в случае проведения закупочных процедур только среди МСП.</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i/>
        <w:i/>
        <w:sz w:val="24"/>
        <w:szCs w:val="24"/>
      </w:rPr>
    </w:pPr>
    <w:r>
      <w:rPr>
        <w:i/>
        <w:sz w:val="24"/>
        <w:szCs w:val="24"/>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367"/>
        <w:tab w:val="left" w:pos="1875" w:leader="none"/>
        <w:tab w:val="center" w:pos="4153" w:leader="none"/>
        <w:tab w:val="right" w:pos="8306" w:leader="none"/>
      </w:tabs>
      <w:rPr>
        <w:i/>
        <w:i/>
      </w:rPr>
    </w:pPr>
    <w:r>
      <w:rPr>
        <w:i/>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6"/>
      <w:numFmt w:val="decimal"/>
      <w:lvlText w:val="%1."/>
      <w:lvlJc w:val="left"/>
      <w:pPr>
        <w:tabs>
          <w:tab w:val="num" w:pos="0"/>
        </w:tabs>
        <w:ind w:left="720" w:hanging="360"/>
      </w:pPr>
      <w:rPr/>
    </w:lvl>
    <w:lvl w:ilvl="1">
      <w:start w:val="1"/>
      <w:numFmt w:val="decimal"/>
      <w:lvlText w:val="%1.%2."/>
      <w:lvlJc w:val="left"/>
      <w:pPr>
        <w:tabs>
          <w:tab w:val="num" w:pos="0"/>
        </w:tabs>
        <w:ind w:left="1779" w:hanging="360"/>
      </w:pPr>
      <w:rPr>
        <w:sz w:val="24"/>
        <w:b/>
        <w:szCs w:val="24"/>
      </w:rPr>
    </w:lvl>
    <w:lvl w:ilvl="2">
      <w:start w:val="1"/>
      <w:numFmt w:val="decimal"/>
      <w:lvlText w:val="%1.%2.%3."/>
      <w:lvlJc w:val="left"/>
      <w:pPr>
        <w:tabs>
          <w:tab w:val="num" w:pos="0"/>
        </w:tabs>
        <w:ind w:left="3198" w:hanging="720"/>
      </w:pPr>
      <w:rPr/>
    </w:lvl>
    <w:lvl w:ilvl="3">
      <w:start w:val="1"/>
      <w:numFmt w:val="decimal"/>
      <w:lvlText w:val="%1.%2.%3.%4."/>
      <w:lvlJc w:val="left"/>
      <w:pPr>
        <w:tabs>
          <w:tab w:val="num" w:pos="0"/>
        </w:tabs>
        <w:ind w:left="4257" w:hanging="720"/>
      </w:pPr>
      <w:rPr/>
    </w:lvl>
    <w:lvl w:ilvl="4">
      <w:start w:val="1"/>
      <w:numFmt w:val="decimal"/>
      <w:lvlText w:val="%1.%2.%3.%4.%5."/>
      <w:lvlJc w:val="left"/>
      <w:pPr>
        <w:tabs>
          <w:tab w:val="num" w:pos="0"/>
        </w:tabs>
        <w:ind w:left="5676" w:hanging="1080"/>
      </w:pPr>
      <w:rPr/>
    </w:lvl>
    <w:lvl w:ilvl="5">
      <w:start w:val="1"/>
      <w:numFmt w:val="decimal"/>
      <w:lvlText w:val="%1.%2.%3.%4.%5.%6."/>
      <w:lvlJc w:val="left"/>
      <w:pPr>
        <w:tabs>
          <w:tab w:val="num" w:pos="0"/>
        </w:tabs>
        <w:ind w:left="6735" w:hanging="1080"/>
      </w:pPr>
      <w:rPr/>
    </w:lvl>
    <w:lvl w:ilvl="6">
      <w:start w:val="1"/>
      <w:numFmt w:val="decimal"/>
      <w:lvlText w:val="%1.%2.%3.%4.%5.%6.%7."/>
      <w:lvlJc w:val="left"/>
      <w:pPr>
        <w:tabs>
          <w:tab w:val="num" w:pos="0"/>
        </w:tabs>
        <w:ind w:left="8154" w:hanging="1440"/>
      </w:pPr>
      <w:rPr/>
    </w:lvl>
    <w:lvl w:ilvl="7">
      <w:start w:val="1"/>
      <w:numFmt w:val="decimal"/>
      <w:lvlText w:val="%1.%2.%3.%4.%5.%6.%7.%8."/>
      <w:lvlJc w:val="left"/>
      <w:pPr>
        <w:tabs>
          <w:tab w:val="num" w:pos="0"/>
        </w:tabs>
        <w:ind w:left="9213" w:hanging="1440"/>
      </w:pPr>
      <w:rPr/>
    </w:lvl>
    <w:lvl w:ilvl="8">
      <w:start w:val="1"/>
      <w:numFmt w:val="decimal"/>
      <w:lvlText w:val="%1.%2.%3.%4.%5.%6.%7.%8.%9."/>
      <w:lvlJc w:val="left"/>
      <w:pPr>
        <w:tabs>
          <w:tab w:val="num" w:pos="0"/>
        </w:tabs>
        <w:ind w:left="10632" w:hanging="1800"/>
      </w:pPr>
      <w:rPr/>
    </w:lvl>
  </w:abstractNum>
  <w:abstractNum w:abstractNumId="12">
    <w:lvl w:ilvl="0">
      <w:start w:val="1"/>
      <w:numFmt w:val="bullet"/>
      <w:lvlText w:val="–"/>
      <w:lvlJc w:val="left"/>
      <w:pPr>
        <w:tabs>
          <w:tab w:val="num" w:pos="0"/>
        </w:tabs>
        <w:ind w:left="0" w:hanging="360"/>
      </w:pPr>
      <w:rPr>
        <w:rFonts w:ascii="Times New Roman" w:hAnsi="Times New Roman" w:cs="Times New Roman" w:hint="default"/>
        <w:dstrike w:val="false"/>
        <w:strike w:val="false"/>
        <w:vertAlign w:val="baseline"/>
        <w:position w:val="0"/>
        <w:sz w:val="24"/>
        <w:sz w:val="24"/>
        <w:i w:val="false"/>
        <w:u w:val="none"/>
        <w:b w:val="false"/>
        <w:shd w:fill="FFFFFF" w:val="clear"/>
        <w:szCs w:val="28"/>
        <w:color w:val="000000"/>
      </w:rPr>
    </w:lvl>
    <w:lvl w:ilvl="1">
      <w:start w:val="1"/>
      <w:numFmt w:val="bullet"/>
      <w:lvlText w:val="o"/>
      <w:lvlJc w:val="left"/>
      <w:pPr>
        <w:tabs>
          <w:tab w:val="num" w:pos="0"/>
        </w:tabs>
        <w:ind w:left="178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2">
      <w:start w:val="1"/>
      <w:numFmt w:val="bullet"/>
      <w:lvlText w:val="▪"/>
      <w:lvlJc w:val="left"/>
      <w:pPr>
        <w:tabs>
          <w:tab w:val="num" w:pos="0"/>
        </w:tabs>
        <w:ind w:left="250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3">
      <w:start w:val="1"/>
      <w:numFmt w:val="bullet"/>
      <w:lvlText w:val="•"/>
      <w:lvlJc w:val="left"/>
      <w:pPr>
        <w:tabs>
          <w:tab w:val="num" w:pos="0"/>
        </w:tabs>
        <w:ind w:left="322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4">
      <w:start w:val="1"/>
      <w:numFmt w:val="bullet"/>
      <w:lvlText w:val="o"/>
      <w:lvlJc w:val="left"/>
      <w:pPr>
        <w:tabs>
          <w:tab w:val="num" w:pos="0"/>
        </w:tabs>
        <w:ind w:left="394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5">
      <w:start w:val="1"/>
      <w:numFmt w:val="bullet"/>
      <w:lvlText w:val="▪"/>
      <w:lvlJc w:val="left"/>
      <w:pPr>
        <w:tabs>
          <w:tab w:val="num" w:pos="0"/>
        </w:tabs>
        <w:ind w:left="466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6">
      <w:start w:val="1"/>
      <w:numFmt w:val="bullet"/>
      <w:lvlText w:val="•"/>
      <w:lvlJc w:val="left"/>
      <w:pPr>
        <w:tabs>
          <w:tab w:val="num" w:pos="0"/>
        </w:tabs>
        <w:ind w:left="538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7">
      <w:start w:val="1"/>
      <w:numFmt w:val="bullet"/>
      <w:lvlText w:val="o"/>
      <w:lvlJc w:val="left"/>
      <w:pPr>
        <w:tabs>
          <w:tab w:val="num" w:pos="0"/>
        </w:tabs>
        <w:ind w:left="610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8">
      <w:start w:val="1"/>
      <w:numFmt w:val="bullet"/>
      <w:lvlText w:val="▪"/>
      <w:lvlJc w:val="left"/>
      <w:pPr>
        <w:tabs>
          <w:tab w:val="num" w:pos="0"/>
        </w:tabs>
        <w:ind w:left="682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367"/>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kern w:val="2"/>
        <w:lang w:val="ru-RU" w:eastAsia="ru-RU" w:bidi="ar-SA"/>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paragraph" w:styleId="Heading1">
    <w:name w:val="Heading 1"/>
    <w:basedOn w:val="Normal"/>
    <w:qFormat/>
    <w:pPr>
      <w:keepNext w:val="true"/>
      <w:numPr>
        <w:ilvl w:val="0"/>
        <w:numId w:val="0"/>
      </w:numPr>
      <w:spacing w:before="240" w:after="60"/>
      <w:outlineLvl w:val="0"/>
    </w:pPr>
    <w:rPr>
      <w:rFonts w:ascii="Arial" w:hAnsi="Arial" w:cs="Arial"/>
      <w:b/>
      <w:bCs/>
      <w:kern w:val="2"/>
      <w:sz w:val="32"/>
      <w:szCs w:val="32"/>
    </w:rPr>
  </w:style>
  <w:style w:type="paragraph" w:styleId="Heading3">
    <w:name w:val="Heading 3"/>
    <w:basedOn w:val="Normal"/>
    <w:qFormat/>
    <w:pPr>
      <w:keepNext w:val="true"/>
      <w:keepLines/>
      <w:numPr>
        <w:ilvl w:val="0"/>
        <w:numId w:val="0"/>
      </w:numPr>
      <w:spacing w:before="200" w:after="0"/>
      <w:outlineLvl w:val="2"/>
    </w:pPr>
    <w:rPr>
      <w:rFonts w:ascii="Cambria" w:hAnsi="Cambria"/>
      <w:b/>
      <w:bCs/>
      <w:color w:val="4F81BD"/>
      <w:lang w:val="x-none" w:eastAsia="x-none"/>
    </w:rPr>
  </w:style>
  <w:style w:type="character" w:styleId="DefaultParagraphFont">
    <w:name w:val="Default Paragraph Font"/>
    <w:qFormat/>
    <w:rPr/>
  </w:style>
  <w:style w:type="character" w:styleId="Style7">
    <w:name w:val="Заголовок Знак"/>
    <w:qFormat/>
    <w:rPr>
      <w:b/>
      <w:bCs/>
      <w:sz w:val="24"/>
      <w:szCs w:val="24"/>
      <w:lang w:val="ru-RU" w:eastAsia="ru-RU" w:bidi="ar-SA"/>
    </w:rPr>
  </w:style>
  <w:style w:type="character" w:styleId="Style8">
    <w:name w:val="Основной текст Знак"/>
    <w:qFormat/>
    <w:rPr>
      <w:lang w:val="ru-RU" w:eastAsia="ru-RU" w:bidi="ar-SA"/>
    </w:rPr>
  </w:style>
  <w:style w:type="character" w:styleId="Pagenumber">
    <w:name w:val="page number"/>
    <w:basedOn w:val="DefaultParagraphFont"/>
    <w:qFormat/>
    <w:rPr/>
  </w:style>
  <w:style w:type="character" w:styleId="3">
    <w:name w:val="Основной текст 3 Знак"/>
    <w:qFormat/>
    <w:rPr>
      <w:sz w:val="16"/>
      <w:szCs w:val="16"/>
    </w:rPr>
  </w:style>
  <w:style w:type="character" w:styleId="Annotationreference">
    <w:name w:val="annotation reference"/>
    <w:qFormat/>
    <w:rPr>
      <w:sz w:val="16"/>
      <w:szCs w:val="16"/>
    </w:rPr>
  </w:style>
  <w:style w:type="character" w:styleId="Style9">
    <w:name w:val="Текст примечания Знак"/>
    <w:basedOn w:val="DefaultParagraphFont"/>
    <w:qFormat/>
    <w:rPr/>
  </w:style>
  <w:style w:type="character" w:styleId="Style10">
    <w:name w:val="Тема примечания Знак"/>
    <w:qFormat/>
    <w:rPr>
      <w:b/>
      <w:bCs/>
    </w:rPr>
  </w:style>
  <w:style w:type="character" w:styleId="31">
    <w:name w:val="Заголовок 3 Знак"/>
    <w:qFormat/>
    <w:rPr>
      <w:rFonts w:ascii="Cambria" w:hAnsi="Cambria" w:eastAsia="Times New Roman" w:cs="Times New Roman"/>
      <w:b/>
      <w:bCs/>
      <w:color w:val="4F81BD"/>
    </w:rPr>
  </w:style>
  <w:style w:type="character" w:styleId="Style11">
    <w:name w:val="Основной текст с отступом Знак"/>
    <w:basedOn w:val="DefaultParagraphFont"/>
    <w:qFormat/>
    <w:rPr/>
  </w:style>
  <w:style w:type="character" w:styleId="Style12">
    <w:name w:val="комментарий"/>
    <w:qFormat/>
    <w:rPr>
      <w:rFonts w:cs="Times New Roman"/>
      <w:i/>
      <w:iCs/>
      <w:shd w:fill="FFFF99" w:val="clear"/>
    </w:rPr>
  </w:style>
  <w:style w:type="character" w:styleId="Style13">
    <w:name w:val="Текст сноски Знак"/>
    <w:basedOn w:val="DefaultParagraphFont"/>
    <w:qFormat/>
    <w:rPr/>
  </w:style>
  <w:style w:type="character" w:styleId="Footnotereference1">
    <w:name w:val="footnote reference1"/>
    <w:qFormat/>
    <w:rPr>
      <w:vertAlign w:val="superscript"/>
    </w:rPr>
  </w:style>
  <w:style w:type="character" w:styleId="Style14">
    <w:name w:val="Верхний колонтитул Знак"/>
    <w:basedOn w:val="DefaultParagraphFont"/>
    <w:qFormat/>
    <w:rPr/>
  </w:style>
  <w:style w:type="character" w:styleId="Hyperlink">
    <w:name w:val="Hyperlink"/>
    <w:rPr>
      <w:color w:val="0000FF"/>
      <w:u w:val="single"/>
    </w:rPr>
  </w:style>
  <w:style w:type="character" w:styleId="Style15">
    <w:name w:val="Нижний колонтитул Знак"/>
    <w:qFormat/>
    <w:rPr/>
  </w:style>
  <w:style w:type="character" w:styleId="Style16">
    <w:name w:val="Название Знак"/>
    <w:qFormat/>
    <w:rPr>
      <w:b/>
      <w:bCs/>
      <w:sz w:val="24"/>
      <w:szCs w:val="24"/>
    </w:rPr>
  </w:style>
  <w:style w:type="character" w:styleId="Style17">
    <w:name w:val="Абзац списка Знак"/>
    <w:qFormat/>
    <w:rPr/>
  </w:style>
  <w:style w:type="character" w:styleId="Doctitleimportant">
    <w:name w:val="doc__title_important"/>
    <w:basedOn w:val="DefaultParagraphFont"/>
    <w:qFormat/>
    <w:rPr/>
  </w:style>
  <w:style w:type="character" w:styleId="Style18">
    <w:name w:val="Символ сноски"/>
    <w:qFormat/>
    <w:rPr>
      <w:vertAlign w:val="superscript"/>
    </w:rPr>
  </w:style>
  <w:style w:type="character" w:styleId="FootnoteReference">
    <w:name w:val="Footnote Reference"/>
    <w:rPr>
      <w:vertAlign w:val="superscript"/>
    </w:rPr>
  </w:style>
  <w:style w:type="character" w:styleId="WW8Num2z0">
    <w:name w:val="WW8Num2z0"/>
    <w:qFormat/>
    <w:rPr>
      <w:b/>
      <w:sz w:val="24"/>
      <w:szCs w:val="24"/>
      <w:shd w:fill="C0C0C0" w:val="clear"/>
    </w:rPr>
  </w:style>
  <w:style w:type="character" w:styleId="WW8Num2z1">
    <w:name w:val="WW8Num2z1"/>
    <w:qFormat/>
    <w:rPr>
      <w:b/>
      <w:bCs/>
      <w:sz w:val="24"/>
      <w:szCs w:val="24"/>
      <w:shd w:fill="C0C0C0" w:val="clear"/>
    </w:rPr>
  </w:style>
  <w:style w:type="character" w:styleId="WW8Num2z2">
    <w:name w:val="WW8Num2z2"/>
    <w:qFormat/>
    <w:rPr>
      <w:bCs/>
      <w:sz w:val="24"/>
      <w:szCs w:val="24"/>
      <w:lang w:val="en-US"/>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12z0">
    <w:name w:val="WW8Num12z0"/>
    <w:qFormat/>
    <w:rPr>
      <w:b/>
      <w:sz w:val="24"/>
      <w:szCs w:val="24"/>
    </w:rPr>
  </w:style>
  <w:style w:type="character" w:styleId="WW8Num12z1">
    <w:name w:val="WW8Num12z1"/>
    <w:qFormat/>
    <w:rPr>
      <w:b/>
      <w:bCs/>
      <w:sz w:val="24"/>
      <w:szCs w:val="24"/>
    </w:rPr>
  </w:style>
  <w:style w:type="character" w:styleId="WW8Num12z2">
    <w:name w:val="WW8Num12z2"/>
    <w:qFormat/>
    <w:rPr>
      <w:sz w:val="24"/>
      <w:szCs w:val="24"/>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z0">
    <w:name w:val="WW8Num1z0"/>
    <w:qFormat/>
    <w:rPr/>
  </w:style>
  <w:style w:type="character" w:styleId="WW8Num1z1">
    <w:name w:val="WW8Num1z1"/>
    <w:qFormat/>
    <w:rPr>
      <w:b/>
      <w:bCs/>
      <w:sz w:val="24"/>
      <w:szCs w:val="24"/>
      <w:shd w:fill="C0C0C0" w:val="clear"/>
    </w:rPr>
  </w:style>
  <w:style w:type="character" w:styleId="WW8Num1z2">
    <w:name w:val="WW8Num1z2"/>
    <w:qFormat/>
    <w:rPr>
      <w:bCs/>
      <w:sz w:val="24"/>
      <w:szCs w:val="24"/>
      <w:lang w:val="en-US"/>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1">
    <w:name w:val="Указатель"/>
    <w:basedOn w:val="Normal"/>
    <w:qFormat/>
    <w:pPr>
      <w:suppressLineNumbers/>
    </w:pPr>
    <w:rPr>
      <w:rFonts w:cs="Lohit Devanagari"/>
    </w:rPr>
  </w:style>
  <w:style w:type="paragraph" w:styleId="Title">
    <w:name w:val="Title"/>
    <w:basedOn w:val="Normal"/>
    <w:qFormat/>
    <w:pPr>
      <w:jc w:val="center"/>
    </w:pPr>
    <w:rPr>
      <w:b/>
      <w:bCs/>
      <w:sz w:val="24"/>
      <w:szCs w:val="24"/>
    </w:rPr>
  </w:style>
  <w:style w:type="paragraph" w:styleId="Style22">
    <w:name w:val="Таблицы (моноширинный)"/>
    <w:basedOn w:val="Normal"/>
    <w:qFormat/>
    <w:pPr>
      <w:jc w:val="both"/>
    </w:pPr>
    <w:rPr>
      <w:rFonts w:ascii="Courier New" w:hAnsi="Courier New" w:cs="Courier New"/>
    </w:rPr>
  </w:style>
  <w:style w:type="paragraph" w:styleId="BodyTextIndent2">
    <w:name w:val="Body Text Indent 2"/>
    <w:basedOn w:val="Normal"/>
    <w:qFormat/>
    <w:pPr>
      <w:ind w:left="1843" w:right="0" w:hanging="0"/>
      <w:jc w:val="both"/>
    </w:pPr>
    <w:rPr>
      <w:sz w:val="24"/>
    </w:rPr>
  </w:style>
  <w:style w:type="paragraph" w:styleId="BalloonText">
    <w:name w:val="Balloon Text"/>
    <w:basedOn w:val="Normal"/>
    <w:qFormat/>
    <w:pPr/>
    <w:rPr>
      <w:rFonts w:ascii="Tahoma" w:hAnsi="Tahoma" w:cs="Tahoma"/>
      <w:sz w:val="16"/>
      <w:szCs w:val="16"/>
    </w:rPr>
  </w:style>
  <w:style w:type="paragraph" w:styleId="BodyText2">
    <w:name w:val="Body Text 2"/>
    <w:basedOn w:val="Normal"/>
    <w:qFormat/>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pPr>
      <w:tabs>
        <w:tab w:val="clear" w:pos="367"/>
        <w:tab w:val="center" w:pos="4677" w:leader="none"/>
        <w:tab w:val="right" w:pos="9355" w:leader="none"/>
      </w:tabs>
    </w:pPr>
    <w:rPr/>
  </w:style>
  <w:style w:type="paragraph" w:styleId="BodyText3">
    <w:name w:val="Body Text 3"/>
    <w:basedOn w:val="Normal"/>
    <w:qFormat/>
    <w:pPr>
      <w:spacing w:before="0" w:after="120"/>
    </w:pPr>
    <w:rPr>
      <w:sz w:val="16"/>
      <w:szCs w:val="16"/>
      <w:lang w:val="x-none" w:eastAsia="x-none"/>
    </w:rPr>
  </w:style>
  <w:style w:type="paragraph" w:styleId="Annotationtext">
    <w:name w:val="annotation text"/>
    <w:basedOn w:val="Normal"/>
    <w:qFormat/>
    <w:pPr/>
    <w:rPr/>
  </w:style>
  <w:style w:type="paragraph" w:styleId="Annotationsubject">
    <w:name w:val="annotation subject"/>
    <w:basedOn w:val="Annotationtext"/>
    <w:qFormat/>
    <w:pPr/>
    <w:rPr>
      <w:b/>
      <w:bCs/>
      <w:lang w:val="x-none" w:eastAsia="x-none"/>
    </w:rPr>
  </w:style>
  <w:style w:type="paragraph" w:styleId="ListParagraph">
    <w:name w:val="List Paragraph"/>
    <w:basedOn w:val="Normal"/>
    <w:qFormat/>
    <w:pPr>
      <w:spacing w:before="0" w:after="0"/>
      <w:ind w:left="720" w:right="0" w:hanging="0"/>
      <w:contextualSpacing/>
    </w:pPr>
    <w:rPr/>
  </w:style>
  <w:style w:type="paragraph" w:styleId="Style24">
    <w:name w:val="Знак Знак Знак Знак Знак Знак Знак Знак Знак"/>
    <w:basedOn w:val="Normal"/>
    <w:qFormat/>
    <w:pPr>
      <w:widowControl/>
      <w:spacing w:lineRule="exact" w:line="240" w:before="0" w:after="160"/>
      <w:jc w:val="both"/>
    </w:pPr>
    <w:rPr>
      <w:rFonts w:ascii="Verdana" w:hAnsi="Verdana"/>
      <w:sz w:val="22"/>
      <w:lang w:val="en-US" w:eastAsia="en-US"/>
    </w:rPr>
  </w:style>
  <w:style w:type="paragraph" w:styleId="Style25">
    <w:name w:val="Подпункт договора"/>
    <w:basedOn w:val="Normal"/>
    <w:qFormat/>
    <w:pPr>
      <w:widowControl/>
      <w:tabs>
        <w:tab w:val="clear" w:pos="367"/>
        <w:tab w:val="left" w:pos="360" w:leader="none"/>
      </w:tabs>
      <w:jc w:val="both"/>
    </w:pPr>
    <w:rPr>
      <w:rFonts w:ascii="Arial" w:hAnsi="Arial"/>
    </w:rPr>
  </w:style>
  <w:style w:type="paragraph" w:styleId="ConsNormal">
    <w:name w:val="ConsNormal"/>
    <w:qFormat/>
    <w:pPr>
      <w:widowControl/>
      <w:suppressAutoHyphens w:val="true"/>
      <w:overflowPunct w:val="true"/>
      <w:bidi w:val="0"/>
      <w:spacing w:before="0" w:after="0"/>
      <w:ind w:left="0" w:right="19772" w:firstLine="720"/>
      <w:jc w:val="left"/>
    </w:pPr>
    <w:rPr>
      <w:rFonts w:ascii="Arial" w:hAnsi="Arial" w:eastAsia="Times New Roman" w:cs="Times New Roman"/>
      <w:color w:val="auto"/>
      <w:kern w:val="2"/>
      <w:sz w:val="32"/>
      <w:szCs w:val="20"/>
      <w:lang w:val="ru-RU" w:eastAsia="en-US" w:bidi="ar-SA"/>
    </w:rPr>
  </w:style>
  <w:style w:type="paragraph" w:styleId="BodyTextIndent">
    <w:name w:val="Body Text Indent"/>
    <w:basedOn w:val="Normal"/>
    <w:pPr>
      <w:spacing w:before="0" w:after="120"/>
      <w:ind w:left="283" w:right="0" w:hanging="0"/>
    </w:pPr>
    <w:rPr/>
  </w:style>
  <w:style w:type="paragraph" w:styleId="Style26">
    <w:name w:val="Знак"/>
    <w:basedOn w:val="Normal"/>
    <w:qFormat/>
    <w:pPr>
      <w:widowControl/>
      <w:spacing w:lineRule="exact" w:line="240" w:before="0" w:after="160"/>
    </w:pPr>
    <w:rPr>
      <w:rFonts w:ascii="Verdana" w:hAnsi="Verdana" w:cs="Verdana"/>
      <w:lang w:val="en-US" w:eastAsia="en-US"/>
    </w:rPr>
  </w:style>
  <w:style w:type="paragraph" w:styleId="Footnotetext1">
    <w:name w:val="footnote text1"/>
    <w:basedOn w:val="Normal"/>
    <w:qFormat/>
    <w:pPr/>
    <w:rPr/>
  </w:style>
  <w:style w:type="paragraph" w:styleId="ListBullet3">
    <w:name w:val="List Bullet 3"/>
    <w:basedOn w:val="Normal"/>
    <w:qFormat/>
    <w:pPr>
      <w:widowControl/>
      <w:tabs>
        <w:tab w:val="clear" w:pos="367"/>
        <w:tab w:val="left" w:pos="1418" w:leader="none"/>
      </w:tabs>
      <w:spacing w:lineRule="auto" w:line="360" w:before="120" w:after="0"/>
      <w:ind w:left="0" w:right="0" w:firstLine="720"/>
      <w:jc w:val="both"/>
    </w:pPr>
    <w:rPr>
      <w:rFonts w:eastAsia="Calibri"/>
      <w:i/>
      <w:iCs/>
      <w:sz w:val="24"/>
      <w:szCs w:val="24"/>
    </w:rPr>
  </w:style>
  <w:style w:type="paragraph" w:styleId="-">
    <w:name w:val="Контракт-пункт"/>
    <w:basedOn w:val="Normal"/>
    <w:qFormat/>
    <w:pPr>
      <w:widowControl/>
      <w:tabs>
        <w:tab w:val="clear" w:pos="367"/>
        <w:tab w:val="left" w:pos="851" w:leader="none"/>
      </w:tabs>
      <w:spacing w:lineRule="auto" w:line="360"/>
      <w:ind w:left="851" w:right="0" w:hanging="851"/>
      <w:jc w:val="both"/>
    </w:pPr>
    <w:rPr>
      <w:rFonts w:eastAsia="Calibri"/>
      <w:sz w:val="28"/>
      <w:szCs w:val="28"/>
    </w:rPr>
  </w:style>
  <w:style w:type="paragraph" w:styleId="DocumentMap">
    <w:name w:val="Document Map"/>
    <w:basedOn w:val="Normal"/>
    <w:qFormat/>
    <w:pPr>
      <w:shd w:val="clear" w:fill="000080"/>
    </w:pPr>
    <w:rPr>
      <w:rFonts w:ascii="Tahoma" w:hAnsi="Tahoma" w:cs="Tahoma"/>
    </w:rPr>
  </w:style>
  <w:style w:type="paragraph" w:styleId="Revision">
    <w:name w:val="Revision"/>
    <w:qFormat/>
    <w:pPr>
      <w:widowControl/>
      <w:suppressAutoHyphens w:val="true"/>
      <w:overflowPunct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paragraph" w:styleId="Header">
    <w:name w:val="Header"/>
    <w:basedOn w:val="Normal"/>
    <w:pPr>
      <w:tabs>
        <w:tab w:val="clear" w:pos="367"/>
        <w:tab w:val="center" w:pos="4677" w:leader="none"/>
        <w:tab w:val="right" w:pos="9355" w:leader="none"/>
      </w:tabs>
    </w:pPr>
    <w:rPr/>
  </w:style>
  <w:style w:type="paragraph" w:styleId="Style27">
    <w:name w:val="Пункт договора"/>
    <w:basedOn w:val="Normal"/>
    <w:qFormat/>
    <w:pPr>
      <w:jc w:val="both"/>
    </w:pPr>
    <w:rPr>
      <w:rFonts w:ascii="Arial" w:hAnsi="Arial"/>
    </w:rPr>
  </w:style>
  <w:style w:type="paragraph" w:styleId="1">
    <w:name w:val="Знак Знак Знак Знак Знак Знак Знак Знак Знак1"/>
    <w:basedOn w:val="Normal"/>
    <w:qFormat/>
    <w:pPr>
      <w:widowControl/>
      <w:spacing w:lineRule="exact" w:line="240" w:before="0" w:after="160"/>
      <w:jc w:val="both"/>
    </w:pPr>
    <w:rPr>
      <w:rFonts w:ascii="Verdana" w:hAnsi="Verdana"/>
      <w:sz w:val="22"/>
      <w:lang w:val="en-US" w:eastAsia="en-US"/>
    </w:rPr>
  </w:style>
  <w:style w:type="paragraph" w:styleId="11">
    <w:name w:val="Обычный1"/>
    <w:qFormat/>
    <w:pPr>
      <w:widowControl/>
      <w:suppressAutoHyphens w:val="true"/>
      <w:overflowPunct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paragraph" w:styleId="ConsPlusNormal">
    <w:name w:val="ConsPlusNormal"/>
    <w:qFormat/>
    <w:pPr>
      <w:widowControl w:val="false"/>
      <w:suppressAutoHyphens w:val="true"/>
      <w:overflowPunct w:val="true"/>
      <w:bidi w:val="0"/>
      <w:spacing w:before="0" w:after="0"/>
      <w:jc w:val="left"/>
    </w:pPr>
    <w:rPr>
      <w:rFonts w:ascii="Calibri" w:hAnsi="Calibri" w:eastAsia="Times New Roman" w:cs="Calibri"/>
      <w:color w:val="auto"/>
      <w:kern w:val="2"/>
      <w:sz w:val="22"/>
      <w:szCs w:val="20"/>
      <w:lang w:val="ru-RU" w:eastAsia="ru-RU" w:bidi="ar-SA"/>
    </w:rPr>
  </w:style>
  <w:style w:type="paragraph" w:styleId="NormalWeb">
    <w:name w:val="Normal (Web)"/>
    <w:basedOn w:val="Normal"/>
    <w:qFormat/>
    <w:pPr>
      <w:widowControl/>
      <w:spacing w:before="280" w:after="280"/>
    </w:pPr>
    <w:rPr>
      <w:sz w:val="24"/>
      <w:szCs w:val="24"/>
    </w:rPr>
  </w:style>
  <w:style w:type="paragraph" w:styleId="FootnoteText">
    <w:name w:val="Footnote Text"/>
    <w:basedOn w:val="Normal"/>
    <w:pPr/>
    <w:rPr/>
  </w:style>
  <w:style w:type="paragraph" w:styleId="Style28">
    <w:name w:val="Содержимое таблицы"/>
    <w:basedOn w:val="Normal"/>
    <w:qFormat/>
    <w:pPr/>
    <w:rPr/>
  </w:style>
  <w:style w:type="paragraph" w:styleId="Style29">
    <w:name w:val="Заголовок таблицы"/>
    <w:basedOn w:val="Style28"/>
    <w:qFormat/>
    <w:pPr>
      <w:suppressLineNumbers/>
      <w:jc w:val="center"/>
    </w:pPr>
    <w:rPr>
      <w:b/>
      <w:bCs/>
    </w:rPr>
  </w:style>
  <w:style w:type="paragraph" w:styleId="Standard">
    <w:name w:val="Standard"/>
    <w:qFormat/>
    <w:pPr>
      <w:widowControl w:val="false"/>
      <w:shd w:val="clear" w:fill="FFFFFF"/>
      <w:suppressAutoHyphens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numbering" w:styleId="Style30">
    <w:name w:val="Без списка"/>
    <w:qFormat/>
  </w:style>
  <w:style w:type="numbering" w:styleId="WW8Num2">
    <w:name w:val="WW8Num2"/>
    <w:qFormat/>
  </w:style>
  <w:style w:type="numbering" w:styleId="WW8Num12">
    <w:name w:val="WW8Num12"/>
    <w:qFormat/>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570</TotalTime>
  <Application>AlterOffice/3.3.1.3$Linux_X86_64 LibreOffice_project/90d829a0d92d6015ad4fa014ce4f460a7fe6c0ba</Application>
  <AppVersion>15.0000</AppVersion>
  <Pages>14</Pages>
  <Words>6229</Words>
  <Characters>43779</Characters>
  <CharactersWithSpaces>50023</CharactersWithSpaces>
  <Paragraphs>267</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2022-11-01T07:55:00Z</dcterms:created>
  <dc:creator>tsypilev_ag</dc:creator>
  <dc:description/>
  <dc:language>ru-RU</dc:language>
  <cp:lastModifiedBy>korotaeva_tv</cp:lastModifiedBy>
  <cp:lastPrinted>2020-03-18T06:40:00Z</cp:lastPrinted>
  <dcterms:modified xsi:type="dcterms:W3CDTF">2026-09-30T11:02:55Z</dcterms:modified>
  <cp:revision>101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