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left="425" w:right="0" w:hanging="0"/>
        <w:jc w:val="center"/>
        <w:rPr>
          <w:shd w:fill="auto" w:val="clear"/>
        </w:rPr>
      </w:pPr>
      <w:r>
        <w:rPr>
          <w:rFonts w:eastAsia="Calibri" w:cs="Times New Roman" w:ascii="Times New Roman" w:hAnsi="Times New Roman"/>
          <w:b/>
          <w:caps/>
          <w:sz w:val="22"/>
          <w:szCs w:val="22"/>
          <w:shd w:fill="auto" w:val="clear"/>
        </w:rPr>
        <w:t>ОБОСНОВАНИЕ начальной (максимальной) цены договора</w:t>
      </w:r>
      <w:r>
        <w:rPr>
          <w:rFonts w:eastAsia="Calibri" w:cs="Times New Roman" w:ascii="Times New Roman" w:hAnsi="Times New Roman"/>
          <w:sz w:val="22"/>
          <w:szCs w:val="22"/>
          <w:shd w:fill="auto" w:val="clear"/>
        </w:rPr>
        <w:t xml:space="preserve"> / </w:t>
      </w:r>
      <w:r>
        <w:rPr>
          <w:rFonts w:eastAsia="Calibri" w:cs="Times New Roman" w:ascii="Times New Roman" w:hAnsi="Times New Roman"/>
          <w:b/>
          <w:caps/>
          <w:sz w:val="22"/>
          <w:szCs w:val="22"/>
          <w:shd w:fill="auto" w:val="clear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left="714" w:right="0" w:hanging="357"/>
        <w:jc w:val="both"/>
        <w:rPr>
          <w:rFonts w:ascii="Times New Roman" w:hAnsi="Times New Roman" w:eastAsia="Calibri" w:cs="Times New Roman"/>
          <w:b/>
          <w:sz w:val="22"/>
          <w:szCs w:val="22"/>
          <w:shd w:fill="auto" w:val="clear"/>
        </w:rPr>
      </w:pPr>
      <w:r>
        <w:rPr>
          <w:rFonts w:eastAsia="Calibri" w:cs="Times New Roman" w:ascii="Times New Roman" w:hAnsi="Times New Roman"/>
          <w:b/>
          <w:sz w:val="22"/>
          <w:szCs w:val="22"/>
          <w:shd w:fill="auto" w:val="clear"/>
        </w:rPr>
        <w:t>Общая информация</w:t>
      </w:r>
    </w:p>
    <w:tbl>
      <w:tblPr>
        <w:tblW w:w="14640" w:type="dxa"/>
        <w:jc w:val="left"/>
        <w:tblInd w:w="-123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708"/>
        <w:gridCol w:w="3685"/>
        <w:gridCol w:w="10247"/>
      </w:tblGrid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  <w:shd w:fill="auto" w:val="clear"/>
              </w:rPr>
              <w:t>№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auto" w:val="clea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Наименование</w:t>
            </w:r>
          </w:p>
        </w:tc>
        <w:tc>
          <w:tcPr>
            <w:tcW w:w="10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Информация по лоту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napToGrid w:val="false"/>
              <w:spacing w:lineRule="exact" w:line="360" w:before="120" w:after="0"/>
              <w:ind w:left="0" w:right="0" w:hanging="0"/>
              <w:contextualSpacing/>
              <w:jc w:val="both"/>
              <w:rPr>
                <w:rFonts w:ascii="Times New Roman" w:hAnsi="Times New Roman" w:eastAsia="Calibri" w:cs="Times New Roman"/>
                <w:sz w:val="22"/>
                <w:szCs w:val="26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sz w:val="22"/>
                <w:szCs w:val="26"/>
                <w:shd w:fill="auto" w:val="clear"/>
              </w:rPr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Наименование лота</w:t>
            </w:r>
          </w:p>
        </w:tc>
        <w:tc>
          <w:tcPr>
            <w:tcW w:w="10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iCs/>
                <w:sz w:val="22"/>
                <w:szCs w:val="22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  <w:lang w:eastAsia="ru-RU"/>
              </w:rPr>
              <w:t>ОКПД2</w:t>
            </w:r>
            <w:r>
              <w:rPr>
                <w:rFonts w:eastAsia="Times New Roman" w:cs="Times New Roman" w:ascii="Times New Roman" w:hAnsi="Times New Roman"/>
                <w:b w:val="false"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 xml:space="preserve"> 10.20.1 Поставка мяса, рыбы с/м для филиала "Амурские электрические сети"</w:t>
            </w:r>
            <w:bookmarkStart w:id="0" w:name="_GoBack"/>
            <w:bookmarkEnd w:id="0"/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napToGrid w:val="false"/>
              <w:spacing w:lineRule="exact" w:line="360" w:before="120" w:after="0"/>
              <w:ind w:left="0" w:right="0" w:hanging="0"/>
              <w:contextualSpacing/>
              <w:jc w:val="both"/>
              <w:rPr>
                <w:rFonts w:ascii="Times New Roman" w:hAnsi="Times New Roman" w:eastAsia="Calibri" w:cs="Times New Roman"/>
                <w:sz w:val="22"/>
                <w:szCs w:val="26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sz w:val="22"/>
                <w:szCs w:val="26"/>
                <w:shd w:fill="auto" w:val="clear"/>
              </w:rPr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</w:rPr>
              <w:t>Номер лота</w:t>
            </w:r>
          </w:p>
        </w:tc>
        <w:tc>
          <w:tcPr>
            <w:tcW w:w="10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>30601-ПРО ДЭК-2027-ДРСК-АЭС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napToGrid w:val="false"/>
              <w:spacing w:lineRule="exact" w:line="360" w:before="120" w:after="0"/>
              <w:ind w:left="0" w:right="0" w:hanging="0"/>
              <w:contextualSpacing/>
              <w:jc w:val="both"/>
              <w:rPr>
                <w:rFonts w:ascii="Times New Roman" w:hAnsi="Times New Roman" w:eastAsia="Calibri" w:cs="Times New Roman"/>
                <w:sz w:val="22"/>
                <w:szCs w:val="26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sz w:val="22"/>
                <w:szCs w:val="26"/>
                <w:shd w:fill="auto" w:val="clear"/>
              </w:rPr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  <w:shd w:fill="auto" w:val="clear"/>
              </w:rPr>
            </w:pPr>
            <w:r>
              <w:rPr>
                <w:rFonts w:eastAsia="Calibri" w:ascii="Times New Roman" w:hAnsi="Times New Roman"/>
                <w:sz w:val="22"/>
                <w:szCs w:val="22"/>
                <w:shd w:fill="auto" w:val="clear"/>
              </w:rPr>
              <w:t>НМЦ лота</w:t>
            </w:r>
          </w:p>
        </w:tc>
        <w:tc>
          <w:tcPr>
            <w:tcW w:w="10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6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z w:val="22"/>
                <w:szCs w:val="22"/>
                <w:shd w:fill="auto" w:val="clear"/>
                <w:lang w:eastAsia="ru-RU"/>
              </w:rPr>
              <w:t>5 000 000,00 рублей без учета НДС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left="714" w:right="0" w:hanging="357"/>
        <w:jc w:val="both"/>
        <w:rPr>
          <w:rFonts w:ascii="Times New Roman" w:hAnsi="Times New Roman" w:eastAsia="Calibri" w:cs="Times New Roman"/>
          <w:b/>
          <w:sz w:val="22"/>
          <w:szCs w:val="22"/>
          <w:shd w:fill="auto" w:val="clear"/>
        </w:rPr>
      </w:pPr>
      <w:r>
        <w:rPr>
          <w:rFonts w:eastAsia="Calibri" w:cs="Times New Roman" w:ascii="Times New Roman" w:hAnsi="Times New Roman"/>
          <w:b/>
          <w:sz w:val="22"/>
          <w:szCs w:val="22"/>
          <w:shd w:fill="auto" w:val="clear"/>
        </w:rPr>
        <w:t>Использованный метод (методы) расчета НМЦ / цены единицы товара, работы, услуги:</w:t>
      </w:r>
    </w:p>
    <w:p>
      <w:pPr>
        <w:pStyle w:val="Normal"/>
        <w:keepNext w:val="true"/>
        <w:spacing w:before="0" w:after="0"/>
        <w:contextualSpacing/>
        <w:jc w:val="both"/>
        <w:rPr>
          <w:rFonts w:ascii="Times New Roman" w:hAnsi="Times New Roman" w:eastAsia="Calibri" w:cs="Times New Roman"/>
          <w:sz w:val="22"/>
          <w:szCs w:val="22"/>
          <w:shd w:fill="auto" w:val="clear"/>
        </w:rPr>
      </w:pPr>
      <w:r>
        <w:rPr>
          <w:rFonts w:eastAsia="Calibri" w:cs="Times New Roman" w:ascii="Times New Roman" w:hAnsi="Times New Roman"/>
          <w:sz w:val="22"/>
          <w:szCs w:val="22"/>
          <w:shd w:fill="auto" w:val="clear"/>
        </w:rPr>
        <w:t>Метод анализа договоров</w:t>
      </w:r>
    </w:p>
    <w:p>
      <w:pPr>
        <w:pStyle w:val="Normal"/>
        <w:keepNext w:val="true"/>
        <w:spacing w:before="0" w:after="120"/>
        <w:jc w:val="both"/>
        <w:rPr>
          <w:rFonts w:ascii="Times New Roman" w:hAnsi="Times New Roman" w:eastAsia="Calibri" w:cs="Times New Roman"/>
          <w:sz w:val="22"/>
          <w:szCs w:val="22"/>
          <w:shd w:fill="auto" w:val="clear"/>
        </w:rPr>
      </w:pPr>
      <w:r>
        <w:rPr>
          <w:rFonts w:eastAsia="Calibri" w:cs="Times New Roman" w:ascii="Times New Roman" w:hAnsi="Times New Roman"/>
          <w:sz w:val="22"/>
          <w:szCs w:val="22"/>
          <w:shd w:fill="auto" w:val="clear"/>
        </w:rPr>
        <w:t>Обоснование расчета НМЦ:</w:t>
      </w:r>
    </w:p>
    <w:tbl>
      <w:tblPr>
        <w:tblW w:w="14611" w:type="dxa"/>
        <w:jc w:val="left"/>
        <w:tblInd w:w="-128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2260"/>
        <w:gridCol w:w="3692"/>
        <w:gridCol w:w="2519"/>
        <w:gridCol w:w="2868"/>
        <w:gridCol w:w="3272"/>
      </w:tblGrid>
      <w:tr>
        <w:trPr>
          <w:trHeight w:val="70" w:hRule="atLeast"/>
        </w:trPr>
        <w:tc>
          <w:tcPr>
            <w:tcW w:w="2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3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E7E6E6" w:val="clea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Цена</w:t>
            </w:r>
            <w:r>
              <w:rPr>
                <w:rStyle w:val="FootnoteReference"/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footnoteReference w:id="2"/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 xml:space="preserve"> лота, в руб. без НДС</w:t>
            </w:r>
          </w:p>
        </w:tc>
        <w:tc>
          <w:tcPr>
            <w:tcW w:w="2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Итоговая стоимость без учета НДС, в руб.</w:t>
            </w:r>
          </w:p>
        </w:tc>
        <w:tc>
          <w:tcPr>
            <w:tcW w:w="3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Комментарии</w:t>
            </w:r>
          </w:p>
        </w:tc>
      </w:tr>
      <w:tr>
        <w:trPr>
          <w:trHeight w:val="463" w:hRule="atLeast"/>
        </w:trPr>
        <w:tc>
          <w:tcPr>
            <w:tcW w:w="22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 w:cs="Times New Roman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auto" w:val="clear"/>
                <w:lang w:eastAsia="ru-RU"/>
              </w:rPr>
              <w:t xml:space="preserve">Поставка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>мяса, рыбы с/м</w:t>
            </w:r>
          </w:p>
        </w:tc>
        <w:tc>
          <w:tcPr>
            <w:tcW w:w="3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 w:cs="Times New Roman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auto" w:val="clear"/>
                <w:lang w:eastAsia="ru-RU"/>
              </w:rPr>
              <w:t>Договор №1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4 500 000,00</w:t>
            </w:r>
          </w:p>
        </w:tc>
        <w:tc>
          <w:tcPr>
            <w:tcW w:w="28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5 000 000,00</w:t>
            </w:r>
          </w:p>
        </w:tc>
        <w:tc>
          <w:tcPr>
            <w:tcW w:w="32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60" w:after="6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Среднее арифметическое значение ранее заключенных договоров и в соответствии с лимитами, установленными в бизнес-плане филиала АО «ДРСК» «АЭС»</w:t>
            </w:r>
          </w:p>
        </w:tc>
      </w:tr>
      <w:tr>
        <w:trPr>
          <w:trHeight w:val="450" w:hRule="atLeast"/>
        </w:trPr>
        <w:tc>
          <w:tcPr>
            <w:tcW w:w="22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 w:cs="Times New Roman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auto" w:val="clear"/>
                <w:lang w:eastAsia="ru-RU"/>
              </w:rPr>
              <w:t>Договор №2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5 000 000,00</w:t>
            </w:r>
          </w:p>
        </w:tc>
        <w:tc>
          <w:tcPr>
            <w:tcW w:w="28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862" w:hRule="atLeast"/>
        </w:trPr>
        <w:tc>
          <w:tcPr>
            <w:tcW w:w="22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 w:cs="Times New Roman"/>
                <w:sz w:val="22"/>
                <w:szCs w:val="22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auto" w:val="clear"/>
                <w:lang w:eastAsia="ru-RU"/>
              </w:rPr>
              <w:t>Договор №3</w:t>
            </w:r>
          </w:p>
        </w:tc>
        <w:tc>
          <w:tcPr>
            <w:tcW w:w="2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</w:rPr>
              <w:t>5 500 000,00</w:t>
            </w:r>
          </w:p>
        </w:tc>
        <w:tc>
          <w:tcPr>
            <w:tcW w:w="28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ascii="Times New Roman" w:hAnsi="Times New Roman" w:eastAsia="Calibri" w:cs="Times New Roman"/>
          <w:sz w:val="22"/>
          <w:szCs w:val="22"/>
          <w:shd w:fill="auto" w:val="clear"/>
        </w:rPr>
      </w:pPr>
      <w:r>
        <w:rPr>
          <w:rFonts w:eastAsia="Calibri" w:cs="Times New Roman" w:ascii="Times New Roman" w:hAnsi="Times New Roman"/>
          <w:sz w:val="22"/>
          <w:szCs w:val="22"/>
          <w:shd w:fill="auto" w:val="clear"/>
        </w:rPr>
      </w:r>
    </w:p>
    <w:p>
      <w:pPr>
        <w:pStyle w:val="Normal"/>
        <w:rPr>
          <w:rFonts w:ascii="Times New Roman" w:hAnsi="Times New Roman" w:eastAsia="Calibri" w:cs="Times New Roman"/>
          <w:sz w:val="22"/>
          <w:szCs w:val="22"/>
          <w:shd w:fill="auto" w:val="clear"/>
        </w:rPr>
      </w:pPr>
      <w:r>
        <w:rPr/>
      </w:r>
    </w:p>
    <w:sectPr>
      <w:footnotePr>
        <w:numFmt w:val="decimal"/>
      </w:footnotePr>
      <w:type w:val="nextPage"/>
      <w:pgSz w:orient="landscape" w:w="16838" w:h="11906"/>
      <w:pgMar w:left="1134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neva CY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widowControl w:val="false"/>
        <w:rPr>
          <w:rFonts w:ascii="Times New Roman" w:hAnsi="Times New Roman" w:cs="Times New Roman"/>
        </w:rPr>
      </w:pPr>
      <w:r>
        <w:rPr>
          <w:rStyle w:val="Style10"/>
        </w:rPr>
        <w:footnoteRef/>
      </w:r>
      <w:r>
        <w:rPr>
          <w:rFonts w:cs="Times New Roman" w:ascii="Times New Roman" w:hAnsi="Times New Roman"/>
        </w:rPr>
      </w:r>
    </w:p>
    <w:p>
      <w:pPr>
        <w:pStyle w:val="Footnotetext1"/>
        <w:widowControl w:val="false"/>
        <w:rPr/>
      </w:pPr>
      <w:r>
        <w:rPr>
          <w:rStyle w:val="Footnotereference1"/>
          <w:rFonts w:cs="Times New Roman" w:ascii="Times New Roman" w:hAnsi="Times New Roman"/>
        </w:rPr>
        <w:tab/>
      </w:r>
      <w:r>
        <w:rPr>
          <w:rFonts w:cs="Times New Roman" w:ascii="Times New Roman" w:hAnsi="Times New Roman"/>
        </w:rPr>
        <w:t xml:space="preserve"> С учетом количества поставляемой продукции в соответствии с Техническими требованиями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225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Geneva CY" w:hAnsi="Geneva CY" w:eastAsia="Geneva" w:cs="Times New Roman"/>
      <w:color w:val="auto"/>
      <w:kern w:val="2"/>
      <w:sz w:val="24"/>
      <w:szCs w:val="20"/>
      <w:lang w:val="ru-RU" w:eastAsia="en-US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Style9">
    <w:name w:val="Текст сноски Знак"/>
    <w:basedOn w:val="DefaultParagraphFont"/>
    <w:qFormat/>
    <w:rPr>
      <w:rFonts w:ascii="Geneva CY" w:hAnsi="Geneva CY" w:eastAsia="Geneva" w:cs="Times New Roman"/>
      <w:sz w:val="20"/>
      <w:szCs w:val="20"/>
    </w:rPr>
  </w:style>
  <w:style w:type="character" w:styleId="Footnotereference1">
    <w:name w:val="footnote reference1"/>
    <w:basedOn w:val="DefaultParagraphFont"/>
    <w:qFormat/>
    <w:rPr>
      <w:vertAlign w:val="superscript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>
    <w:name w:val="Символ концевой сноски"/>
    <w:qFormat/>
    <w:rPr>
      <w:vertAlign w:val="superscript"/>
    </w:rPr>
  </w:style>
  <w:style w:type="character" w:styleId="WW-">
    <w:name w:val="WW-Символы концевой сноски"/>
    <w:qFormat/>
    <w:rPr/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1">
    <w:name w:val="footnote text1"/>
    <w:basedOn w:val="Normal"/>
    <w:qFormat/>
    <w:pPr/>
    <w:rPr>
      <w:sz w:val="20"/>
    </w:rPr>
  </w:style>
  <w:style w:type="paragraph" w:styleId="FootnoteText">
    <w:name w:val="Footnote Text"/>
    <w:basedOn w:val="Normal"/>
    <w:pPr/>
    <w:rPr/>
  </w:style>
  <w:style w:type="paragraph" w:styleId="Style14">
    <w:name w:val="Содержимое таблицы"/>
    <w:basedOn w:val="Normal"/>
    <w:qFormat/>
    <w:pPr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208</TotalTime>
  <Application>AlterOffice/3.3.1.3$Linux_X86_64 LibreOffice_project/90d829a0d92d6015ad4fa014ce4f460a7fe6c0ba</Application>
  <AppVersion>15.0000</AppVersion>
  <Pages>1</Pages>
  <Words>143</Words>
  <Characters>849</Characters>
  <CharactersWithSpaces>961</CharactersWithSpaces>
  <Paragraphs>32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2024-08-30T09:18:13Z</dcterms:created>
  <dc:creator/>
  <dc:description/>
  <dc:language>ru-RU</dc:language>
  <cp:lastModifiedBy>korotaeva_tv</cp:lastModifiedBy>
  <dcterms:modified xsi:type="dcterms:W3CDTF">2026-09-22T16:16:56Z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