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Normal"/>
        <w:keepNext w:val="true"/>
        <w:keepLines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Cs/>
          <w:i/>
          <w:i/>
          <w:iCs/>
          <w:sz w:val="24"/>
          <w:szCs w:val="24"/>
        </w:rPr>
      </w:pPr>
      <w:r>
        <w:rPr>
          <w:rFonts w:eastAsia="Calibri" w:ascii="Liberation Serif" w:hAnsi="Liberation Serif"/>
          <w:b/>
          <w:bCs/>
          <w:i/>
          <w:iCs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bCs/>
          <w:i/>
          <w:i/>
          <w:iCs/>
          <w:sz w:val="24"/>
          <w:szCs w:val="24"/>
        </w:rPr>
      </w:pPr>
      <w:r>
        <w:rPr>
          <w:rFonts w:eastAsia="Calibri" w:ascii="Liberation Serif" w:hAnsi="Liberation Serif"/>
          <w:b/>
          <w:bCs/>
          <w:i/>
          <w:iCs/>
          <w:sz w:val="24"/>
          <w:szCs w:val="24"/>
        </w:rPr>
      </w:r>
    </w:p>
    <w:p>
      <w:pPr>
        <w:pStyle w:val="Normal"/>
        <w:bidi w:val="0"/>
        <w:jc w:val="center"/>
        <w:rPr>
          <w:rFonts w:ascii="Liberation Serif" w:hAnsi="Liberation Serif"/>
          <w:b/>
          <w:bCs/>
          <w:i/>
          <w:i/>
          <w:iCs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Liberation Serif" w:hAnsi="Liberation Serif"/>
          <w:b/>
          <w:bCs/>
          <w:i/>
          <w:iCs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Поставка прибора определения высоты ДКР для нужд филиала АО "ДРСК" "Южно-Якутские электрические сети"</w:t>
      </w:r>
    </w:p>
    <w:p>
      <w:pPr>
        <w:pStyle w:val="Normal"/>
        <w:bidi w:val="0"/>
        <w:jc w:val="center"/>
        <w:rPr>
          <w:rFonts w:ascii="Liberation Serif" w:hAnsi="Liberation Serif"/>
          <w:b/>
          <w:bCs/>
          <w:i/>
          <w:i/>
          <w:iCs/>
          <w:sz w:val="24"/>
          <w:szCs w:val="24"/>
        </w:rPr>
      </w:pPr>
      <w:r>
        <w:rPr>
          <w:rFonts w:ascii="Liberation Serif" w:hAnsi="Liberation Serif"/>
          <w:b/>
          <w:bCs/>
          <w:i/>
          <w:iCs/>
          <w:sz w:val="24"/>
          <w:szCs w:val="24"/>
        </w:rPr>
      </w:r>
    </w:p>
    <w:p>
      <w:pPr>
        <w:pStyle w:val="Normal"/>
        <w:keepNext w:val="true"/>
        <w:keepLines/>
        <w:bidi w:val="0"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bCs/>
          <w:i/>
          <w:iCs/>
          <w:sz w:val="24"/>
          <w:szCs w:val="24"/>
          <w:shd w:fill="auto" w:val="clear"/>
        </w:rPr>
        <w:t xml:space="preserve">Лот № </w:t>
      </w:r>
      <w:r>
        <w:rPr>
          <w:rFonts w:eastAsia="Calibri" w:ascii="Liberation Serif" w:hAnsi="Liberation Serif"/>
          <w:b/>
          <w:bCs/>
          <w:i/>
          <w:iCs/>
          <w:sz w:val="24"/>
          <w:szCs w:val="24"/>
          <w:u w:val="single"/>
          <w:shd w:fill="auto" w:val="clear"/>
        </w:rPr>
        <w:t xml:space="preserve">             </w:t>
      </w:r>
      <w:r>
        <w:rPr>
          <w:rFonts w:eastAsia="Calibri" w:ascii="Liberation Serif" w:hAnsi="Liberation Serif"/>
          <w:b/>
          <w:bCs/>
          <w:i/>
          <w:iCs/>
          <w:strike w:val="false"/>
          <w:dstrike w:val="false"/>
          <w:outline w:val="false"/>
          <w:shadow w:val="false"/>
          <w:sz w:val="24"/>
          <w:szCs w:val="24"/>
          <w:u w:val="single"/>
          <w:shd w:fill="auto" w:val="clear"/>
          <w:em w:val="none"/>
        </w:rPr>
        <w:t xml:space="preserve">5163.1               </w:t>
      </w:r>
    </w:p>
    <w:p>
      <w:pPr>
        <w:pStyle w:val="Normal"/>
        <w:bidi w:val="0"/>
        <w:jc w:val="center"/>
        <w:rPr>
          <w:rFonts w:ascii="Times New Roman" w:hAnsi="Times New Roman" w:eastAsia="Calibri"/>
          <w:b/>
          <w:bCs/>
          <w:i/>
          <w:i/>
          <w:iCs/>
          <w:sz w:val="24"/>
          <w:szCs w:val="24"/>
          <w:shd w:fill="auto" w:val="clear"/>
        </w:rPr>
      </w:pPr>
      <w:r>
        <w:rPr>
          <w:rFonts w:eastAsia="Calibri"/>
          <w:b/>
          <w:bCs/>
          <w:i/>
          <w:iCs/>
          <w:sz w:val="24"/>
          <w:szCs w:val="24"/>
          <w:shd w:fill="auto" w:val="clear"/>
        </w:rPr>
      </w:r>
    </w:p>
    <w:p>
      <w:pPr>
        <w:sectPr>
          <w:headerReference w:type="default" r:id="rId2"/>
          <w:type w:val="nextPage"/>
          <w:pgSz w:orient="landscape" w:w="16838" w:h="11906"/>
          <w:pgMar w:left="850" w:right="850" w:gutter="0" w:header="680" w:top="737" w:footer="0" w:bottom="850"/>
          <w:pgNumType w:fmt="decimal"/>
          <w:formProt w:val="false"/>
          <w:textDirection w:val="lrTb"/>
          <w:docGrid w:type="default" w:linePitch="381" w:charSpace="0"/>
        </w:sectPr>
        <w:pStyle w:val="Normal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</w:r>
    </w:p>
    <w:p>
      <w:pPr>
        <w:pStyle w:val="Heading1"/>
        <w:keepLines/>
        <w:numPr>
          <w:ilvl w:val="0"/>
          <w:numId w:val="2"/>
        </w:numPr>
        <w:ind w:left="357" w:right="0" w:hanging="357"/>
        <w:jc w:val="center"/>
        <w:rPr>
          <w:rFonts w:ascii="Liberation Serif" w:hAnsi="Liberation Serif"/>
          <w:sz w:val="24"/>
          <w:szCs w:val="24"/>
          <w:lang w:val="ru-RU"/>
        </w:rPr>
      </w:pPr>
      <w:bookmarkStart w:id="0" w:name="_Toc51339692"/>
      <w:bookmarkStart w:id="1" w:name="_Toc75446566"/>
      <w:bookmarkEnd w:id="0"/>
      <w:bookmarkEnd w:id="1"/>
      <w:r>
        <w:rPr>
          <w:sz w:val="24"/>
          <w:szCs w:val="24"/>
          <w:lang w:val="ru-RU"/>
        </w:rPr>
        <w:t>Общие сведения</w:t>
      </w:r>
    </w:p>
    <w:p>
      <w:pPr>
        <w:pStyle w:val="Normal"/>
        <w:rPr>
          <w:rFonts w:ascii="Liberation Serif" w:hAnsi="Liberation Serif"/>
          <w:b/>
          <w:bCs/>
          <w:sz w:val="24"/>
          <w:szCs w:val="24"/>
        </w:rPr>
      </w:pPr>
      <w:bookmarkStart w:id="2" w:name="_Toc46743506"/>
      <w:bookmarkStart w:id="3" w:name="_Toc75446568"/>
      <w:bookmarkEnd w:id="2"/>
      <w:bookmarkEnd w:id="3"/>
      <w:r>
        <w:rPr>
          <w:rFonts w:ascii="Liberation Serif" w:hAnsi="Liberation Serif"/>
          <w:b/>
          <w:bCs/>
          <w:sz w:val="24"/>
          <w:szCs w:val="24"/>
        </w:rPr>
        <w:t>1.1. Наименование закупаемой продукции</w:t>
      </w:r>
    </w:p>
    <w:p>
      <w:pPr>
        <w:pStyle w:val="29"/>
        <w:tabs>
          <w:tab w:val="clear" w:pos="265"/>
          <w:tab w:val="left" w:pos="993" w:leader="none"/>
        </w:tabs>
        <w:ind w:hanging="0"/>
        <w:jc w:val="both"/>
        <w:rPr>
          <w:rFonts w:ascii="Liberation Serif" w:hAnsi="Liberation Serif" w:eastAsia="Times New Roman" w:cs="Times New Roman"/>
          <w:b w:val="false"/>
          <w:bCs w:val="false"/>
          <w:i/>
          <w:i/>
          <w:color w:val="00000A"/>
          <w:kern w:val="0"/>
          <w:sz w:val="26"/>
          <w:szCs w:val="24"/>
          <w:lang w:val="ru-RU" w:eastAsia="ru-RU" w:bidi="ar-SA"/>
        </w:rPr>
      </w:pPr>
      <w:r>
        <w:rPr>
          <w:rFonts w:eastAsia="Times New Roman" w:cs="Times New Roman" w:ascii="Liberation Serif" w:hAnsi="Liberation Serif"/>
          <w:b w:val="false"/>
          <w:bCs w:val="false"/>
          <w:i/>
          <w:color w:val="00000A"/>
          <w:kern w:val="0"/>
          <w:sz w:val="26"/>
          <w:szCs w:val="24"/>
          <w:lang w:val="ru-RU" w:eastAsia="ru-RU" w:bidi="ar-SA"/>
        </w:rPr>
        <w:t xml:space="preserve">Высотомер Suunto PM-5/1250 </w:t>
      </w:r>
      <w:r>
        <w:rPr>
          <w:rFonts w:eastAsia="Times New Roman" w:cs="Times New Roman" w:ascii="Liberation Serif" w:hAnsi="Liberation Serif"/>
          <w:b w:val="false"/>
          <w:bCs w:val="false"/>
          <w:i/>
          <w:iCs/>
          <w:color w:val="00000A"/>
          <w:kern w:val="0"/>
          <w:sz w:val="26"/>
          <w:szCs w:val="26"/>
          <w:lang w:val="ru-RU" w:eastAsia="ru-RU" w:bidi="ar-SA"/>
        </w:rPr>
        <w:t>PS</w:t>
      </w:r>
      <w:r>
        <w:rPr>
          <w:rFonts w:eastAsia="Times New Roman" w:cs="Times New Roman" w:ascii="Liberation Serif" w:hAnsi="Liberation Serif"/>
          <w:b w:val="false"/>
          <w:bCs w:val="false"/>
          <w:i w:val="false"/>
          <w:iCs w:val="false"/>
          <w:color w:val="00000A"/>
          <w:kern w:val="0"/>
          <w:sz w:val="22"/>
          <w:szCs w:val="22"/>
          <w:lang w:val="ru-RU" w:eastAsia="ru-RU" w:bidi="ar-SA"/>
        </w:rPr>
        <w:t xml:space="preserve"> </w:t>
      </w:r>
    </w:p>
    <w:p>
      <w:pPr>
        <w:pStyle w:val="29"/>
        <w:tabs>
          <w:tab w:val="clear" w:pos="265"/>
          <w:tab w:val="left" w:pos="993" w:leader="none"/>
        </w:tabs>
        <w:ind w:hanging="0"/>
        <w:jc w:val="both"/>
        <w:rPr/>
      </w:pPr>
      <w:r>
        <w:rPr/>
      </w:r>
    </w:p>
    <w:p>
      <w:pPr>
        <w:pStyle w:val="Heading1"/>
        <w:keepLines/>
        <w:numPr>
          <w:ilvl w:val="0"/>
          <w:numId w:val="2"/>
        </w:numPr>
        <w:ind w:left="357" w:right="0" w:hanging="357"/>
        <w:jc w:val="center"/>
        <w:rPr>
          <w:rFonts w:ascii="Liberation Serif" w:hAnsi="Liberation Serif"/>
          <w:iCs/>
          <w:sz w:val="24"/>
          <w:szCs w:val="24"/>
        </w:rPr>
      </w:pPr>
      <w:bookmarkStart w:id="4" w:name="_Toc51339693"/>
      <w:bookmarkStart w:id="5" w:name="_Toc75446573"/>
      <w:bookmarkStart w:id="6" w:name="_Toc50125126"/>
      <w:bookmarkStart w:id="7" w:name="_Toc46743510"/>
      <w:bookmarkEnd w:id="4"/>
      <w:bookmarkEnd w:id="5"/>
      <w:bookmarkEnd w:id="6"/>
      <w:bookmarkEnd w:id="7"/>
      <w:r>
        <w:rPr>
          <w:iCs/>
          <w:sz w:val="24"/>
          <w:szCs w:val="24"/>
        </w:rPr>
        <w:t>Требования к продукции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2.1. </w:t>
      </w:r>
      <w:bookmarkStart w:id="8" w:name="_Toc75446574"/>
      <w:r>
        <w:rPr>
          <w:rFonts w:ascii="Liberation Serif" w:hAnsi="Liberation Serif"/>
          <w:b/>
          <w:bCs/>
          <w:sz w:val="24"/>
          <w:szCs w:val="24"/>
        </w:rPr>
        <w:t xml:space="preserve">Требования к объемам и срокам </w:t>
      </w:r>
      <w:r>
        <w:rPr>
          <w:rFonts w:ascii="Liberation Serif" w:hAnsi="Liberation Serif"/>
          <w:b/>
          <w:bCs/>
          <w:sz w:val="24"/>
          <w:szCs w:val="24"/>
          <w:lang w:val="ru-RU"/>
        </w:rPr>
        <w:t>поставки</w:t>
      </w:r>
      <w:bookmarkEnd w:id="8"/>
    </w:p>
    <w:p>
      <w:pPr>
        <w:pStyle w:val="Normal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ab/>
      </w:r>
    </w:p>
    <w:p>
      <w:pPr>
        <w:pStyle w:val="Normal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ab/>
        <w:t>2.1.1.</w:t>
      </w:r>
      <w:bookmarkStart w:id="9" w:name="_Toc75446575"/>
      <w:r>
        <w:rPr>
          <w:rFonts w:ascii="Liberation Serif" w:hAnsi="Liberation Serif"/>
          <w:b/>
          <w:bCs/>
          <w:sz w:val="24"/>
          <w:szCs w:val="24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ascii="Liberation Serif" w:hAnsi="Liberation Serif"/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0"/>
      <w:bookmarkEnd w:id="11"/>
      <w:r>
        <w:rPr>
          <w:sz w:val="24"/>
          <w:szCs w:val="24"/>
          <w:lang w:val="ru-RU"/>
        </w:rPr>
        <w:t>и объем закупаемой продукции</w:t>
      </w:r>
    </w:p>
    <w:tbl>
      <w:tblPr>
        <w:tblW w:w="151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4995"/>
        <w:gridCol w:w="995"/>
        <w:gridCol w:w="851"/>
        <w:gridCol w:w="3540"/>
        <w:gridCol w:w="2413"/>
        <w:gridCol w:w="1700"/>
      </w:tblGrid>
      <w:tr>
        <w:trPr>
          <w:tblHeader w:val="true"/>
          <w:trHeight w:val="390" w:hRule="atLeast"/>
        </w:trPr>
        <w:tc>
          <w:tcPr>
            <w:tcW w:w="6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68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76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Предложение Участника</w:t>
            </w:r>
            <w:r>
              <w:rPr>
                <w:rStyle w:val="FootnoteReference"/>
                <w:rFonts w:ascii="Liberation Serif" w:hAnsi="Liberation Serif"/>
                <w:b/>
                <w:sz w:val="22"/>
                <w:szCs w:val="22"/>
              </w:rPr>
              <w:footnoteReference w:id="2"/>
            </w:r>
          </w:p>
        </w:tc>
      </w:tr>
      <w:tr>
        <w:trPr>
          <w:tblHeader w:val="true"/>
          <w:trHeight w:val="570" w:hRule="atLeast"/>
        </w:trPr>
        <w:tc>
          <w:tcPr>
            <w:tcW w:w="67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Ед. измер.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</w:t>
            </w:r>
          </w:p>
        </w:tc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Ед. измер.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</w:t>
            </w:r>
          </w:p>
        </w:tc>
      </w:tr>
      <w:tr>
        <w:trPr>
          <w:tblHeader w:val="true"/>
          <w:trHeight w:val="330" w:hRule="atLeast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4</w:t>
            </w:r>
          </w:p>
        </w:tc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5</w:t>
            </w: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7</w:t>
            </w:r>
          </w:p>
        </w:tc>
      </w:tr>
      <w:tr>
        <w:trPr/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29"/>
              <w:widowControl w:val="false"/>
              <w:tabs>
                <w:tab w:val="clear" w:pos="265"/>
                <w:tab w:val="left" w:pos="993" w:leader="none"/>
              </w:tabs>
              <w:ind w:hanging="0"/>
              <w:jc w:val="both"/>
              <w:rPr/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color w:val="00000A"/>
                <w:sz w:val="22"/>
                <w:szCs w:val="22"/>
                <w:lang w:val="ru-RU" w:eastAsia="ru-RU" w:bidi="ar-SA"/>
              </w:rPr>
              <w:t>Высотомер Suunto PM-5/12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color w:val="00000A"/>
                <w:kern w:val="0"/>
                <w:sz w:val="22"/>
                <w:szCs w:val="22"/>
                <w:lang w:val="ru-RU" w:eastAsia="ru-RU" w:bidi="ar-SA"/>
              </w:rPr>
              <w:t xml:space="preserve">50 PS (либо 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color w:val="00000A"/>
                <w:sz w:val="22"/>
                <w:szCs w:val="22"/>
                <w:lang w:val="ru-RU" w:eastAsia="ru-RU" w:bidi="ar-SA"/>
              </w:rPr>
              <w:t>аналог в соответствии с техническими характеристиками указанными в ТТ)</w:t>
            </w:r>
          </w:p>
        </w:tc>
        <w:tc>
          <w:tcPr>
            <w:tcW w:w="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</w:t>
            </w:r>
          </w:p>
        </w:tc>
        <w:tc>
          <w:tcPr>
            <w:tcW w:w="3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iCs/>
                <w:color w:val="808080"/>
                <w:sz w:val="22"/>
                <w:szCs w:val="22"/>
              </w:rPr>
            </w:pPr>
            <w:r>
              <w:rPr>
                <w:rFonts w:ascii="Liberation Serif" w:hAnsi="Liberation Serif"/>
                <w:i/>
                <w:iCs/>
                <w:color w:val="808080"/>
                <w:sz w:val="22"/>
                <w:szCs w:val="22"/>
              </w:rPr>
              <w:t>Указать наименование продукции</w:t>
            </w: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iCs/>
                <w:color w:val="808080"/>
                <w:sz w:val="22"/>
                <w:szCs w:val="22"/>
              </w:rPr>
            </w:pPr>
            <w:r>
              <w:rPr>
                <w:rFonts w:ascii="Liberation Serif" w:hAnsi="Liberation Serif"/>
                <w:i/>
                <w:iCs/>
                <w:color w:val="808080"/>
                <w:sz w:val="22"/>
                <w:szCs w:val="22"/>
              </w:rPr>
              <w:t>Указать ед. измерения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iCs/>
                <w:color w:val="808080"/>
                <w:sz w:val="22"/>
                <w:szCs w:val="22"/>
              </w:rPr>
            </w:pPr>
            <w:r>
              <w:rPr>
                <w:rFonts w:ascii="Liberation Serif" w:hAnsi="Liberation Serif"/>
                <w:i/>
                <w:iCs/>
                <w:color w:val="808080"/>
                <w:sz w:val="22"/>
                <w:szCs w:val="22"/>
              </w:rPr>
              <w:t>Указать кол-во</w:t>
            </w:r>
          </w:p>
        </w:tc>
      </w:tr>
    </w:tbl>
    <w:p>
      <w:pPr>
        <w:pStyle w:val="Normal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ab/>
      </w:r>
    </w:p>
    <w:p>
      <w:pPr>
        <w:pStyle w:val="Normal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ab/>
        <w:t xml:space="preserve">2.1.2 </w:t>
      </w:r>
      <w:bookmarkStart w:id="12" w:name="_Toc51339696"/>
      <w:r>
        <w:rPr>
          <w:rFonts w:ascii="Liberation Serif" w:hAnsi="Liberation Serif"/>
          <w:b/>
          <w:bCs/>
          <w:sz w:val="24"/>
          <w:szCs w:val="24"/>
        </w:rPr>
        <w:t xml:space="preserve">Требования </w:t>
      </w:r>
      <w:bookmarkEnd w:id="12"/>
      <w:r>
        <w:rPr>
          <w:rFonts w:ascii="Liberation Serif" w:hAnsi="Liberation Serif"/>
          <w:b/>
          <w:bCs/>
          <w:sz w:val="24"/>
          <w:szCs w:val="24"/>
        </w:rPr>
        <w:t>к срокам поставки 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ascii="Liberation Serif" w:hAnsi="Liberation Serif"/>
          <w:sz w:val="24"/>
          <w:szCs w:val="24"/>
        </w:rPr>
      </w:pPr>
      <w:bookmarkStart w:id="13" w:name="_Toc75446579"/>
      <w:bookmarkStart w:id="14" w:name="_Toc50125127"/>
      <w:bookmarkStart w:id="15" w:name="_Toc51339697"/>
      <w:bookmarkStart w:id="16" w:name="_Toc501251261"/>
      <w:bookmarkEnd w:id="1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 xml:space="preserve">2 </w:t>
      </w:r>
      <w:bookmarkStart w:id="17" w:name="_Hlk50465284"/>
      <w:r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7"/>
      <w:r>
        <w:rPr>
          <w:sz w:val="24"/>
          <w:szCs w:val="24"/>
          <w:lang w:val="ru-RU"/>
        </w:rPr>
        <w:t>поставки продукции</w:t>
      </w:r>
      <w:bookmarkEnd w:id="13"/>
      <w:r>
        <w:rPr>
          <w:sz w:val="24"/>
          <w:szCs w:val="24"/>
          <w:lang w:val="ru-RU"/>
        </w:rPr>
        <w:t xml:space="preserve"> </w:t>
      </w:r>
    </w:p>
    <w:tbl>
      <w:tblPr>
        <w:tblW w:w="1516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5415"/>
        <w:gridCol w:w="3545"/>
        <w:gridCol w:w="5528"/>
      </w:tblGrid>
      <w:tr>
        <w:trPr/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5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159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5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2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  <w:b/>
                <w:szCs w:val="22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  <w:b/>
                <w:szCs w:val="22"/>
              </w:rPr>
            </w:pPr>
            <w:r>
              <w:rPr>
                <w:rFonts w:ascii="Liberation Serif" w:hAnsi="Liberation Serif"/>
                <w:b/>
                <w:szCs w:val="22"/>
              </w:rPr>
              <w:t>4</w:t>
            </w:r>
          </w:p>
        </w:tc>
      </w:tr>
      <w:tr>
        <w:trPr/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29"/>
              <w:widowControl w:val="false"/>
              <w:tabs>
                <w:tab w:val="clear" w:pos="265"/>
                <w:tab w:val="left" w:pos="993" w:leader="none"/>
              </w:tabs>
              <w:ind w:hanging="0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color w:val="00000A"/>
                <w:sz w:val="22"/>
                <w:szCs w:val="22"/>
              </w:rPr>
              <w:t>Высотомер Suunto PM-5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color w:val="00000A"/>
                <w:kern w:val="0"/>
                <w:sz w:val="22"/>
                <w:szCs w:val="22"/>
                <w:lang w:val="ru-RU" w:eastAsia="ru-RU" w:bidi="ar-SA"/>
              </w:rPr>
              <w:t>/1250 PS (либо аналог в соответствии с техническими характери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color w:val="00000A"/>
                <w:sz w:val="22"/>
                <w:szCs w:val="22"/>
                <w:lang w:val="ru-RU" w:eastAsia="ru-RU" w:bidi="ar-SA"/>
              </w:rPr>
              <w:t>стиками указанными в ТТ)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течение 45 (сорока пяти) календарных дней с даты подписания договора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ascii="Liberation Serif" w:hAnsi="Liberation Serif"/>
          <w:b/>
          <w:bCs/>
        </w:rPr>
        <w:t>2.2. Требования к качеству 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/>
      </w:pPr>
      <w:r>
        <w:rPr>
          <w:sz w:val="22"/>
          <w:szCs w:val="22"/>
        </w:rPr>
        <w:t xml:space="preserve"> </w:t>
      </w:r>
      <w:bookmarkStart w:id="18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18"/>
      <w:r>
        <w:rPr>
          <w:sz w:val="22"/>
          <w:szCs w:val="22"/>
        </w:rPr>
        <w:t xml:space="preserve"> </w:t>
      </w:r>
    </w:p>
    <w:p>
      <w:pPr>
        <w:pStyle w:val="Normal"/>
        <w:widowControl w:val="false"/>
        <w:tabs>
          <w:tab w:val="clear" w:pos="265"/>
          <w:tab w:val="left" w:pos="426" w:leader="none"/>
        </w:tabs>
        <w:spacing w:before="120" w:after="120"/>
        <w:rPr>
          <w:sz w:val="26"/>
          <w:szCs w:val="26"/>
        </w:rPr>
      </w:pPr>
      <w:r>
        <w:rPr>
          <w:rFonts w:ascii="Liberation Serif" w:hAnsi="Liberation Serif"/>
          <w:b/>
          <w:bCs/>
          <w:i/>
          <w:iCs/>
          <w:sz w:val="26"/>
          <w:szCs w:val="26"/>
        </w:rPr>
        <w:t>Наименование продукции:</w:t>
      </w:r>
      <w:r>
        <w:rPr>
          <w:rFonts w:eastAsia="Times New Roman" w:cs="Times New Roman" w:ascii="Liberation Serif" w:hAnsi="Liberation Serif"/>
          <w:b/>
          <w:bCs/>
          <w:i/>
          <w:iCs/>
          <w:color w:val="00000A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widowControl w:val="false"/>
        <w:tabs>
          <w:tab w:val="clear" w:pos="265"/>
          <w:tab w:val="left" w:pos="426" w:leader="none"/>
        </w:tabs>
        <w:spacing w:before="120" w:after="120"/>
        <w:rPr/>
      </w:pPr>
      <w:r>
        <w:rPr>
          <w:rFonts w:eastAsia="Times New Roman" w:cs="Times New Roman" w:ascii="Liberation Serif" w:hAnsi="Liberation Serif"/>
          <w:b/>
          <w:bCs/>
          <w:i/>
          <w:iCs/>
          <w:color w:val="00000A"/>
          <w:sz w:val="26"/>
          <w:szCs w:val="26"/>
          <w:lang w:val="ru-RU" w:eastAsia="ru-RU" w:bidi="ar-SA"/>
        </w:rPr>
        <w:t>Высотомер Suunto PM-5/1250 PS (либо аналог в соответствии с техническими характеристиками указанными в ТТ)</w:t>
      </w:r>
    </w:p>
    <w:tbl>
      <w:tblPr>
        <w:tblW w:w="1516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835"/>
        <w:gridCol w:w="852"/>
        <w:gridCol w:w="581"/>
        <w:gridCol w:w="1828"/>
        <w:gridCol w:w="2269"/>
        <w:gridCol w:w="1984"/>
        <w:gridCol w:w="2128"/>
        <w:gridCol w:w="1982"/>
      </w:tblGrid>
      <w:tr>
        <w:trPr/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268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09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1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9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268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97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2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2</w:t>
            </w:r>
          </w:p>
        </w:tc>
        <w:tc>
          <w:tcPr>
            <w:tcW w:w="40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5</w:t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60" w:after="60"/>
              <w:ind w:left="360" w:right="0" w:hanging="3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836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Назначение устройства</w:t>
            </w:r>
          </w:p>
        </w:tc>
        <w:tc>
          <w:tcPr>
            <w:tcW w:w="40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tabs>
                <w:tab w:val="clear" w:pos="265"/>
                <w:tab w:val="left" w:pos="0" w:leader="none"/>
                <w:tab w:val="left" w:pos="993" w:leader="none"/>
              </w:tabs>
              <w:bidi w:val="0"/>
              <w:spacing w:before="0" w:after="0"/>
              <w:ind w:left="113" w:right="0" w:hanging="0"/>
              <w:contextualSpacing w:val="false"/>
              <w:jc w:val="both"/>
              <w:rPr>
                <w:rFonts w:ascii="Liberation Serif" w:hAnsi="Liberation Serif" w:eastAsia="Times New Roman" w:cs="Times New Roman"/>
                <w:color w:val="00000A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00000A"/>
                <w:sz w:val="22"/>
                <w:szCs w:val="22"/>
                <w:shd w:fill="auto" w:val="clear"/>
                <w:lang w:val="ru-RU" w:eastAsia="ru-RU" w:bidi="ar-SA"/>
              </w:rPr>
              <w:t>Предназначен для точного и быстрого измерения высоты деревьев.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Установка оси диска-стрелки на камне из сапфира.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есть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Установка шкального барабана на специальный подшипник.</w:t>
            </w:r>
          </w:p>
        </w:tc>
        <w:tc>
          <w:tcPr>
            <w:tcW w:w="40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есть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Расположение шкального барабана в прозрачной герметично закрытой, наполненной жидкостью пластмасовой коробке.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есть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487" w:hRule="atLeast"/>
        </w:trPr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Наведение на цель и определение высоты производится одновременно.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есть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Шкала высот расположена на датчике и просматривается в визире.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есть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tabs>
                <w:tab w:val="clear" w:pos="265"/>
                <w:tab w:val="left" w:pos="0" w:leader="none"/>
                <w:tab w:val="left" w:pos="993" w:leader="none"/>
              </w:tabs>
              <w:bidi w:val="0"/>
              <w:spacing w:before="0" w:after="0"/>
              <w:ind w:left="57" w:right="0" w:hanging="0"/>
              <w:contextualSpacing w:val="false"/>
              <w:jc w:val="both"/>
              <w:rPr>
                <w:rFonts w:ascii="Liberation Serif" w:hAnsi="Liberation Serif" w:eastAsia="Times New Roman" w:cs="Times New Roman"/>
                <w:color w:val="00000A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00000A"/>
                <w:sz w:val="22"/>
                <w:szCs w:val="22"/>
                <w:shd w:fill="auto" w:val="clear"/>
                <w:lang w:val="ru-RU" w:eastAsia="ru-RU" w:bidi="ar-SA"/>
              </w:rPr>
              <w:t>Наличие шкалы для измерения происходящего с расстояния 15 и 20 метров.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есть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Вес, г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Не менее 94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Габаритные размеры, мм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Не более 77х52х15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Корпус из анодированного коррозионно-стойкого материала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есть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Настраиваемая оптика.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есть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pacing w:before="60" w:after="60"/>
              <w:ind w:left="-117" w:right="0" w:firstLine="142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Резьба для установки на штатив.</w:t>
            </w:r>
          </w:p>
        </w:tc>
        <w:tc>
          <w:tcPr>
            <w:tcW w:w="409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40" w:before="0" w:after="0"/>
              <w:ind w:left="0" w:right="0" w:hanging="0"/>
              <w:jc w:val="left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есть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310" w:hRule="atLeast"/>
        </w:trPr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60" w:after="60"/>
              <w:ind w:left="360" w:right="0" w:hanging="36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836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2.1. </w:t>
            </w:r>
          </w:p>
        </w:tc>
        <w:tc>
          <w:tcPr>
            <w:tcW w:w="42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265"/>
                <w:tab w:val="left" w:pos="567" w:leader="none"/>
              </w:tabs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Срок гарантии на поставляемую продукцию</w:t>
            </w:r>
          </w:p>
        </w:tc>
        <w:tc>
          <w:tcPr>
            <w:tcW w:w="40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Не менее 12 месяцев. Время начала исчисления гарантийного срока – с момента поставки оборудования.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Указать срок гарантии на продукцию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2.2.</w:t>
            </w:r>
          </w:p>
        </w:tc>
        <w:tc>
          <w:tcPr>
            <w:tcW w:w="42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Гарантийное и послегарантийное обслуживание</w:t>
            </w:r>
          </w:p>
        </w:tc>
        <w:tc>
          <w:tcPr>
            <w:tcW w:w="40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Поставщик должен за свой счет и в сроки, согласованные с заказчиком, устранять любые дефекты в поставляемом оборудовании. В случае выхода из строя оборудования поставщик обязан направить своего представителя для участия и составления акта, фиксирующего дефекты, согласования порядка и сроков их устранения не позднее 10 дней со дня получения письменного извещения Заказчика. Гарантийный срок в этом случае продлевается соответственно на период устранения дефектов.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>
          <w:trHeight w:val="98" w:hRule="atLeast"/>
        </w:trPr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836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комплектации и документам продукции (для подтверждения применимости предложенной Участником продукции (в том числе эквивалентной продукции), а также ее соответствия техническим требованиям Заказчика)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2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1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Ед. измер.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3.1.</w:t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57" w:after="57"/>
              <w:contextualSpacing/>
              <w:rPr>
                <w:rFonts w:ascii="Liberation Serif" w:hAnsi="Liberation Serif" w:eastAsia="Times New Roman" w:cs="Times New Roman"/>
                <w:color w:val="00000A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00000A"/>
                <w:sz w:val="22"/>
                <w:szCs w:val="22"/>
                <w:shd w:fill="auto" w:val="clear"/>
                <w:lang w:val="ru-RU" w:eastAsia="ru-RU" w:bidi="ar-SA"/>
              </w:rPr>
              <w:t>Высотмер.</w:t>
            </w:r>
          </w:p>
        </w:tc>
        <w:tc>
          <w:tcPr>
            <w:tcW w:w="1828" w:type="dxa"/>
            <w:tcBorders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3.2.</w:t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57" w:after="57"/>
              <w:contextualSpacing/>
              <w:rPr>
                <w:rFonts w:ascii="Liberation Serif" w:hAnsi="Liberation Serif" w:eastAsia="Times New Roman" w:cs="Times New Roman"/>
                <w:color w:val="00000A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00000A"/>
                <w:sz w:val="22"/>
                <w:szCs w:val="22"/>
                <w:shd w:fill="auto" w:val="clear"/>
                <w:lang w:val="ru-RU" w:eastAsia="ru-RU" w:bidi="ar-SA"/>
              </w:rPr>
              <w:t>Чехол из прочного нейлона, с петлей для крепления на поясе.</w:t>
            </w:r>
          </w:p>
        </w:tc>
        <w:tc>
          <w:tcPr>
            <w:tcW w:w="1828" w:type="dxa"/>
            <w:tcBorders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3.3.</w:t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57" w:after="57"/>
              <w:contextualSpacing/>
              <w:rPr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A"/>
                <w:sz w:val="22"/>
                <w:szCs w:val="22"/>
                <w:shd w:fill="auto" w:val="clear"/>
                <w:lang w:val="ru-RU" w:eastAsia="ru-RU" w:bidi="ar-SA"/>
              </w:rPr>
              <w:t>Плечевой ремень.</w:t>
            </w:r>
          </w:p>
        </w:tc>
        <w:tc>
          <w:tcPr>
            <w:tcW w:w="1828" w:type="dxa"/>
            <w:tcBorders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3.4.</w:t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57" w:after="57"/>
              <w:contextualSpacing/>
              <w:rPr>
                <w:rFonts w:ascii="Liberation Serif" w:hAnsi="Liberation Serif" w:eastAsia="Times New Roman" w:cs="Times New Roman"/>
                <w:color w:val="000000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2"/>
                <w:szCs w:val="22"/>
                <w:shd w:fill="auto" w:val="clear"/>
                <w:lang w:val="ru-RU" w:eastAsia="ru-RU" w:bidi="ar-SA"/>
              </w:rPr>
              <w:t>Защитный чехол.</w:t>
            </w:r>
          </w:p>
        </w:tc>
        <w:tc>
          <w:tcPr>
            <w:tcW w:w="1828" w:type="dxa"/>
            <w:tcBorders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/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3.5.</w:t>
            </w:r>
          </w:p>
        </w:tc>
        <w:tc>
          <w:tcPr>
            <w:tcW w:w="4268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before="57" w:after="57"/>
              <w:contextualSpacing/>
              <w:rPr>
                <w:rFonts w:ascii="Liberation Serif" w:hAnsi="Liberation Serif"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shd w:fill="auto" w:val="clear"/>
              </w:rPr>
              <w:t>Инструкция на русском языке.</w:t>
            </w:r>
          </w:p>
        </w:tc>
        <w:tc>
          <w:tcPr>
            <w:tcW w:w="1828" w:type="dxa"/>
            <w:tcBorders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6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198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  <w:shd w:fill="auto" w:val="clear"/>
              </w:rPr>
            </w:pPr>
            <w:r>
              <w:rPr>
                <w:rFonts w:ascii="Liberation Serif" w:hAnsi="Liberation Serif"/>
                <w:sz w:val="22"/>
                <w:szCs w:val="22"/>
                <w:shd w:fill="auto" w:val="clear"/>
              </w:rPr>
              <w:t>Согласие с требованием</w:t>
            </w:r>
          </w:p>
        </w:tc>
        <w:tc>
          <w:tcPr>
            <w:tcW w:w="21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hd w:fill="auto" w:val="clear"/>
              </w:rPr>
            </w:pPr>
            <w:r>
              <w:rPr>
                <w:rFonts w:ascii="Liberation Serif" w:hAnsi="Liberation Serif"/>
                <w:shd w:fill="auto" w:val="clear"/>
              </w:rPr>
            </w:r>
          </w:p>
        </w:tc>
        <w:tc>
          <w:tcPr>
            <w:tcW w:w="19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</w:tr>
      <w:tr>
        <w:trPr>
          <w:trHeight w:val="225" w:hRule="atLeast"/>
        </w:trPr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265"/>
                <w:tab w:val="left" w:pos="0" w:leader="none"/>
              </w:tabs>
              <w:bidi w:val="0"/>
              <w:spacing w:before="60" w:after="60"/>
              <w:ind w:left="0" w:right="0" w:hanging="0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836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новизне поставляемой продукции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right="0" w:hanging="0"/>
              <w:contextualSpacing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Требования к году выпуска</w:t>
            </w:r>
          </w:p>
        </w:tc>
        <w:tc>
          <w:tcPr>
            <w:tcW w:w="553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bCs/>
                <w:iCs/>
                <w:sz w:val="20"/>
                <w:szCs w:val="20"/>
                <w:lang w:eastAsia="x-none"/>
              </w:rPr>
            </w:pPr>
            <w:r>
              <w:rPr>
                <w:rFonts w:ascii="Liberation Serif" w:hAnsi="Liberation Serif"/>
                <w:bCs/>
                <w:iCs/>
                <w:sz w:val="20"/>
                <w:szCs w:val="20"/>
                <w:lang w:eastAsia="x-none"/>
              </w:rPr>
              <w:t xml:space="preserve">Продукция должна быть новой и ранее неиспользованной, изготовлена в </w:t>
            </w:r>
            <w:r>
              <w:rPr>
                <w:rFonts w:ascii="Liberation Serif" w:hAnsi="Liberation Serif"/>
                <w:b/>
                <w:bCs/>
                <w:iCs/>
                <w:sz w:val="20"/>
                <w:szCs w:val="20"/>
                <w:lang w:eastAsia="x-none"/>
              </w:rPr>
              <w:t>2025-2026</w:t>
            </w:r>
            <w:r>
              <w:rPr>
                <w:rFonts w:ascii="Liberation Serif" w:hAnsi="Liberation Serif"/>
                <w:bCs/>
                <w:iCs/>
                <w:sz w:val="20"/>
                <w:szCs w:val="20"/>
                <w:lang w:eastAsia="x-none"/>
              </w:rPr>
              <w:t xml:space="preserve"> гг. Под новой следует понимать продукцию, которая не была в употреблении, не проходила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Согласие с требованием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265"/>
                <w:tab w:val="left" w:pos="426" w:leader="none"/>
              </w:tabs>
              <w:spacing w:before="40" w:after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60" w:after="60"/>
              <w:ind w:left="0" w:hanging="0"/>
              <w:jc w:val="left"/>
              <w:outlineLvl w:val="2"/>
              <w:rPr>
                <w:rFonts w:ascii="Liberation Serif" w:hAnsi="Liberation Serif"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ascii="Liberation Serif" w:hAnsi="Liberation Serif"/>
                <w:b w:val="false"/>
                <w:sz w:val="22"/>
                <w:szCs w:val="22"/>
                <w:lang w:val="ru-RU" w:eastAsia="ru-RU"/>
              </w:rPr>
            </w:r>
          </w:p>
        </w:tc>
      </w:tr>
      <w:tr>
        <w:trPr>
          <w:trHeight w:val="196" w:hRule="atLeast"/>
        </w:trPr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5.</w:t>
            </w:r>
          </w:p>
        </w:tc>
        <w:tc>
          <w:tcPr>
            <w:tcW w:w="836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доставке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ind w:left="0" w:right="-109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5.1.</w:t>
            </w:r>
          </w:p>
        </w:tc>
        <w:tc>
          <w:tcPr>
            <w:tcW w:w="36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ind w:left="0" w:right="-111" w:hanging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Место поставки</w:t>
            </w:r>
          </w:p>
        </w:tc>
        <w:tc>
          <w:tcPr>
            <w:tcW w:w="467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Times New Roman" w:cs="Times New Roman"/>
                <w:b w:val="false"/>
                <w:i/>
                <w:i/>
                <w:iCs/>
                <w:caps w:val="false"/>
                <w:smallCaps w:val="false"/>
                <w:color w:val="1A1A1A"/>
                <w:spacing w:val="0"/>
                <w:kern w:val="0"/>
                <w:sz w:val="23"/>
                <w:szCs w:val="23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 w:val="false"/>
                <w:i/>
                <w:iCs/>
                <w:caps w:val="false"/>
                <w:smallCaps w:val="false"/>
                <w:color w:val="1A1A1A"/>
                <w:spacing w:val="0"/>
                <w:kern w:val="0"/>
                <w:sz w:val="23"/>
                <w:szCs w:val="23"/>
                <w:shd w:fill="auto" w:val="clear"/>
                <w:lang w:val="ru-RU" w:eastAsia="ru-RU" w:bidi="ar-SA"/>
              </w:rPr>
              <w:t>Республика Саха (Якутия), г. Алдан, ул. Тарабукина 60а (для филиала АО «ДРСК» - «ЮЯЭС»).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</w:r>
          </w:p>
        </w:tc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</w:tbl>
    <w:p>
      <w:pPr>
        <w:pStyle w:val="Heading1"/>
        <w:keepNext w:val="true"/>
        <w:widowControl/>
        <w:numPr>
          <w:ilvl w:val="0"/>
          <w:numId w:val="0"/>
        </w:numPr>
        <w:bidi w:val="0"/>
        <w:spacing w:before="120" w:after="60"/>
        <w:ind w:left="340" w:right="0" w:hanging="0"/>
        <w:jc w:val="center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widowControl/>
        <w:numPr>
          <w:ilvl w:val="0"/>
          <w:numId w:val="2"/>
        </w:numPr>
        <w:bidi w:val="0"/>
        <w:spacing w:before="120" w:after="60"/>
        <w:ind w:left="340" w:right="0" w:hanging="340"/>
        <w:jc w:val="center"/>
        <w:rPr>
          <w:rFonts w:ascii="Liberation Serif" w:hAnsi="Liberation Serif"/>
          <w:sz w:val="24"/>
          <w:szCs w:val="24"/>
        </w:rPr>
      </w:pPr>
      <w:bookmarkStart w:id="19" w:name="_Toc53393312"/>
      <w:bookmarkStart w:id="20" w:name="_Toc75446583"/>
      <w:r>
        <w:rPr>
          <w:sz w:val="24"/>
          <w:szCs w:val="24"/>
        </w:rPr>
        <w:t>Требования к документации по ценообразованию</w:t>
      </w:r>
      <w:bookmarkEnd w:id="19"/>
      <w:bookmarkEnd w:id="20"/>
      <w:r>
        <w:rPr>
          <w:sz w:val="24"/>
          <w:szCs w:val="24"/>
        </w:rPr>
        <w:t xml:space="preserve"> на этапе закупки</w:t>
      </w:r>
    </w:p>
    <w:p>
      <w:pPr>
        <w:pStyle w:val="Normal"/>
        <w:tabs>
          <w:tab w:val="clear" w:pos="265"/>
          <w:tab w:val="left" w:pos="1134" w:leader="none"/>
        </w:tabs>
        <w:suppressAutoHyphens w:val="true"/>
        <w:ind w:left="0" w:right="593"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tabs>
          <w:tab w:val="clear" w:pos="265"/>
          <w:tab w:val="left" w:pos="1134" w:leader="none"/>
        </w:tabs>
        <w:suppressAutoHyphens w:val="true"/>
        <w:ind w:left="0" w:right="593"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3.2.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ListParagraph"/>
        <w:tabs>
          <w:tab w:val="clear" w:pos="265"/>
          <w:tab w:val="left" w:pos="426" w:leader="none"/>
          <w:tab w:val="left" w:pos="1134" w:leader="none"/>
        </w:tabs>
        <w:ind w:left="0" w:right="0" w:firstLine="709"/>
        <w:jc w:val="center"/>
        <w:rPr/>
      </w:pPr>
      <w:r>
        <w:rPr/>
      </w:r>
    </w:p>
    <w:sectPr>
      <w:headerReference w:type="default" r:id="rId3"/>
      <w:headerReference w:type="first" r:id="rId4"/>
      <w:footnotePr>
        <w:numFmt w:val="decimal"/>
      </w:footnotePr>
      <w:type w:val="nextPage"/>
      <w:pgSz w:orient="landscape" w:w="16838" w:h="11906"/>
      <w:pgMar w:left="992" w:right="678" w:gutter="0" w:header="680" w:top="737" w:footer="0" w:bottom="709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1"/>
        <w:widowControl w:val="false"/>
        <w:jc w:val="both"/>
        <w:rPr/>
      </w:pPr>
      <w:r>
        <w:rPr>
          <w:rStyle w:val="Style12"/>
        </w:rPr>
        <w:footnoteRef/>
      </w:r>
      <w:r>
        <w:rPr>
          <w:rStyle w:val="Footnotereference1"/>
          <w:color w:val="FF0000"/>
        </w:rPr>
        <w:t xml:space="preserve"> </w:t>
      </w:r>
      <w:r>
        <w:rPr>
          <w:iCs/>
          <w:color w:val="FF0000"/>
        </w:rPr>
        <w:t>Способ подтверждения участником соответствия требованиям указан в таблице в отношении каждой позиции закупаемой продукции.</w:t>
      </w:r>
    </w:p>
    <w:p>
      <w:pPr>
        <w:pStyle w:val="Footnotetext1"/>
        <w:widowControl w:val="false"/>
        <w:jc w:val="both"/>
        <w:rPr/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effect w:val="none"/>
        <w:szCs w:val="22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Heading4"/>
      <w:numFmt w:val="none"/>
      <w:suff w:val="nothing"/>
      <w:lvlText w:val="%1.%2."/>
      <w:lvlJc w:val="left"/>
      <w:pPr>
        <w:tabs>
          <w:tab w:val="num" w:pos="0"/>
        </w:tabs>
        <w:ind w:left="432" w:hanging="432"/>
      </w:pPr>
      <w:rPr>
        <w:sz w:val="22"/>
        <w:i w:val="false"/>
        <w:b/>
        <w:szCs w:val="24"/>
        <w:iCs/>
        <w:bCs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2"/>
        <w:b w:val="false"/>
        <w:szCs w:val="22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265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kern w:val="2"/>
        <w:sz w:val="28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2"/>
      <w:sz w:val="28"/>
      <w:szCs w:val="28"/>
      <w:lang w:val="ru-RU" w:eastAsia="ru-RU" w:bidi="ar-SA"/>
    </w:rPr>
  </w:style>
  <w:style w:type="paragraph" w:styleId="Heading1">
    <w:name w:val="Heading 1"/>
    <w:basedOn w:val="Heading3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pPr>
      <w:numPr>
        <w:ilvl w:val="0"/>
        <w:numId w:val="0"/>
      </w:numPr>
    </w:pPr>
    <w:rPr/>
  </w:style>
  <w:style w:type="paragraph" w:styleId="Heading3">
    <w:name w:val="Heading 3"/>
    <w:basedOn w:val="Normal"/>
    <w:autoRedefine/>
    <w:qFormat/>
    <w:pPr>
      <w:keepNext w:val="true"/>
      <w:numPr>
        <w:ilvl w:val="2"/>
        <w:numId w:val="1"/>
      </w:numPr>
      <w:tabs>
        <w:tab w:val="clear" w:pos="265"/>
      </w:tabs>
      <w:spacing w:before="120" w:after="60"/>
      <w:outlineLvl w:val="2"/>
    </w:pPr>
    <w:rPr>
      <w:rFonts w:ascii="Liberation Serif" w:hAnsi="Liberation Serif"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qFormat/>
    <w:pPr>
      <w:numPr>
        <w:ilvl w:val="1"/>
        <w:numId w:val="1"/>
      </w:numPr>
      <w:outlineLvl w:val="1"/>
    </w:pPr>
    <w:rPr>
      <w:bCs/>
    </w:rPr>
  </w:style>
  <w:style w:type="paragraph" w:styleId="Heading5">
    <w:name w:val="Heading 5"/>
    <w:basedOn w:val="Normal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Footnotereference1">
    <w:name w:val="footnote reference1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">
    <w:name w:val="Название Знак"/>
    <w:qFormat/>
    <w:rPr>
      <w:sz w:val="28"/>
    </w:rPr>
  </w:style>
  <w:style w:type="character" w:styleId="Style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2">
    <w:name w:val="Выделенная цитата Знак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3">
    <w:name w:val="Электронная подпись Знак"/>
    <w:qFormat/>
    <w:rPr>
      <w:rFonts w:eastAsia="Calibri"/>
      <w:sz w:val="24"/>
      <w:szCs w:val="24"/>
    </w:rPr>
  </w:style>
  <w:style w:type="character" w:styleId="11">
    <w:name w:val="Подпункт Знак1"/>
    <w:qFormat/>
    <w:rPr>
      <w:sz w:val="28"/>
    </w:rPr>
  </w:style>
  <w:style w:type="character" w:styleId="Style4">
    <w:name w:val="Текст сноски Знак"/>
    <w:qFormat/>
    <w:rPr/>
  </w:style>
  <w:style w:type="character" w:styleId="Style5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6">
    <w:name w:val="Абзац списка Знак"/>
    <w:qFormat/>
    <w:rPr>
      <w:rFonts w:eastAsia="Calibri"/>
      <w:sz w:val="24"/>
      <w:szCs w:val="24"/>
    </w:rPr>
  </w:style>
  <w:style w:type="character" w:styleId="Style7">
    <w:name w:val="комментарий"/>
    <w:qFormat/>
    <w:rPr>
      <w:i/>
      <w:shd w:fill="FFFF99" w:val="clear"/>
    </w:rPr>
  </w:style>
  <w:style w:type="character" w:styleId="Style8">
    <w:name w:val="Подподпункт Знак"/>
    <w:qFormat/>
    <w:rPr>
      <w:sz w:val="26"/>
      <w:szCs w:val="26"/>
    </w:rPr>
  </w:style>
  <w:style w:type="character" w:styleId="3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Style10">
    <w:name w:val="Текст примечания Знак"/>
    <w:qFormat/>
    <w:rPr/>
  </w:style>
  <w:style w:type="character" w:styleId="Style11">
    <w:name w:val="Текст концевой сноски Знак"/>
    <w:basedOn w:val="DefaultParagraphFont"/>
    <w:qFormat/>
    <w:rPr/>
  </w:style>
  <w:style w:type="character" w:styleId="Endnotereference1">
    <w:name w:val="endnote reference1"/>
    <w:basedOn w:val="DefaultParagraphFont"/>
    <w:qFormat/>
    <w:rPr>
      <w:vertAlign w:val="superscript"/>
    </w:rPr>
  </w:style>
  <w:style w:type="character" w:styleId="22">
    <w:name w:val="Пункт2 Знак"/>
    <w:qFormat/>
    <w:rPr>
      <w:b/>
      <w:sz w:val="28"/>
    </w:rPr>
  </w:style>
  <w:style w:type="character" w:styleId="12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qFormat/>
    <w:rPr>
      <w:sz w:val="16"/>
      <w:szCs w:val="16"/>
    </w:rPr>
  </w:style>
  <w:style w:type="character" w:styleId="Markedcontent">
    <w:name w:val="markedcontent"/>
    <w:basedOn w:val="DefaultParagraphFont"/>
    <w:qFormat/>
    <w:rPr/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8">
    <w:name w:val="Раздел положения"/>
    <w:basedOn w:val="Normal"/>
    <w:autoRedefine/>
    <w:qFormat/>
    <w:pPr>
      <w:spacing w:before="80" w:after="80"/>
      <w:jc w:val="center"/>
    </w:pPr>
    <w:rPr>
      <w:b/>
      <w:sz w:val="32"/>
      <w:szCs w:val="32"/>
    </w:rPr>
  </w:style>
  <w:style w:type="paragraph" w:styleId="Style19">
    <w:name w:val="Подраздел раздела положения"/>
    <w:basedOn w:val="Normal"/>
    <w:autoRedefine/>
    <w:qFormat/>
    <w:pPr>
      <w:spacing w:before="80" w:after="80"/>
      <w:jc w:val="both"/>
    </w:pPr>
    <w:rPr/>
  </w:style>
  <w:style w:type="paragraph" w:styleId="Footnotetext1">
    <w:name w:val="footnote text1"/>
    <w:basedOn w:val="Normal"/>
    <w:qFormat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qFormat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265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265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>
    <w:name w:val="Подпункт"/>
    <w:basedOn w:val="Normal"/>
    <w:qFormat/>
    <w:pPr>
      <w:tabs>
        <w:tab w:val="clear" w:pos="265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qFormat/>
    <w:pPr>
      <w:keepNext w:val="true"/>
      <w:numPr>
        <w:ilvl w:val="0"/>
        <w:numId w:val="0"/>
      </w:numPr>
      <w:tabs>
        <w:tab w:val="clear" w:pos="265"/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2">
    <w:name w:val="Раздел регламента"/>
    <w:basedOn w:val="Normal"/>
    <w:qFormat/>
    <w:pPr/>
    <w:rPr/>
  </w:style>
  <w:style w:type="paragraph" w:styleId="Style23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4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qFormat/>
    <w:pPr>
      <w:keepLines/>
      <w:numPr>
        <w:ilvl w:val="0"/>
        <w:numId w:val="0"/>
      </w:numPr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  <w:lang w:val="x-none" w:eastAsia="x-none"/>
    </w:rPr>
  </w:style>
  <w:style w:type="paragraph" w:styleId="Style25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2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00000A"/>
      <w:kern w:val="2"/>
      <w:sz w:val="28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>
    <w:name w:val="Пункт"/>
    <w:basedOn w:val="Normal"/>
    <w:qFormat/>
    <w:pPr>
      <w:widowControl w:val="false"/>
      <w:tabs>
        <w:tab w:val="clear" w:pos="265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>
    <w:name w:val="Подподпункт"/>
    <w:basedOn w:val="Style21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0">
    <w:name w:val="УРОВЕНЬ_(а)"/>
    <w:basedOn w:val="ListParagraph"/>
    <w:qFormat/>
    <w:pPr>
      <w:numPr>
        <w:ilvl w:val="0"/>
        <w:numId w:val="0"/>
      </w:numPr>
      <w:spacing w:lineRule="exact" w:line="360" w:before="120" w:after="0"/>
      <w:ind w:left="720" w:right="0" w:hanging="0"/>
      <w:contextualSpacing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0"/>
        <w:numId w:val="0"/>
      </w:numPr>
      <w:spacing w:lineRule="exact" w:line="360" w:before="120" w:after="0"/>
      <w:ind w:left="720" w:right="0" w:hanging="0"/>
      <w:contextualSpacing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qFormat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1">
    <w:name w:val="УРОВЕНЬ_Подпись"/>
    <w:basedOn w:val="ListParagraph"/>
    <w:qFormat/>
    <w:pPr>
      <w:keepNext w:val="true"/>
      <w:numPr>
        <w:ilvl w:val="0"/>
        <w:numId w:val="0"/>
      </w:numPr>
      <w:spacing w:lineRule="exact" w:line="360" w:before="120" w:after="120"/>
      <w:ind w:left="720" w:right="0" w:hanging="0"/>
      <w:contextualSpacing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left" w:pos="567" w:leader="none"/>
      </w:tabs>
      <w:suppressAutoHyphens w:val="true"/>
      <w:spacing w:before="480" w:after="240"/>
      <w:ind w:left="567" w:right="0" w:hanging="567"/>
      <w:jc w:val="both"/>
      <w:outlineLvl w:val="9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1">
    <w:name w:val="endnote text1"/>
    <w:basedOn w:val="Normal"/>
    <w:qFormat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0"/>
      </w:numPr>
      <w:suppressAutoHyphens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2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FootnoteText">
    <w:name w:val="Footnote Text"/>
    <w:basedOn w:val="Normal"/>
    <w:pPr/>
    <w:rPr/>
  </w:style>
  <w:style w:type="paragraph" w:styleId="Style33">
    <w:name w:val="Содержимое таблицы"/>
    <w:basedOn w:val="Normal"/>
    <w:qFormat/>
    <w:pPr/>
    <w:rPr/>
  </w:style>
  <w:style w:type="paragraph" w:styleId="Style34">
    <w:name w:val="Заголовок таблицы"/>
    <w:basedOn w:val="Style33"/>
    <w:qFormat/>
    <w:pPr/>
    <w:rPr/>
  </w:style>
  <w:style w:type="paragraph" w:styleId="EndnoteText">
    <w:name w:val="Endnote Text"/>
    <w:basedOn w:val="Normal"/>
    <w:pPr/>
    <w:rPr/>
  </w:style>
  <w:style w:type="paragraph" w:styleId="10">
    <w:name w:val="Заголовок 10"/>
    <w:basedOn w:val="Style15"/>
    <w:qFormat/>
    <w:pPr/>
    <w:rPr/>
  </w:style>
  <w:style w:type="paragraph" w:styleId="29">
    <w:name w:val="Обычный2"/>
    <w:qFormat/>
    <w:pPr>
      <w:widowControl/>
      <w:suppressAutoHyphens w:val="true"/>
      <w:overflowPunct w:val="true"/>
      <w:bidi w:val="0"/>
      <w:snapToGrid w:val="false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numbering" w:styleId="Style35">
    <w:name w:val="Без списка"/>
    <w:qFormat/>
  </w:style>
  <w:style w:type="numbering" w:styleId="110">
    <w:name w:val="Стиль1"/>
    <w:qFormat/>
  </w:style>
  <w:style w:type="numbering" w:styleId="210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4518</TotalTime>
  <Application>AlterOffice/2025.3.1.0$Linux_X86_64 LibreOffice_project/431cd1b79110582f53535c95ed0a2449aadc8bf9</Application>
  <AppVersion>15.0000</AppVersion>
  <Pages>5</Pages>
  <Words>727</Words>
  <Characters>4633</Characters>
  <CharactersWithSpaces>5209</CharactersWithSpaces>
  <Paragraphs>191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2023-08-08T23:41:00Z</dcterms:created>
  <dc:creator>Быстров Олег Геннадьевич</dc:creator>
  <dc:description/>
  <dc:language>ru-RU</dc:language>
  <cp:lastModifiedBy>uraskin_av</cp:lastModifiedBy>
  <dcterms:modified xsi:type="dcterms:W3CDTF">2026-10-05T11:52:31Z</dcterms:modified>
  <cp:revision>119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