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rPr>
          <w:rFonts w:ascii="Liberation Serif" w:hAnsi="Liberation Serif"/>
          <w:sz w:val="24"/>
          <w:szCs w:val="24"/>
          <w:lang w:val="en-US"/>
        </w:rPr>
      </w:pPr>
      <w:r>
        <w:rPr>
          <w:rFonts w:ascii="Liberation Serif" w:hAnsi="Liberation Serif"/>
          <w:sz w:val="24"/>
          <w:szCs w:val="24"/>
          <w:lang w:val="en-US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keepNext w:val="true"/>
        <w:keepLines/>
        <w:jc w:val="center"/>
        <w:rPr/>
      </w:pPr>
      <w:r>
        <w:rPr/>
      </w:r>
    </w:p>
    <w:p>
      <w:pPr>
        <w:pStyle w:val="Normal"/>
        <w:jc w:val="center"/>
        <w:rPr>
          <w:rFonts w:ascii="Liberation Serif" w:hAnsi="Liberation Serif" w:eastAsia="Calibri"/>
          <w:b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  <w:t xml:space="preserve">Технические требования </w:t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</w:p>
    <w:p>
      <w:pPr>
        <w:pStyle w:val="Normal"/>
        <w:widowControl w:val="false"/>
        <w:suppressLineNumbers/>
        <w:tabs>
          <w:tab w:val="clear" w:pos="708"/>
        </w:tabs>
        <w:suppressAutoHyphens w:val="true"/>
        <w:spacing w:lineRule="auto" w:line="240" w:before="0" w:after="0"/>
        <w:ind w:left="0" w:right="0" w:firstLine="680"/>
        <w:jc w:val="center"/>
        <w:rPr/>
      </w:pPr>
      <w:r>
        <w:rPr>
          <w:rStyle w:val="Style19"/>
          <w:rFonts w:eastAsia="Times New Roman" w:cs="Liberation Serif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7"/>
          <w:kern w:val="2"/>
          <w:sz w:val="24"/>
          <w:szCs w:val="24"/>
          <w:u w:val="none"/>
          <w:shd w:fill="auto" w:val="clear"/>
          <w:em w:val="none"/>
          <w:lang w:val="ru-RU" w:eastAsia="en-US" w:bidi="ar-SA"/>
        </w:rPr>
        <w:t>ОКПД2 25.11.23 Поставка металлопроката для реконструкции ограждения территории РПБ-1 в рамках организации антитеррористической и противодиверсионной защиты для нужд филиала «Южно-Якутские электрические сети»</w:t>
      </w:r>
    </w:p>
    <w:p>
      <w:pPr>
        <w:pStyle w:val="Normal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sectPr>
          <w:type w:val="nextPage"/>
          <w:pgSz w:orient="landscape" w:w="16838" w:h="11906"/>
          <w:pgMar w:left="1209" w:right="1054" w:gutter="0" w:header="0" w:top="1134" w:footer="0" w:bottom="567"/>
          <w:pgNumType w:fmt="decimal"/>
          <w:formProt w:val="false"/>
          <w:textDirection w:val="lrTb"/>
          <w:docGrid w:type="default" w:linePitch="381" w:charSpace="16384"/>
        </w:sectPr>
        <w:pStyle w:val="Normal"/>
        <w:ind w:left="0" w:right="0" w:firstLine="708"/>
        <w:jc w:val="center"/>
        <w:rPr>
          <w:rFonts w:ascii="Liberation Serif" w:hAnsi="Liberation Serif"/>
          <w:sz w:val="24"/>
          <w:szCs w:val="24"/>
        </w:rPr>
      </w:pPr>
      <w:r>
        <w:rPr>
          <w:rFonts w:eastAsia="Calibri" w:ascii="Liberation Serif" w:hAnsi="Liberation Serif"/>
          <w:b/>
          <w:sz w:val="24"/>
          <w:szCs w:val="24"/>
        </w:rPr>
        <w:t>Лот № 313801-ТПИР ОНМ-2026-ДРСК-ЮЯЭС</w:t>
      </w:r>
    </w:p>
    <w:p>
      <w:pPr>
        <w:pStyle w:val="Normal"/>
        <w:jc w:val="center"/>
        <w:rPr>
          <w:rFonts w:ascii="Liberation Serif" w:hAnsi="Liberation Serif"/>
          <w:b/>
          <w:sz w:val="24"/>
          <w:szCs w:val="24"/>
        </w:rPr>
      </w:pPr>
      <w:r>
        <w:rPr>
          <w:rFonts w:ascii="Liberation Serif" w:hAnsi="Liberation Serif"/>
          <w:b/>
          <w:sz w:val="24"/>
          <w:szCs w:val="24"/>
        </w:rPr>
      </w:r>
    </w:p>
    <w:p>
      <w:pPr>
        <w:pStyle w:val="Normal"/>
        <w:jc w:val="center"/>
        <w:rPr>
          <w:rFonts w:ascii="Liberation Serif" w:hAnsi="Liberation Serif"/>
        </w:rPr>
      </w:pPr>
      <w:r>
        <w:rPr>
          <w:rFonts w:ascii="Liberation Serif" w:hAnsi="Liberation Serif"/>
          <w:b/>
          <w:sz w:val="24"/>
          <w:szCs w:val="24"/>
        </w:rPr>
        <w:t>СОДЕРЖАНИЕ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4"/>
          <w:szCs w:val="24"/>
        </w:rPr>
        <w:t>1. Общие сведения………………………………………………………………………………………………………………………………………….3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1.1. Обозначения и сокращения……………………………………………………………………………………………………………………….……3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1.2. Наименование закупаемой………………………………………………………………………………………………………………….…….…….3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2. </w:t>
      </w:r>
      <w:bookmarkStart w:id="0" w:name="_Toc75446573_Копия_1"/>
      <w:bookmarkStart w:id="1" w:name="_Toc51339693_Копия_1"/>
      <w:r>
        <w:rPr>
          <w:rFonts w:ascii="Liberation Serif" w:hAnsi="Liberation Serif"/>
          <w:b/>
          <w:bCs/>
          <w:iCs/>
          <w:sz w:val="24"/>
          <w:szCs w:val="24"/>
        </w:rPr>
        <w:t>Требования к продукции</w:t>
      </w:r>
      <w:bookmarkEnd w:id="0"/>
      <w:bookmarkEnd w:id="1"/>
      <w:r>
        <w:rPr>
          <w:rFonts w:ascii="Liberation Serif" w:hAnsi="Liberation Serif"/>
          <w:b/>
          <w:bCs/>
          <w:sz w:val="24"/>
          <w:szCs w:val="24"/>
        </w:rPr>
        <w:t>…………………………………………………………………………………………………………………….………….3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 xml:space="preserve">2.1. </w:t>
      </w:r>
      <w:bookmarkStart w:id="2" w:name="_Toc75446574_Копия_1"/>
      <w:r>
        <w:rPr>
          <w:rFonts w:ascii="Liberation Serif" w:hAnsi="Liberation Serif"/>
          <w:sz w:val="24"/>
          <w:szCs w:val="24"/>
        </w:rPr>
        <w:t>Требования к объемам и срокам поставки…</w:t>
      </w:r>
      <w:bookmarkEnd w:id="2"/>
      <w:r>
        <w:rPr>
          <w:rFonts w:ascii="Liberation Serif" w:hAnsi="Liberation Serif"/>
          <w:sz w:val="24"/>
          <w:szCs w:val="24"/>
        </w:rPr>
        <w:t>..………………………………………………………………………………………………….….….4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2.1.1. Перечень и объём закупаемой продукции.…..……..………………………………………...……………………………………………….…….3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2.1.2. Требования к срокам поставки продукции.…..……………………………………………………………………………………………….…….4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2.2. Требования к качеству продукции…………..…..……………………………………………………………………………………………….…….</w:t>
      </w:r>
      <w:r>
        <w:rPr>
          <w:rFonts w:ascii="Liberation Serif" w:hAnsi="Liberation Serif"/>
          <w:sz w:val="24"/>
          <w:szCs w:val="24"/>
        </w:rPr>
        <w:t>5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4"/>
          <w:szCs w:val="24"/>
        </w:rPr>
        <w:t>3. Требования к заявке……….…………….……...……………..…………………………………………………………………………...…………..</w:t>
      </w:r>
      <w:r>
        <w:rPr>
          <w:rFonts w:ascii="Liberation Serif" w:hAnsi="Liberation Serif"/>
          <w:b/>
          <w:bCs/>
          <w:sz w:val="24"/>
          <w:szCs w:val="24"/>
        </w:rPr>
        <w:t>7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4"/>
          <w:szCs w:val="24"/>
        </w:rPr>
        <w:t xml:space="preserve">4. </w:t>
      </w:r>
      <w:r>
        <w:rPr>
          <w:rFonts w:ascii="Liberation Serif" w:hAnsi="Liberation Serif"/>
          <w:b/>
          <w:bCs/>
          <w:iCs/>
          <w:sz w:val="24"/>
          <w:szCs w:val="24"/>
        </w:rPr>
        <w:t>Требование к</w:t>
      </w:r>
      <w:r>
        <w:rPr>
          <w:rFonts w:ascii="Liberation Serif" w:hAnsi="Liberation Serif"/>
          <w:b/>
          <w:bCs/>
          <w:sz w:val="24"/>
          <w:szCs w:val="24"/>
        </w:rPr>
        <w:t xml:space="preserve"> документации по ценообразованию на этапе закупки…..</w:t>
      </w:r>
      <w:r>
        <w:rPr>
          <w:rFonts w:ascii="Liberation Serif" w:hAnsi="Liberation Serif"/>
          <w:b/>
          <w:bCs/>
          <w:sz w:val="26"/>
          <w:szCs w:val="26"/>
        </w:rPr>
        <w:t>.…</w:t>
      </w:r>
      <w:r>
        <w:rPr>
          <w:rFonts w:ascii="Liberation Serif" w:hAnsi="Liberation Serif"/>
          <w:b/>
          <w:bCs/>
          <w:sz w:val="24"/>
          <w:szCs w:val="24"/>
        </w:rPr>
        <w:t>……………………………………………………...………….…..</w:t>
      </w:r>
      <w:r>
        <w:rPr>
          <w:rFonts w:ascii="Liberation Serif" w:hAnsi="Liberation Serif"/>
          <w:b/>
          <w:bCs/>
          <w:sz w:val="24"/>
          <w:szCs w:val="24"/>
        </w:rPr>
        <w:t>7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b/>
          <w:bCs/>
          <w:sz w:val="24"/>
          <w:szCs w:val="24"/>
        </w:rPr>
        <w:t>5. В составе заявки необходимо предоставить:…..</w:t>
      </w:r>
      <w:r>
        <w:rPr>
          <w:rFonts w:ascii="Liberation Serif" w:hAnsi="Liberation Serif"/>
          <w:b/>
          <w:bCs/>
          <w:iCs/>
          <w:sz w:val="24"/>
          <w:szCs w:val="24"/>
        </w:rPr>
        <w:t>………………………………………………………………………………………</w:t>
      </w:r>
      <w:r>
        <w:rPr>
          <w:rFonts w:ascii="Liberation Serif" w:hAnsi="Liberation Serif"/>
          <w:b/>
          <w:bCs/>
          <w:sz w:val="24"/>
          <w:szCs w:val="24"/>
        </w:rPr>
        <w:t>...…………...</w:t>
      </w:r>
      <w:r>
        <w:rPr>
          <w:rFonts w:ascii="Liberation Serif" w:hAnsi="Liberation Serif"/>
          <w:b/>
          <w:bCs/>
          <w:sz w:val="24"/>
          <w:szCs w:val="24"/>
        </w:rPr>
        <w:t>7</w:t>
      </w:r>
    </w:p>
    <w:p>
      <w:pPr>
        <w:pStyle w:val="Normal"/>
        <w:rPr>
          <w:rFonts w:ascii="Liberation Serif" w:hAnsi="Liberation Serif"/>
          <w:b/>
          <w:bCs/>
          <w:sz w:val="24"/>
          <w:szCs w:val="24"/>
        </w:rPr>
      </w:pPr>
      <w:r>
        <w:rPr>
          <w:rFonts w:ascii="Liberation Serif" w:hAnsi="Liberation Serif"/>
          <w:b/>
          <w:bCs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4"/>
        </w:numPr>
        <w:ind w:left="357" w:right="0" w:hanging="357"/>
        <w:jc w:val="center"/>
        <w:rPr>
          <w:rFonts w:ascii="Liberation Serif" w:hAnsi="Liberation Serif"/>
        </w:rPr>
      </w:pPr>
      <w:bookmarkStart w:id="3" w:name="_Toc75446566"/>
      <w:bookmarkStart w:id="4" w:name="_Toc51339692"/>
      <w:r>
        <w:rPr>
          <w:rFonts w:ascii="Liberation Serif" w:hAnsi="Liberation Serif"/>
          <w:sz w:val="24"/>
          <w:szCs w:val="24"/>
          <w:lang w:val="ru-RU"/>
        </w:rPr>
        <w:t>Общие сведения</w:t>
      </w:r>
      <w:bookmarkEnd w:id="3"/>
      <w:bookmarkEnd w:id="4"/>
    </w:p>
    <w:p>
      <w:pPr>
        <w:pStyle w:val="Normal"/>
        <w:ind w:left="357" w:right="0" w:hanging="357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Heading4"/>
        <w:numPr>
          <w:ilvl w:val="1"/>
          <w:numId w:val="4"/>
        </w:numPr>
        <w:ind w:left="432" w:right="0" w:hanging="432"/>
        <w:rPr>
          <w:rFonts w:ascii="Liberation Serif" w:hAnsi="Liberation Serif"/>
          <w:shd w:fill="auto" w:val="clear"/>
        </w:rPr>
      </w:pPr>
      <w:r>
        <w:rPr>
          <w:rFonts w:ascii="Liberation Serif" w:hAnsi="Liberation Serif"/>
          <w:shd w:fill="auto" w:val="clear"/>
        </w:rPr>
        <w:t>Обозначения и сокращения</w:t>
      </w:r>
    </w:p>
    <w:p>
      <w:pPr>
        <w:pStyle w:val="Normal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14850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7"/>
        <w:gridCol w:w="12703"/>
      </w:tblGrid>
      <w:tr>
        <w:trPr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ГОСТ</w:t>
            </w:r>
          </w:p>
        </w:tc>
        <w:tc>
          <w:tcPr>
            <w:tcW w:w="1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государственный стандарт;</w:t>
            </w:r>
          </w:p>
        </w:tc>
      </w:tr>
      <w:tr>
        <w:trPr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НТД</w:t>
            </w:r>
          </w:p>
        </w:tc>
        <w:tc>
          <w:tcPr>
            <w:tcW w:w="1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нормативно-техническая документация;</w:t>
            </w:r>
          </w:p>
        </w:tc>
      </w:tr>
      <w:tr>
        <w:trPr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eastAsia="Calibri" w:ascii="Liberation Serif" w:hAnsi="Liberation Serif"/>
                <w:b/>
                <w:bCs/>
                <w:iCs/>
                <w:sz w:val="22"/>
                <w:szCs w:val="22"/>
              </w:rPr>
              <w:t>УХЛ</w:t>
            </w:r>
          </w:p>
        </w:tc>
        <w:tc>
          <w:tcPr>
            <w:tcW w:w="1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климатическое исполнение «умеренный и холодный климат»;</w:t>
            </w:r>
          </w:p>
        </w:tc>
      </w:tr>
      <w:tr>
        <w:trPr>
          <w:cantSplit w:val="true"/>
        </w:trPr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ПУЭ</w:t>
            </w:r>
          </w:p>
        </w:tc>
        <w:tc>
          <w:tcPr>
            <w:tcW w:w="12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60" w:after="6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111111"/>
                <w:sz w:val="22"/>
                <w:szCs w:val="22"/>
              </w:rPr>
              <w:t>Правила устройства электроустановок.</w:t>
            </w:r>
          </w:p>
        </w:tc>
      </w:tr>
    </w:tbl>
    <w:p>
      <w:pPr>
        <w:pStyle w:val="Normal"/>
        <w:rPr>
          <w:rFonts w:ascii="Liberation Serif" w:hAnsi="Liberation Serif"/>
          <w:sz w:val="24"/>
          <w:szCs w:val="24"/>
          <w:lang w:val="x-none" w:eastAsia="x-none"/>
        </w:rPr>
      </w:pPr>
      <w:r>
        <w:rPr>
          <w:rFonts w:ascii="Liberation Serif" w:hAnsi="Liberation Serif"/>
          <w:sz w:val="24"/>
          <w:szCs w:val="24"/>
          <w:lang w:val="x-none" w:eastAsia="x-none"/>
        </w:rPr>
      </w:r>
    </w:p>
    <w:p>
      <w:pPr>
        <w:pStyle w:val="Heading4"/>
        <w:numPr>
          <w:ilvl w:val="1"/>
          <w:numId w:val="4"/>
        </w:numPr>
        <w:tabs>
          <w:tab w:val="clear" w:pos="849"/>
          <w:tab w:val="clear" w:pos="1300"/>
          <w:tab w:val="left" w:pos="0" w:leader="none"/>
          <w:tab w:val="left" w:pos="563" w:leader="none"/>
          <w:tab w:val="left" w:pos="1303" w:leader="none"/>
        </w:tabs>
        <w:ind w:left="0" w:right="0" w:hanging="0"/>
        <w:rPr>
          <w:rFonts w:ascii="Liberation Serif" w:hAnsi="Liberation Serif"/>
        </w:rPr>
      </w:pPr>
      <w:bookmarkStart w:id="5" w:name="_Toc46743506"/>
      <w:bookmarkStart w:id="6" w:name="_Toc75446568"/>
      <w:r>
        <w:rPr>
          <w:rFonts w:ascii="Liberation Serif" w:hAnsi="Liberation Serif"/>
        </w:rPr>
        <w:t>Наименование закупаемой продукции</w:t>
      </w:r>
      <w:bookmarkEnd w:id="5"/>
      <w:bookmarkEnd w:id="6"/>
    </w:p>
    <w:p>
      <w:pPr>
        <w:pStyle w:val="Normal"/>
        <w:widowControl w:val="false"/>
        <w:suppressLineNumbers/>
        <w:tabs>
          <w:tab w:val="clear" w:pos="708"/>
        </w:tabs>
        <w:suppressAutoHyphens w:val="true"/>
        <w:spacing w:lineRule="auto" w:line="240" w:before="0" w:after="0"/>
        <w:ind w:left="0" w:right="0" w:firstLine="680"/>
        <w:jc w:val="both"/>
        <w:rPr/>
      </w:pPr>
      <w:r>
        <w:rPr>
          <w:rStyle w:val="Style19"/>
          <w:rFonts w:eastAsia="Times New Roman" w:cs="Liberation Serif" w:ascii="Liberation Serif" w:hAnsi="Liberation Serif"/>
          <w:caps w:val="false"/>
          <w:smallCaps w:val="false"/>
          <w:strike w:val="false"/>
          <w:dstrike w:val="false"/>
          <w:outline w:val="false"/>
          <w:shadow w:val="false"/>
          <w:color w:val="000000"/>
          <w:spacing w:val="-7"/>
          <w:kern w:val="2"/>
          <w:sz w:val="24"/>
          <w:szCs w:val="24"/>
          <w:u w:val="none"/>
          <w:shd w:fill="auto" w:val="clear"/>
          <w:em w:val="none"/>
          <w:lang w:val="ru-RU" w:eastAsia="en-US" w:bidi="ar-SA"/>
        </w:rPr>
        <w:t>ОКПД2 25.11.23 Поставка металлопроката для реконструкции ограждения территории РПБ-1 в рамках организации антитеррористической и противодиверсионной защиты для нужд филиала «Южно-Якутские электрические сети»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ind w:left="0" w:right="57" w:hanging="0"/>
        <w:jc w:val="both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Heading1"/>
        <w:keepLines/>
        <w:numPr>
          <w:ilvl w:val="0"/>
          <w:numId w:val="4"/>
        </w:numPr>
        <w:ind w:left="357" w:right="0" w:hanging="357"/>
        <w:rPr>
          <w:rFonts w:ascii="Liberation Serif" w:hAnsi="Liberation Serif"/>
        </w:rPr>
      </w:pPr>
      <w:bookmarkStart w:id="7" w:name="_Toc51339693"/>
      <w:bookmarkStart w:id="8" w:name="_Toc75446573"/>
      <w:bookmarkStart w:id="9" w:name="_Toc50125126"/>
      <w:bookmarkStart w:id="10" w:name="_Toc46743510"/>
      <w:bookmarkEnd w:id="9"/>
      <w:bookmarkEnd w:id="10"/>
      <w:r>
        <w:rPr>
          <w:rFonts w:ascii="Liberation Serif" w:hAnsi="Liberation Serif"/>
          <w:iCs/>
          <w:sz w:val="24"/>
          <w:szCs w:val="24"/>
        </w:rPr>
        <w:t>Требования к продукции</w:t>
      </w:r>
      <w:bookmarkEnd w:id="7"/>
      <w:bookmarkEnd w:id="8"/>
    </w:p>
    <w:p>
      <w:pPr>
        <w:pStyle w:val="Normal"/>
        <w:ind w:left="357" w:right="0" w:hanging="357"/>
        <w:jc w:val="center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p>
      <w:pPr>
        <w:pStyle w:val="Heading4"/>
        <w:keepNext w:val="true"/>
        <w:widowControl/>
        <w:numPr>
          <w:ilvl w:val="1"/>
          <w:numId w:val="4"/>
        </w:numPr>
        <w:suppressAutoHyphens w:val="true"/>
        <w:bidi w:val="0"/>
        <w:spacing w:before="0" w:after="0"/>
        <w:ind w:left="454" w:right="0" w:hanging="454"/>
        <w:jc w:val="left"/>
        <w:rPr>
          <w:rFonts w:ascii="Liberation Serif" w:hAnsi="Liberation Serif"/>
        </w:rPr>
      </w:pPr>
      <w:bookmarkStart w:id="11" w:name="_Toc75446574"/>
      <w:r>
        <w:rPr>
          <w:rFonts w:ascii="Liberation Serif" w:hAnsi="Liberation Serif"/>
        </w:rPr>
        <w:t xml:space="preserve">Требования к объемам и срокам </w:t>
      </w:r>
      <w:r>
        <w:rPr>
          <w:rFonts w:ascii="Liberation Serif" w:hAnsi="Liberation Serif"/>
          <w:lang w:val="ru-RU"/>
        </w:rPr>
        <w:t>поставки</w:t>
      </w:r>
      <w:bookmarkEnd w:id="11"/>
    </w:p>
    <w:p>
      <w:pPr>
        <w:pStyle w:val="Heading3"/>
        <w:ind w:left="1134" w:right="0" w:hanging="0"/>
        <w:rPr>
          <w:rFonts w:ascii="Liberation Serif" w:hAnsi="Liberation Serif"/>
          <w:lang w:val="ru-RU"/>
        </w:rPr>
      </w:pPr>
      <w:r>
        <w:rPr>
          <w:rFonts w:ascii="Liberation Serif" w:hAnsi="Liberation Serif"/>
          <w:lang w:val="ru-RU"/>
        </w:rPr>
      </w:r>
    </w:p>
    <w:p>
      <w:pPr>
        <w:pStyle w:val="Heading3"/>
        <w:ind w:left="0" w:right="0" w:hanging="0"/>
        <w:rPr/>
      </w:pPr>
      <w:r>
        <w:rPr>
          <w:rFonts w:ascii="Liberation Serif" w:hAnsi="Liberation Serif"/>
          <w:lang w:val="ru-RU"/>
        </w:rPr>
        <w:t xml:space="preserve">2.1.1. </w:t>
      </w:r>
      <w:bookmarkStart w:id="12" w:name="_Toc75446575"/>
      <w:r>
        <w:rPr>
          <w:rFonts w:ascii="Liberation Serif" w:hAnsi="Liberation Serif"/>
          <w:lang w:val="ru-RU"/>
        </w:rPr>
        <w:t>Перечень и объем закупаемой продукции</w:t>
      </w:r>
      <w:bookmarkEnd w:id="12"/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Heading4"/>
        <w:keepLines/>
        <w:tabs>
          <w:tab w:val="clear" w:pos="0"/>
          <w:tab w:val="left" w:pos="849" w:leader="none"/>
          <w:tab w:val="left" w:pos="1300" w:leader="none"/>
        </w:tabs>
        <w:ind w:left="0" w:right="0" w:hanging="0"/>
        <w:rPr>
          <w:rFonts w:ascii="Liberation Serif" w:hAnsi="Liberation Serif"/>
        </w:rPr>
      </w:pPr>
      <w:bookmarkStart w:id="13" w:name="_Toc75446576"/>
      <w:bookmarkStart w:id="14" w:name="_Toc51339695"/>
      <w:r>
        <w:rPr>
          <w:rFonts w:ascii="Liberation Serif" w:hAnsi="Liberation Serif"/>
        </w:rPr>
        <w:t xml:space="preserve">Таблица </w:t>
      </w:r>
      <w:r>
        <w:rPr>
          <w:rFonts w:ascii="Liberation Serif" w:hAnsi="Liberation Serif"/>
          <w:lang w:val="ru-RU"/>
        </w:rPr>
        <w:t>1.1.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  <w:lang w:val="ru-RU"/>
        </w:rPr>
        <w:t xml:space="preserve">Перечень </w:t>
      </w:r>
      <w:bookmarkEnd w:id="14"/>
      <w:r>
        <w:rPr>
          <w:rFonts w:ascii="Liberation Serif" w:hAnsi="Liberation Serif"/>
          <w:lang w:val="ru-RU"/>
        </w:rPr>
        <w:t>и объем закупаемой продукции</w:t>
      </w:r>
      <w:bookmarkEnd w:id="13"/>
    </w:p>
    <w:tbl>
      <w:tblPr>
        <w:tblW w:w="14737" w:type="dxa"/>
        <w:jc w:val="left"/>
        <w:tblInd w:w="-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1969"/>
        <w:gridCol w:w="954"/>
        <w:gridCol w:w="1250"/>
      </w:tblGrid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1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Ед. измер.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Кол-во</w:t>
            </w:r>
          </w:p>
        </w:tc>
      </w:tr>
      <w:tr>
        <w:trPr/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473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right="0" w:hanging="0"/>
              <w:contextualSpacing w:val="false"/>
              <w:jc w:val="center"/>
              <w:rPr>
                <w:rFonts w:ascii="Liberation Serif" w:hAnsi="Liberation Serif" w:cs="Liberation Serif"/>
                <w:b/>
                <w:b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sz w:val="24"/>
                <w:szCs w:val="24"/>
              </w:rPr>
              <w:t>Филиал «Южно-Якутские Электрические Сети»</w:t>
            </w:r>
          </w:p>
        </w:tc>
      </w:tr>
      <w:tr>
        <w:trPr>
          <w:trHeight w:val="119" w:hRule="atLeast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right="0" w:hanging="0"/>
              <w:contextualSpacing w:val="false"/>
              <w:jc w:val="center"/>
              <w:rPr>
                <w:rFonts w:ascii="Liberation Serif" w:hAnsi="Liberation Serif" w:cs="Liberation Serif"/>
                <w:b w:val="false"/>
                <w:bCs w:val="false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sz w:val="24"/>
                <w:szCs w:val="24"/>
              </w:rPr>
              <w:t>1.</w:t>
            </w:r>
          </w:p>
        </w:tc>
        <w:tc>
          <w:tcPr>
            <w:tcW w:w="1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tabs>
                <w:tab w:val="clear" w:pos="708"/>
              </w:tabs>
              <w:suppressAutoHyphens w:val="true"/>
              <w:spacing w:lineRule="auto" w:line="240" w:before="0" w:after="0"/>
              <w:ind w:left="0" w:right="0" w:hanging="0"/>
              <w:jc w:val="both"/>
              <w:rPr/>
            </w:pPr>
            <w:r>
              <w:rPr>
                <w:rStyle w:val="Style19"/>
                <w:rFonts w:eastAsia="Times New Roman" w:cs="Liberation Serif" w:ascii="Liberation Serif" w:hAnsi="Liberation Serif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-7"/>
                <w:kern w:val="2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М</w:t>
            </w:r>
            <w:r>
              <w:rPr>
                <w:rStyle w:val="Style19"/>
                <w:rFonts w:eastAsia="Times New Roman" w:cs="Liberation Serif" w:ascii="Liberation Serif" w:hAnsi="Liberation Serif"/>
                <w:b/>
                <w:bCs/>
                <w:i/>
                <w:iCs/>
                <w:caps w:val="false"/>
                <w:smallCaps w:val="false"/>
                <w:strike w:val="false"/>
                <w:dstrike w:val="false"/>
                <w:outline w:val="false"/>
                <w:shadow w:val="false"/>
                <w:color w:val="000000"/>
                <w:spacing w:val="-7"/>
                <w:kern w:val="2"/>
                <w:sz w:val="24"/>
                <w:szCs w:val="24"/>
                <w:u w:val="none"/>
                <w:shd w:fill="auto" w:val="clear"/>
                <w:em w:val="none"/>
                <w:lang w:val="ru-RU" w:eastAsia="en-US" w:bidi="ar-SA"/>
              </w:rPr>
              <w:t>еталлопрокат для реконструкции ограждения территории РПБ-1</w:t>
            </w:r>
          </w:p>
        </w:tc>
        <w:tc>
          <w:tcPr>
            <w:tcW w:w="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</w:r>
          </w:p>
        </w:tc>
      </w:tr>
      <w:tr>
        <w:trPr>
          <w:trHeight w:val="119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right="0" w:hanging="0"/>
              <w:contextualSpacing w:val="false"/>
              <w:jc w:val="center"/>
              <w:rPr>
                <w:rFonts w:ascii="Liberation Serif" w:hAnsi="Liberation Serif" w:cs="Liberation Serif"/>
                <w:b w:val="false"/>
                <w:bCs w:val="false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sz w:val="24"/>
                <w:szCs w:val="24"/>
              </w:rPr>
              <w:t>1.</w:t>
            </w:r>
            <w:r>
              <w:rPr>
                <w:rFonts w:cs="Liberation Serif" w:ascii="Liberation Serif" w:hAnsi="Liberation Serif"/>
                <w:b w:val="false"/>
                <w:bCs w:val="false"/>
                <w:sz w:val="24"/>
                <w:szCs w:val="24"/>
              </w:rPr>
              <w:t>1</w:t>
            </w:r>
          </w:p>
        </w:tc>
        <w:tc>
          <w:tcPr>
            <w:tcW w:w="119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40"/>
              <w:widowControl w:val="false"/>
              <w:jc w:val="left"/>
              <w:rPr>
                <w:rFonts w:ascii="Liberation Serif" w:hAnsi="Liberation Serif" w:cs="Liberation Serif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i/>
                <w:iCs/>
                <w:sz w:val="24"/>
                <w:szCs w:val="24"/>
              </w:rPr>
              <w:t>Профлист Н60 0,8х845 мм оцинкованный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м</w:t>
            </w:r>
            <w:r>
              <w:rPr>
                <w:vertAlign w:val="superscript"/>
              </w:rPr>
              <w:t>2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2</w:t>
            </w:r>
            <w:r>
              <w:rPr>
                <w:rFonts w:cs="Liberation Serif" w:ascii="Liberation Serif" w:hAnsi="Liberation Serif"/>
                <w:sz w:val="24"/>
                <w:szCs w:val="24"/>
              </w:rPr>
              <w:t>657</w:t>
            </w:r>
          </w:p>
        </w:tc>
      </w:tr>
      <w:tr>
        <w:trPr>
          <w:trHeight w:val="119" w:hRule="atLeast"/>
        </w:trPr>
        <w:tc>
          <w:tcPr>
            <w:tcW w:w="56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ListParagraph"/>
              <w:widowControl w:val="false"/>
              <w:spacing w:lineRule="auto" w:line="240" w:before="0" w:after="0"/>
              <w:ind w:left="0" w:right="0" w:hanging="0"/>
              <w:contextualSpacing w:val="false"/>
              <w:jc w:val="center"/>
              <w:rPr>
                <w:rFonts w:ascii="Liberation Serif" w:hAnsi="Liberation Serif" w:cs="Liberation Serif"/>
                <w:b w:val="false"/>
                <w:bCs w:val="false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sz w:val="24"/>
                <w:szCs w:val="24"/>
              </w:rPr>
              <w:t>1.</w:t>
            </w:r>
            <w:r>
              <w:rPr>
                <w:rFonts w:cs="Liberation Serif" w:ascii="Liberation Serif" w:hAnsi="Liberation Serif"/>
                <w:b w:val="false"/>
                <w:bCs w:val="false"/>
                <w:sz w:val="24"/>
                <w:szCs w:val="24"/>
              </w:rPr>
              <w:t>2</w:t>
            </w:r>
          </w:p>
        </w:tc>
        <w:tc>
          <w:tcPr>
            <w:tcW w:w="11969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40"/>
              <w:widowControl w:val="false"/>
              <w:jc w:val="left"/>
              <w:rPr>
                <w:rFonts w:ascii="Liberation Serif" w:hAnsi="Liberation Serif" w:cs="Liberation Serif"/>
                <w:b w:val="false"/>
                <w:bCs w:val="false"/>
                <w:i/>
                <w:i/>
                <w:iCs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 w:val="false"/>
                <w:bCs w:val="false"/>
                <w:i/>
                <w:iCs/>
                <w:sz w:val="24"/>
                <w:szCs w:val="24"/>
              </w:rPr>
              <w:t>Арматура А1 6 мм L=6000 мм</w:t>
            </w:r>
          </w:p>
        </w:tc>
        <w:tc>
          <w:tcPr>
            <w:tcW w:w="954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/>
              <w:t>тн</w:t>
            </w:r>
          </w:p>
        </w:tc>
        <w:tc>
          <w:tcPr>
            <w:tcW w:w="12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00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sz w:val="24"/>
                <w:szCs w:val="24"/>
              </w:rPr>
              <w:t>16,0</w:t>
            </w:r>
          </w:p>
        </w:tc>
      </w:tr>
    </w:tbl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left"/>
        <w:rPr>
          <w:rFonts w:ascii="Liberation Serif" w:hAnsi="Liberation Serif"/>
        </w:rPr>
      </w:pPr>
      <w:r>
        <w:rPr>
          <w:rFonts w:ascii="Liberation Serif" w:hAnsi="Liberation Serif"/>
          <w:i/>
          <w:iCs/>
          <w:color w:val="000000"/>
        </w:rPr>
        <w:tab/>
      </w:r>
    </w:p>
    <w:p>
      <w:pPr>
        <w:pStyle w:val="Normal"/>
        <w:widowControl/>
        <w:suppressAutoHyphens w:val="true"/>
        <w:bidi w:val="0"/>
        <w:spacing w:before="0" w:after="0"/>
        <w:ind w:left="0" w:right="0" w:hanging="0"/>
        <w:jc w:val="left"/>
        <w:rPr>
          <w:rFonts w:ascii="Liberation Serif" w:hAnsi="Liberation Serif"/>
        </w:rPr>
      </w:pPr>
      <w:r>
        <w:rPr>
          <w:rFonts w:ascii="Liberation Serif" w:hAnsi="Liberation Serif"/>
          <w:i/>
          <w:iCs/>
          <w:color w:val="000000"/>
        </w:rPr>
        <w:t xml:space="preserve">Указанные в настоящем ТТ и приложениях ссылки на ТУ, марку (тип) продукции носят описательный, а не обязательный характер. </w:t>
      </w:r>
      <w:r>
        <w:rPr>
          <w:rFonts w:ascii="Liberation Serif" w:hAnsi="Liberation Serif"/>
          <w:b/>
          <w:bCs/>
          <w:i/>
          <w:iCs/>
          <w:color w:val="000000"/>
        </w:rPr>
        <w:t>В случае, если Участником предлагается эквивалентная продукция</w:t>
      </w:r>
      <w:r>
        <w:rPr>
          <w:rFonts w:ascii="Liberation Serif" w:hAnsi="Liberation Serif"/>
          <w:i/>
          <w:iCs/>
          <w:color w:val="000000"/>
        </w:rPr>
        <w:t xml:space="preserve">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требований. 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эксплуатации.»</w:t>
      </w:r>
    </w:p>
    <w:p>
      <w:pPr>
        <w:pStyle w:val="Normal"/>
        <w:ind w:left="426" w:right="0" w:hanging="0"/>
        <w:rPr>
          <w:rFonts w:ascii="Liberation Serif" w:hAnsi="Liberation Serif"/>
          <w:iCs/>
          <w:color w:val="767171"/>
        </w:rPr>
      </w:pPr>
      <w:r>
        <w:rPr>
          <w:rFonts w:ascii="Liberation Serif" w:hAnsi="Liberation Serif"/>
          <w:iCs/>
          <w:color w:val="767171"/>
        </w:rPr>
      </w:r>
    </w:p>
    <w:p>
      <w:pPr>
        <w:pStyle w:val="Heading3"/>
        <w:tabs>
          <w:tab w:val="clear" w:pos="0"/>
          <w:tab w:val="left" w:pos="849" w:leader="none"/>
          <w:tab w:val="left" w:pos="1300" w:leader="none"/>
        </w:tabs>
        <w:ind w:left="0" w:right="0" w:hanging="0"/>
        <w:rPr>
          <w:rFonts w:ascii="Liberation Serif" w:hAnsi="Liberation Serif"/>
        </w:rPr>
      </w:pPr>
      <w:r>
        <w:rPr>
          <w:rFonts w:ascii="Liberation Serif" w:hAnsi="Liberation Serif"/>
          <w:lang w:val="ru-RU"/>
        </w:rPr>
        <w:t xml:space="preserve">2.1.2. </w:t>
      </w:r>
      <w:bookmarkStart w:id="15" w:name="_Toc75446578"/>
      <w:bookmarkStart w:id="16" w:name="_Toc51339696"/>
      <w:r>
        <w:rPr>
          <w:rFonts w:ascii="Liberation Serif" w:hAnsi="Liberation Serif"/>
          <w:lang w:val="ru-RU"/>
        </w:rPr>
        <w:t xml:space="preserve">Требования </w:t>
      </w:r>
      <w:bookmarkEnd w:id="16"/>
      <w:r>
        <w:rPr>
          <w:rFonts w:ascii="Liberation Serif" w:hAnsi="Liberation Serif"/>
          <w:lang w:val="ru-RU"/>
        </w:rPr>
        <w:t xml:space="preserve">к срокам поставки продукции </w:t>
      </w:r>
      <w:bookmarkEnd w:id="15"/>
    </w:p>
    <w:p>
      <w:pPr>
        <w:pStyle w:val="Heading1"/>
        <w:keepLines/>
        <w:tabs>
          <w:tab w:val="clear" w:pos="0"/>
          <w:tab w:val="left" w:pos="849" w:leader="none"/>
          <w:tab w:val="left" w:pos="1300" w:leader="none"/>
        </w:tabs>
        <w:ind w:left="0" w:right="0" w:hanging="0"/>
        <w:rPr>
          <w:rFonts w:ascii="Liberation Serif" w:hAnsi="Liberation Serif"/>
        </w:rPr>
      </w:pPr>
      <w:bookmarkStart w:id="17" w:name="_Toc75446579"/>
      <w:bookmarkStart w:id="18" w:name="_Toc51339697"/>
      <w:bookmarkStart w:id="19" w:name="_Toc50125127"/>
      <w:bookmarkStart w:id="20" w:name="_Toc50125126_Копия_1"/>
      <w:bookmarkEnd w:id="20"/>
      <w:r>
        <w:rPr>
          <w:rFonts w:ascii="Liberation Serif" w:hAnsi="Liberation Serif"/>
          <w:sz w:val="24"/>
          <w:szCs w:val="24"/>
        </w:rPr>
        <w:t xml:space="preserve">Таблица </w:t>
      </w:r>
      <w:r>
        <w:rPr>
          <w:rFonts w:ascii="Liberation Serif" w:hAnsi="Liberation Serif"/>
          <w:sz w:val="24"/>
          <w:szCs w:val="24"/>
          <w:lang w:val="ru-RU"/>
        </w:rPr>
        <w:t>2</w:t>
      </w:r>
      <w:r>
        <w:rPr>
          <w:rFonts w:ascii="Liberation Serif" w:hAnsi="Liberation Serif"/>
          <w:sz w:val="24"/>
          <w:szCs w:val="24"/>
        </w:rPr>
        <w:t>.</w:t>
      </w:r>
      <w:r>
        <w:rPr>
          <w:rFonts w:ascii="Liberation Serif" w:hAnsi="Liberation Serif"/>
          <w:sz w:val="24"/>
          <w:szCs w:val="24"/>
          <w:lang w:val="ru-RU"/>
        </w:rPr>
        <w:t>1</w:t>
      </w:r>
      <w:r>
        <w:rPr>
          <w:rFonts w:ascii="Liberation Serif" w:hAnsi="Liberation Serif"/>
          <w:sz w:val="24"/>
          <w:szCs w:val="24"/>
        </w:rPr>
        <w:t xml:space="preserve"> </w:t>
      </w:r>
      <w:bookmarkStart w:id="21" w:name="_Hlk50465284"/>
      <w:r>
        <w:rPr>
          <w:rFonts w:ascii="Liberation Serif" w:hAnsi="Liberation Serif"/>
          <w:sz w:val="24"/>
          <w:szCs w:val="24"/>
        </w:rPr>
        <w:t xml:space="preserve">Требования по срокам </w:t>
      </w:r>
      <w:bookmarkEnd w:id="18"/>
      <w:bookmarkEnd w:id="19"/>
      <w:bookmarkEnd w:id="21"/>
      <w:r>
        <w:rPr>
          <w:rFonts w:ascii="Liberation Serif" w:hAnsi="Liberation Serif"/>
          <w:sz w:val="24"/>
          <w:szCs w:val="24"/>
          <w:lang w:val="ru-RU"/>
        </w:rPr>
        <w:t>поставки продукции</w:t>
      </w:r>
      <w:bookmarkEnd w:id="17"/>
      <w:r>
        <w:rPr>
          <w:rFonts w:ascii="Liberation Serif" w:hAnsi="Liberation Serif"/>
          <w:sz w:val="24"/>
          <w:szCs w:val="24"/>
          <w:lang w:val="ru-RU"/>
        </w:rPr>
        <w:t xml:space="preserve"> 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tbl>
      <w:tblPr>
        <w:tblW w:w="14905" w:type="dxa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847"/>
        <w:gridCol w:w="8272"/>
        <w:gridCol w:w="2845"/>
        <w:gridCol w:w="2941"/>
      </w:tblGrid>
      <w:tr>
        <w:trPr>
          <w:trHeight w:val="565" w:hRule="atLeast"/>
        </w:trPr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8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565" w:hRule="atLeast"/>
        </w:trPr>
        <w:tc>
          <w:tcPr>
            <w:tcW w:w="84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ind w:left="0" w:right="-142" w:hanging="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827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0"/>
              <w:widowControl w:val="false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color w:val="000000"/>
                <w:sz w:val="24"/>
                <w:szCs w:val="24"/>
              </w:rPr>
              <w:t xml:space="preserve">Поставка металлопроката для реконструкции ограждения территории РПБ-1 </w:t>
            </w:r>
          </w:p>
        </w:tc>
        <w:tc>
          <w:tcPr>
            <w:tcW w:w="284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С даты заключения договора.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  <w:iCs/>
                <w:sz w:val="24"/>
                <w:szCs w:val="24"/>
              </w:rPr>
              <w:t>В течение 30 календарных дней</w:t>
            </w:r>
          </w:p>
        </w:tc>
      </w:tr>
    </w:tbl>
    <w:p>
      <w:pPr>
        <w:pStyle w:val="Heading4"/>
        <w:ind w:left="432" w:right="0" w:hanging="0"/>
        <w:rPr/>
      </w:pPr>
      <w:r>
        <w:rPr/>
      </w:r>
    </w:p>
    <w:p>
      <w:pPr>
        <w:pStyle w:val="Heading4"/>
        <w:ind w:left="432" w:right="0" w:hanging="0"/>
        <w:rPr/>
      </w:pPr>
      <w:r>
        <w:rPr/>
      </w:r>
    </w:p>
    <w:p>
      <w:pPr>
        <w:pStyle w:val="Heading4"/>
        <w:numPr>
          <w:ilvl w:val="1"/>
          <w:numId w:val="4"/>
        </w:numPr>
        <w:ind w:left="432" w:right="0" w:hanging="432"/>
        <w:rPr>
          <w:rFonts w:ascii="Liberation Serif" w:hAnsi="Liberation Serif"/>
        </w:rPr>
      </w:pPr>
      <w:bookmarkStart w:id="22" w:name="_Toc75446581"/>
      <w:bookmarkStart w:id="23" w:name="_Toc46743511"/>
      <w:bookmarkStart w:id="24" w:name="_Toc46743510_Копия_1"/>
      <w:bookmarkEnd w:id="24"/>
      <w:r>
        <w:rPr>
          <w:rFonts w:ascii="Liberation Serif" w:hAnsi="Liberation Serif"/>
        </w:rPr>
        <w:t xml:space="preserve">Требования к </w:t>
      </w:r>
      <w:bookmarkEnd w:id="23"/>
      <w:r>
        <w:rPr>
          <w:rFonts w:ascii="Liberation Serif" w:hAnsi="Liberation Serif"/>
          <w:lang w:val="ru-RU"/>
        </w:rPr>
        <w:t>качеству продукции</w:t>
      </w:r>
      <w:bookmarkEnd w:id="22"/>
    </w:p>
    <w:p>
      <w:pPr>
        <w:pStyle w:val="Heading1"/>
        <w:keepLines/>
        <w:tabs>
          <w:tab w:val="clear" w:pos="0"/>
          <w:tab w:val="left" w:pos="849" w:leader="none"/>
          <w:tab w:val="left" w:pos="1300" w:leader="none"/>
        </w:tabs>
        <w:ind w:left="0" w:right="0" w:hanging="0"/>
        <w:rPr>
          <w:rFonts w:ascii="Liberation Serif" w:hAnsi="Liberation Serif"/>
        </w:rPr>
      </w:pPr>
      <w:bookmarkStart w:id="25" w:name="_Toc75446582"/>
      <w:r>
        <w:rPr>
          <w:rFonts w:ascii="Liberation Serif" w:hAnsi="Liberation Serif"/>
          <w:sz w:val="24"/>
          <w:szCs w:val="24"/>
        </w:rPr>
        <w:t>Таблица </w:t>
      </w:r>
      <w:r>
        <w:rPr>
          <w:rFonts w:ascii="Liberation Serif" w:hAnsi="Liberation Serif"/>
          <w:sz w:val="24"/>
          <w:szCs w:val="24"/>
          <w:lang w:val="ru-RU"/>
        </w:rPr>
        <w:t>3</w:t>
      </w:r>
      <w:r>
        <w:rPr>
          <w:rFonts w:ascii="Liberation Serif" w:hAnsi="Liberation Serif"/>
          <w:sz w:val="24"/>
          <w:szCs w:val="24"/>
        </w:rPr>
        <w:t xml:space="preserve">. Требования к </w:t>
      </w:r>
      <w:r>
        <w:rPr>
          <w:rFonts w:ascii="Liberation Serif" w:hAnsi="Liberation Serif"/>
          <w:sz w:val="24"/>
          <w:szCs w:val="24"/>
          <w:lang w:val="ru-RU"/>
        </w:rPr>
        <w:t>продукции</w:t>
      </w:r>
      <w:bookmarkEnd w:id="25"/>
    </w:p>
    <w:p>
      <w:pPr>
        <w:pStyle w:val="Normal"/>
        <w:tabs>
          <w:tab w:val="clear" w:pos="708"/>
          <w:tab w:val="left" w:pos="849" w:leader="none"/>
          <w:tab w:val="left" w:pos="1300" w:leader="none"/>
        </w:tabs>
        <w:ind w:left="0" w:right="0" w:hanging="0"/>
        <w:rPr/>
      </w:pPr>
      <w:r>
        <w:rPr/>
      </w:r>
    </w:p>
    <w:p>
      <w:pPr>
        <w:pStyle w:val="Normal"/>
        <w:tabs>
          <w:tab w:val="clear" w:pos="708"/>
          <w:tab w:val="left" w:pos="849" w:leader="none"/>
          <w:tab w:val="left" w:pos="1300" w:leader="none"/>
        </w:tabs>
        <w:ind w:left="0" w:right="0" w:hanging="0"/>
        <w:rPr/>
      </w:pPr>
      <w:r>
        <w:rPr/>
      </w:r>
    </w:p>
    <w:tbl>
      <w:tblPr>
        <w:tblW w:w="15245" w:type="dxa"/>
        <w:jc w:val="left"/>
        <w:tblInd w:w="-5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</w:tblPr>
      <w:tblGrid>
        <w:gridCol w:w="788"/>
        <w:gridCol w:w="3343"/>
        <w:gridCol w:w="4658"/>
        <w:gridCol w:w="2492"/>
        <w:gridCol w:w="2096"/>
        <w:gridCol w:w="1868"/>
      </w:tblGrid>
      <w:tr>
        <w:trPr>
          <w:cantSplit w:val="true"/>
        </w:trPr>
        <w:tc>
          <w:tcPr>
            <w:tcW w:w="7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 xml:space="preserve">№ </w:t>
            </w: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3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Требование заказчика</w:t>
            </w: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*</w:t>
            </w:r>
          </w:p>
        </w:tc>
        <w:tc>
          <w:tcPr>
            <w:tcW w:w="4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>
        <w:trPr>
          <w:cantSplit w:val="true"/>
        </w:trPr>
        <w:tc>
          <w:tcPr>
            <w:tcW w:w="78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334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658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Предоставление подтверждающего документа на этапе закупки</w:t>
            </w:r>
          </w:p>
        </w:tc>
        <w:tc>
          <w:tcPr>
            <w:tcW w:w="18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5</w:t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6</w:t>
            </w:r>
          </w:p>
        </w:tc>
      </w:tr>
      <w:tr>
        <w:trPr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1445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Требования к техническим и функциональным характеристикам защитного ограждения (включая гарантируемые показатели)</w:t>
            </w:r>
          </w:p>
        </w:tc>
      </w:tr>
      <w:tr>
        <w:trPr>
          <w:trHeight w:val="190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  <w:t>1.</w:t>
            </w:r>
            <w:r>
              <w:rPr>
                <w:rFonts w:eastAsia="Calibri" w:ascii="Liberation Serif" w:hAnsi="Liberation Serif"/>
                <w:b/>
                <w:sz w:val="24"/>
                <w:szCs w:val="24"/>
              </w:rPr>
              <w:t>1</w:t>
            </w:r>
          </w:p>
        </w:tc>
        <w:tc>
          <w:tcPr>
            <w:tcW w:w="1445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40"/>
              <w:widowControl w:val="false"/>
              <w:jc w:val="left"/>
              <w:rPr>
                <w:rFonts w:ascii="Liberation Serif" w:hAnsi="Liberation Serif" w:cs="Liberation Serif"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i w:val="false"/>
                <w:iCs w:val="false"/>
                <w:sz w:val="24"/>
                <w:szCs w:val="24"/>
              </w:rPr>
              <w:t>Профлист Н60 0,8х845 мм оцинкованный</w:t>
            </w:r>
          </w:p>
        </w:tc>
      </w:tr>
      <w:tr>
        <w:trPr>
          <w:trHeight w:val="224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/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1.</w:t>
            </w:r>
            <w:r>
              <w:rPr>
                <w:rFonts w:eastAsia="Calibri" w:ascii="Liberation Serif" w:hAnsi="Liberation Serif"/>
                <w:sz w:val="24"/>
                <w:szCs w:val="24"/>
              </w:rPr>
              <w:t>1</w:t>
            </w:r>
            <w:r>
              <w:rPr>
                <w:rFonts w:eastAsia="Calibri" w:ascii="Liberation Serif" w:hAnsi="Liberation Serif"/>
                <w:sz w:val="24"/>
                <w:szCs w:val="24"/>
              </w:rPr>
              <w:t>.1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Профиль:</w:t>
            </w:r>
            <w:r>
              <w:rPr>
                <w:rStyle w:val="Strong"/>
                <w:rFonts w:ascii="Liberation Serif" w:hAnsi="Liberation Serif"/>
                <w:b w:val="false"/>
                <w:bCs w:val="false"/>
                <w:sz w:val="24"/>
                <w:szCs w:val="24"/>
              </w:rPr>
              <w:t> 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Н60 — несущий, с высотой трапеции (волны) 60 мм.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72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/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1.</w:t>
            </w:r>
            <w:r>
              <w:rPr>
                <w:rFonts w:eastAsia="Calibri" w:ascii="Liberation Serif" w:hAnsi="Liberation Serif"/>
                <w:sz w:val="24"/>
                <w:szCs w:val="24"/>
              </w:rPr>
              <w:t>1</w:t>
            </w:r>
            <w:r>
              <w:rPr>
                <w:rFonts w:eastAsia="Calibri" w:ascii="Liberation Serif" w:hAnsi="Liberation Serif"/>
                <w:sz w:val="24"/>
                <w:szCs w:val="24"/>
              </w:rPr>
              <w:t>.2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Толщина стальной основы:</w:t>
            </w:r>
            <w:r>
              <w:rPr>
                <w:rStyle w:val="Strong"/>
                <w:rFonts w:ascii="Liberation Serif" w:hAnsi="Liberation Serif"/>
                <w:b w:val="false"/>
                <w:bCs w:val="false"/>
                <w:sz w:val="24"/>
                <w:szCs w:val="24"/>
              </w:rPr>
              <w:t> 0,8 мм.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 xml:space="preserve"> ≥ 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>0,8 мм.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34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/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1.</w:t>
            </w:r>
            <w:r>
              <w:rPr>
                <w:rFonts w:eastAsia="Calibri" w:ascii="Liberation Serif" w:hAnsi="Liberation Serif"/>
                <w:sz w:val="24"/>
                <w:szCs w:val="24"/>
              </w:rPr>
              <w:t>1</w:t>
            </w:r>
            <w:r>
              <w:rPr>
                <w:rFonts w:eastAsia="Calibri" w:ascii="Liberation Serif" w:hAnsi="Liberation Serif"/>
                <w:sz w:val="24"/>
                <w:szCs w:val="24"/>
              </w:rPr>
              <w:t>.3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Ширина: Общая (габаритная)/</w:t>
            </w:r>
            <w:r>
              <w:rPr>
                <w:rStyle w:val="Strong"/>
                <w:rFonts w:ascii="Liberation Serif" w:hAnsi="Liberation Serif"/>
                <w:b w:val="false"/>
                <w:bCs w:val="false"/>
                <w:sz w:val="24"/>
                <w:szCs w:val="24"/>
              </w:rPr>
              <w:t> </w:t>
            </w: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Рабочая (полезная)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bCs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> </w:t>
            </w:r>
            <w:r>
              <w:rPr>
                <w:rFonts w:ascii="Liberation Serif" w:hAnsi="Liberation Serif"/>
                <w:bCs/>
                <w:sz w:val="24"/>
                <w:szCs w:val="24"/>
              </w:rPr>
              <w:t>902 мм/ 845 мм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/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1.</w:t>
            </w:r>
            <w:r>
              <w:rPr>
                <w:rFonts w:eastAsia="Calibri" w:ascii="Liberation Serif" w:hAnsi="Liberation Serif"/>
                <w:sz w:val="24"/>
                <w:szCs w:val="24"/>
              </w:rPr>
              <w:t>1</w:t>
            </w:r>
            <w:r>
              <w:rPr>
                <w:rFonts w:eastAsia="Calibri" w:ascii="Liberation Serif" w:hAnsi="Liberation Serif"/>
                <w:sz w:val="24"/>
                <w:szCs w:val="24"/>
              </w:rPr>
              <w:t>.4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Покрытие:</w:t>
            </w:r>
            <w:r>
              <w:rPr>
                <w:rStyle w:val="Strong"/>
                <w:rFonts w:ascii="Liberation Serif" w:hAnsi="Liberation Serif"/>
                <w:b w:val="false"/>
                <w:bCs w:val="false"/>
                <w:sz w:val="24"/>
                <w:szCs w:val="24"/>
              </w:rPr>
              <w:t xml:space="preserve">  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Цинковое (Zn). Стандартная плотность цинкового слоя — 140–275 г/м². Такое покрытие обеспечивает хорошую защиту от коррозии. 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  <w:r>
              <w:rPr>
                <w:rFonts w:ascii="Liberation Serif" w:hAnsi="Liberation Serif"/>
                <w:sz w:val="24"/>
                <w:szCs w:val="24"/>
              </w:rPr>
              <w:t>1</w:t>
            </w:r>
            <w:r>
              <w:rPr>
                <w:rFonts w:ascii="Liberation Serif" w:hAnsi="Liberation Serif"/>
                <w:sz w:val="24"/>
                <w:szCs w:val="24"/>
              </w:rPr>
              <w:t>.5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Стандарт: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  </w:t>
            </w:r>
            <w:hyperlink r:id="rId2" w:tgtFrame="_blank">
              <w:r>
                <w:rPr>
                  <w:rStyle w:val="Hyperlink"/>
                  <w:rFonts w:ascii="Liberation Serif" w:hAnsi="Liberation Serif"/>
                  <w:sz w:val="24"/>
                  <w:szCs w:val="24"/>
                </w:rPr>
                <w:br/>
              </w:r>
            </w:hyperlink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 xml:space="preserve">Изготавливается по ГОСТ 24045-2016. 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</w:p>
        </w:tc>
        <w:tc>
          <w:tcPr>
            <w:tcW w:w="1445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Style40"/>
              <w:widowControl w:val="false"/>
              <w:jc w:val="left"/>
              <w:rPr>
                <w:rFonts w:ascii="Liberation Serif" w:hAnsi="Liberation Serif" w:cs="Liberation Serif"/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cs="Liberation Serif" w:ascii="Liberation Serif" w:hAnsi="Liberation Serif"/>
                <w:b/>
                <w:bCs/>
                <w:i w:val="false"/>
                <w:iCs w:val="false"/>
                <w:sz w:val="24"/>
                <w:szCs w:val="24"/>
              </w:rPr>
              <w:t>Арматура А1 6 мм L=6000 мм</w:t>
            </w:r>
          </w:p>
        </w:tc>
      </w:tr>
      <w:tr>
        <w:trPr>
          <w:trHeight w:val="24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</w:rPr>
              <w:t>.1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Класс арматуры:</w:t>
            </w:r>
            <w:r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А1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</w:rPr>
              <w:t>.2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Профиль:</w:t>
            </w:r>
            <w:r>
              <w:rPr>
                <w:rFonts w:ascii="Liberation Serif" w:hAnsi="Liberation Serif"/>
                <w:sz w:val="24"/>
                <w:szCs w:val="24"/>
              </w:rPr>
              <w:t> 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Strong"/>
                <w:rFonts w:ascii="Liberation Serif" w:hAnsi="Liberation Serif"/>
                <w:b w:val="false"/>
                <w:bCs w:val="false"/>
                <w:sz w:val="24"/>
                <w:szCs w:val="24"/>
              </w:rPr>
              <w:t>Г</w:t>
            </w:r>
            <w:r>
              <w:rPr>
                <w:rFonts w:ascii="Liberation Serif" w:hAnsi="Liberation Serif"/>
                <w:b w:val="false"/>
                <w:bCs w:val="false"/>
                <w:sz w:val="24"/>
                <w:szCs w:val="24"/>
              </w:rPr>
              <w:t>ладкий.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</w:rPr>
              <w:t>.3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Материал:</w:t>
            </w:r>
            <w:r>
              <w:rPr>
                <w:rFonts w:ascii="Liberation Serif" w:hAnsi="Liberation Serif"/>
                <w:sz w:val="24"/>
                <w:szCs w:val="24"/>
              </w:rPr>
              <w:t xml:space="preserve">  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С</w:t>
            </w:r>
            <w:r>
              <w:rPr>
                <w:rFonts w:ascii="Liberation Serif" w:hAnsi="Liberation Serif"/>
                <w:sz w:val="24"/>
                <w:szCs w:val="24"/>
              </w:rPr>
              <w:t>таль марок Ст3сп, Ст3пс или Ст3кп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</w:rPr>
              <w:t>.4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Площадь поперечного сечения: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0,283 см².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4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1.</w:t>
            </w:r>
            <w:r>
              <w:rPr>
                <w:rFonts w:ascii="Liberation Serif" w:hAnsi="Liberation Serif"/>
                <w:sz w:val="24"/>
                <w:szCs w:val="24"/>
              </w:rPr>
              <w:t>2</w:t>
            </w:r>
            <w:r>
              <w:rPr>
                <w:rFonts w:ascii="Liberation Serif" w:hAnsi="Liberation Serif"/>
                <w:sz w:val="24"/>
                <w:szCs w:val="24"/>
              </w:rPr>
              <w:t>.5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Style w:val="Strong"/>
                <w:rFonts w:ascii="Liberation Serif" w:hAnsi="Liberation Serif"/>
                <w:sz w:val="24"/>
                <w:szCs w:val="24"/>
              </w:rPr>
              <w:t>Стандарт:</w:t>
            </w:r>
            <w:r>
              <w:rPr>
                <w:rFonts w:ascii="Liberation Serif" w:hAnsi="Liberation Serif"/>
                <w:sz w:val="24"/>
                <w:szCs w:val="24"/>
              </w:rPr>
              <w:t>. </w:t>
            </w:r>
            <w:hyperlink r:id="rId3" w:tgtFrame="_blank">
              <w:r>
                <w:rPr>
                  <w:rStyle w:val="Hyperlink"/>
                  <w:rFonts w:ascii="Liberation Serif" w:hAnsi="Liberation Serif"/>
                  <w:sz w:val="24"/>
                  <w:szCs w:val="24"/>
                </w:rPr>
                <w:br/>
              </w:r>
            </w:hyperlink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Изготавливается по ГОСТ 5781-82. </w:t>
            </w:r>
            <w:hyperlink r:id="rId4" w:tgtFrame="_blank">
              <w:r>
                <w:rPr>
                  <w:rStyle w:val="Hyperlink"/>
                  <w:rFonts w:ascii="Liberation Serif" w:hAnsi="Liberation Serif"/>
                  <w:sz w:val="24"/>
                  <w:szCs w:val="24"/>
                </w:rPr>
                <w:br/>
              </w:r>
            </w:hyperlink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24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  <w:t>2</w:t>
            </w:r>
          </w:p>
        </w:tc>
        <w:tc>
          <w:tcPr>
            <w:tcW w:w="1445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Требования к качеству поставляемой продукции:</w:t>
            </w:r>
          </w:p>
        </w:tc>
      </w:tr>
      <w:tr>
        <w:trPr>
          <w:trHeight w:val="206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2.1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Продукция должна быть новая*, ранее не используемая.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iCs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sz w:val="24"/>
                <w:szCs w:val="24"/>
              </w:rPr>
              <w:t>* - Под новым следует понимать оборудование, которое не было в употреблении, не приходило ремонт, в том числе восстановление, замену составных частей, восстановление потребительских свойств.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b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b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24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2.2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Год выпуска продукции (оборудования)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Cs/>
                <w:sz w:val="24"/>
                <w:szCs w:val="24"/>
              </w:rPr>
              <w:t>Материалы должно быть не ранее 1 квартала 2026 года, серийного выпуска.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iCs/>
                <w:kern w:val="2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iCs/>
                <w:kern w:val="2"/>
                <w:sz w:val="24"/>
                <w:szCs w:val="24"/>
              </w:rPr>
              <w:t>Указание года выпуска продукции (оборудования)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751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  <w:t>3</w:t>
            </w:r>
          </w:p>
        </w:tc>
        <w:tc>
          <w:tcPr>
            <w:tcW w:w="1445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>
          <w:trHeight w:val="30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3.1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Место поставки продукции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bCs/>
                <w:sz w:val="24"/>
                <w:szCs w:val="24"/>
                <w:shd w:fill="auto" w:val="clear"/>
              </w:rPr>
            </w:pPr>
            <w:r>
              <w:rPr>
                <w:rFonts w:ascii="Liberation Serif" w:hAnsi="Liberation Serif"/>
                <w:b/>
                <w:bCs/>
                <w:sz w:val="24"/>
                <w:szCs w:val="24"/>
                <w:shd w:fill="auto" w:val="clear"/>
              </w:rPr>
              <w:t xml:space="preserve">Место поставки : 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  <w:shd w:fill="auto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auto" w:val="clear"/>
              </w:rPr>
              <w:t xml:space="preserve">Филиал АО «Дальневосточная распределительная сетевая компания» «Южно-Якутские электрические сети» 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  <w:shd w:fill="auto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auto" w:val="clear"/>
              </w:rPr>
              <w:t xml:space="preserve">ИНН/КПП 2801108200/140202001, 678900 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  <w:shd w:fill="auto" w:val="clear"/>
              </w:rPr>
            </w:pPr>
            <w:r>
              <w:rPr>
                <w:rFonts w:ascii="Liberation Serif" w:hAnsi="Liberation Serif"/>
                <w:sz w:val="24"/>
                <w:szCs w:val="24"/>
                <w:shd w:fill="auto" w:val="clear"/>
              </w:rPr>
              <w:t>Республика Саха (Якутия), г. Алдан, ул. Тапрабукина, 60 «а»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62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3.2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Способ доставки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Допускается: Доставка ж/д транспортом, автотранспортом.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62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3.3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Style w:val="Strong"/>
                <w:rFonts w:ascii="Liberation Serif" w:hAnsi="Liberation Serif"/>
                <w:b w:val="false"/>
                <w:bCs w:val="false"/>
                <w:sz w:val="24"/>
                <w:szCs w:val="24"/>
              </w:rPr>
              <w:t>Упаковка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0"/>
              </w:rPr>
            </w:pPr>
            <w:r>
              <w:rPr>
                <w:rFonts w:ascii="Liberation Serif" w:hAnsi="Liberation Serif"/>
                <w:sz w:val="24"/>
                <w:szCs w:val="20"/>
              </w:rPr>
              <w:t>Транспортные пакеты, исключающие истирание цинкового покрытия.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62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3.4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</w:rPr>
            </w:pPr>
            <w:r>
              <w:rPr>
                <w:rStyle w:val="Strong"/>
                <w:rFonts w:ascii="Liberation Serif" w:hAnsi="Liberation Serif"/>
                <w:b w:val="false"/>
                <w:bCs w:val="false"/>
                <w:sz w:val="24"/>
                <w:szCs w:val="24"/>
              </w:rPr>
              <w:t>Маркировка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0"/>
              </w:rPr>
            </w:pPr>
            <w:r>
              <w:rPr>
                <w:rFonts w:ascii="Liberation Serif" w:hAnsi="Liberation Serif"/>
                <w:sz w:val="24"/>
                <w:szCs w:val="20"/>
              </w:rPr>
              <w:t>Бирка на каждой единице с номером чертежа и обозначением секции по монтажной схеме.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71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3.5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Транспортная маркировка грузов - по ГОСТ 14192-96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Да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206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3.6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Срок сохраняемости, лет, не менее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5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Указание характеристик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  <w:tr>
        <w:trPr>
          <w:trHeight w:val="15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b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b/>
                <w:sz w:val="24"/>
                <w:szCs w:val="24"/>
              </w:rPr>
              <w:t>4</w:t>
            </w:r>
          </w:p>
        </w:tc>
        <w:tc>
          <w:tcPr>
            <w:tcW w:w="14457" w:type="dxa"/>
            <w:gridSpan w:val="5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sz w:val="24"/>
                <w:szCs w:val="24"/>
              </w:rPr>
              <w:t>Дополнительные требования:</w:t>
            </w:r>
          </w:p>
        </w:tc>
      </w:tr>
      <w:tr>
        <w:trPr>
          <w:trHeight w:val="153" w:hRule="atLeast"/>
          <w:cantSplit w:val="true"/>
        </w:trPr>
        <w:tc>
          <w:tcPr>
            <w:tcW w:w="78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pacing w:before="60" w:after="60"/>
              <w:contextualSpacing/>
              <w:jc w:val="center"/>
              <w:rPr>
                <w:rFonts w:ascii="Liberation Serif" w:hAnsi="Liberation Serif" w:eastAsia="Calibri"/>
                <w:sz w:val="24"/>
                <w:szCs w:val="24"/>
              </w:rPr>
            </w:pPr>
            <w:r>
              <w:rPr>
                <w:rFonts w:eastAsia="Calibri" w:ascii="Liberation Serif" w:hAnsi="Liberation Serif"/>
                <w:sz w:val="24"/>
                <w:szCs w:val="24"/>
              </w:rPr>
              <w:t>4.1</w:t>
            </w:r>
          </w:p>
        </w:tc>
        <w:tc>
          <w:tcPr>
            <w:tcW w:w="3343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Участие представителя завода изготовителя (поставщика) в проверке качества и комплектности поставляемой продукции на складах Заказчика.</w:t>
            </w:r>
          </w:p>
        </w:tc>
        <w:tc>
          <w:tcPr>
            <w:tcW w:w="4658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В случае выявления Заказчиком замечаний к поставленному оборудованию</w:t>
            </w:r>
          </w:p>
        </w:tc>
        <w:tc>
          <w:tcPr>
            <w:tcW w:w="2492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  <w:t>Согласие с требованием</w:t>
            </w:r>
          </w:p>
        </w:tc>
        <w:tc>
          <w:tcPr>
            <w:tcW w:w="2096" w:type="dxa"/>
            <w:tcBorders>
              <w:left w:val="single" w:sz="4" w:space="0" w:color="000000"/>
              <w:bottom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  <w:tc>
          <w:tcPr>
            <w:tcW w:w="18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FFFFFF" w:val="clear"/>
            <w:vAlign w:val="center"/>
          </w:tcPr>
          <w:p>
            <w:pPr>
              <w:pStyle w:val="Normal"/>
              <w:widowControl w:val="false"/>
              <w:snapToGrid w:val="false"/>
              <w:jc w:val="center"/>
              <w:rPr>
                <w:rFonts w:ascii="Liberation Serif" w:hAnsi="Liberation Serif"/>
                <w:i/>
                <w:i/>
                <w:color w:val="A6A6A6"/>
                <w:sz w:val="24"/>
                <w:szCs w:val="24"/>
              </w:rPr>
            </w:pPr>
            <w:r>
              <w:rPr>
                <w:rFonts w:ascii="Liberation Serif" w:hAnsi="Liberation Serif"/>
                <w:i/>
                <w:color w:val="A6A6A6"/>
                <w:sz w:val="24"/>
                <w:szCs w:val="24"/>
              </w:rPr>
            </w:r>
          </w:p>
        </w:tc>
      </w:tr>
    </w:tbl>
    <w:p>
      <w:pPr>
        <w:pStyle w:val="Normal"/>
        <w:spacing w:before="0" w:after="60"/>
        <w:jc w:val="both"/>
        <w:rPr>
          <w:rFonts w:ascii="Liberation Serif" w:hAnsi="Liberation Serif"/>
        </w:rPr>
      </w:pPr>
      <w:r>
        <w:rPr>
          <w:rFonts w:ascii="Liberation Serif" w:hAnsi="Liberation Serif"/>
          <w:i/>
          <w:iCs/>
          <w:sz w:val="24"/>
          <w:szCs w:val="24"/>
        </w:rPr>
        <w:t>Примечание 2: В случае, если какой-либо из указанных в настоящих ТТ ГОСТ или нормативный документ в процессе проведения закупки был отменен в связи с выпуском новой редакции стандарта, то Участнику необходимо применять ГОСТ или нормативный документ, принятый в его развитие.</w:t>
      </w:r>
    </w:p>
    <w:p>
      <w:pPr>
        <w:pStyle w:val="Normal"/>
        <w:ind w:left="0" w:right="0" w:hanging="0"/>
        <w:rPr/>
      </w:pPr>
      <w:r>
        <w:rPr>
          <w:rStyle w:val="Style"/>
          <w:rFonts w:ascii="Liberation Serif" w:hAnsi="Liberation Serif"/>
          <w:i/>
          <w:iCs/>
          <w:color w:val="000000"/>
          <w:sz w:val="24"/>
          <w:szCs w:val="24"/>
        </w:rPr>
        <w:t>*</w:t>
      </w:r>
      <w:r>
        <w:rPr>
          <w:rFonts w:ascii="Liberation Serif" w:hAnsi="Liberation Serif"/>
          <w:i/>
          <w:iCs/>
          <w:color w:val="000000"/>
          <w:sz w:val="24"/>
          <w:szCs w:val="24"/>
        </w:rPr>
        <w:t xml:space="preserve"> Способ подтверждения участником соответствия требованиям указан в таблице в отношении каждой позиции закупаемой продукции.</w:t>
      </w:r>
    </w:p>
    <w:p>
      <w:pPr>
        <w:pStyle w:val="Normal"/>
        <w:spacing w:before="0" w:after="60"/>
        <w:jc w:val="both"/>
        <w:rPr>
          <w:rFonts w:ascii="Liberation Serif" w:hAnsi="Liberation Serif"/>
          <w:i/>
          <w:i/>
          <w:iCs/>
          <w:sz w:val="24"/>
          <w:szCs w:val="24"/>
        </w:rPr>
      </w:pPr>
      <w:r>
        <w:rPr>
          <w:rFonts w:ascii="Liberation Serif" w:hAnsi="Liberation Serif"/>
          <w:i/>
          <w:iCs/>
          <w:sz w:val="24"/>
          <w:szCs w:val="24"/>
        </w:rPr>
      </w:r>
    </w:p>
    <w:p>
      <w:pPr>
        <w:pStyle w:val="Heading1"/>
        <w:tabs>
          <w:tab w:val="clear" w:pos="0"/>
          <w:tab w:val="left" w:pos="61" w:leader="none"/>
          <w:tab w:val="left" w:pos="113" w:leader="none"/>
          <w:tab w:val="left" w:pos="849" w:leader="none"/>
          <w:tab w:val="left" w:pos="1300" w:leader="none"/>
        </w:tabs>
        <w:ind w:left="0" w:right="0" w:hanging="0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  <w:lang w:val="ru-RU"/>
        </w:rPr>
        <w:t>3. В СОСТАВЕ ЗАЯВКИ НЕОБХОДИМО ПРЕДОСТАВИТЬ:</w:t>
      </w:r>
    </w:p>
    <w:p>
      <w:pPr>
        <w:pStyle w:val="Normal"/>
        <w:spacing w:lineRule="auto" w:line="276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Участник в составе своей заявки для подтверждения соответствия заявленных характеристик и конструктива предложенной продукции поставляемой продукции, требованиям настоящих ТТ, предоставляет следующие документы:</w:t>
      </w:r>
    </w:p>
    <w:p>
      <w:pPr>
        <w:pStyle w:val="Normal"/>
        <w:spacing w:lineRule="auto" w:line="276"/>
        <w:jc w:val="both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3.1. Техническое предложение, подготовленное в соответствии с настоящими ТТ по форме, представленной в документации о закупке. При описании продукции Участник обязан подтвердить соответствие поставляемой продукции требованиям в отношении всех показателей, которые установлены в ТТ. При этом должны указываться точные и не допускающие двусмысленного толкования показатели;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</w:rPr>
        <w:t>3.2. Документы и информацию, подтверждающие страну происхождения товара в соответствии с требованиями Постановления Правительства Российской Федерации от 23 декабря 2024 г. N 1875 “О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лиц”.</w:t>
      </w:r>
    </w:p>
    <w:p>
      <w:pPr>
        <w:pStyle w:val="Normal"/>
        <w:spacing w:lineRule="auto" w:line="276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Heading1"/>
        <w:ind w:left="0" w:right="0" w:hanging="0"/>
        <w:rPr>
          <w:rFonts w:ascii="Liberation Serif" w:hAnsi="Liberation Serif"/>
        </w:rPr>
      </w:pPr>
      <w:r>
        <w:rPr>
          <w:rFonts w:ascii="Liberation Serif" w:hAnsi="Liberation Serif"/>
          <w:iCs/>
          <w:sz w:val="24"/>
          <w:szCs w:val="24"/>
        </w:rPr>
        <w:t>4. ТРЕБОВАНИЯ К ДОКУМЕНТАЦИИ ПО ЦЕНООБРАЗОВАНИЮ НА ЭТАПЕ ЗАКУПКИ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  <w:lang w:val="x-none" w:eastAsia="x-none"/>
        </w:rPr>
        <w:t>4.1. В обоснование стоимости своей заявки Участник предоставляет Коммерческое предложение по форме, приведенной в Документации о закупке.</w:t>
      </w:r>
    </w:p>
    <w:p>
      <w:pPr>
        <w:pStyle w:val="Normal"/>
        <w:rPr>
          <w:rFonts w:ascii="Liberation Serif" w:hAnsi="Liberation Serif"/>
        </w:rPr>
      </w:pPr>
      <w:r>
        <w:rPr>
          <w:rFonts w:ascii="Liberation Serif" w:hAnsi="Liberation Serif"/>
          <w:sz w:val="24"/>
          <w:szCs w:val="24"/>
          <w:lang w:val="x-none" w:eastAsia="x-none"/>
        </w:rPr>
        <w:t>4.2. Все цены в предложении должны включать все налоги, транспортные расходы и другие обязательные платежи, стоимость всех сопутствующих работ (услуг), а также все скидки, предлагаемые участником.</w:t>
      </w:r>
    </w:p>
    <w:p>
      <w:pPr>
        <w:pStyle w:val="ListParagraph"/>
        <w:spacing w:lineRule="auto" w:line="240" w:before="0" w:after="0"/>
        <w:ind w:left="0" w:right="0" w:hanging="0"/>
        <w:contextualSpacing w:val="false"/>
        <w:jc w:val="both"/>
        <w:rPr>
          <w:rFonts w:ascii="Liberation Serif" w:hAnsi="Liberation Serif"/>
          <w:bCs/>
          <w:i/>
          <w:i/>
          <w:iCs/>
          <w:color w:val="000000"/>
        </w:rPr>
      </w:pPr>
      <w:r>
        <w:rPr>
          <w:rFonts w:ascii="Liberation Serif" w:hAnsi="Liberation Serif"/>
          <w:bCs/>
          <w:i/>
          <w:iCs/>
          <w:color w:val="000000"/>
        </w:rPr>
      </w:r>
    </w:p>
    <w:p>
      <w:pPr>
        <w:pStyle w:val="ListParagraph"/>
        <w:spacing w:lineRule="auto" w:line="240" w:before="0" w:after="0"/>
        <w:ind w:left="0" w:right="0" w:hanging="0"/>
        <w:contextualSpacing w:val="false"/>
        <w:jc w:val="both"/>
        <w:rPr>
          <w:sz w:val="24"/>
          <w:szCs w:val="24"/>
        </w:rPr>
      </w:pPr>
      <w:r>
        <w:rPr>
          <w:sz w:val="24"/>
          <w:szCs w:val="24"/>
        </w:rPr>
      </w:r>
    </w:p>
    <w:sectPr>
      <w:headerReference w:type="default" r:id="rId5"/>
      <w:type w:val="nextPage"/>
      <w:pgSz w:orient="landscape" w:w="16838" w:h="11906"/>
      <w:pgMar w:left="1222" w:right="872" w:gutter="0" w:header="680" w:top="1134" w:footer="0" w:bottom="567"/>
      <w:pgNumType w:fmt="decimal"/>
      <w:formProt w:val="false"/>
      <w:textDirection w:val="lrTb"/>
      <w:docGrid w:type="default" w:linePitch="381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Wingdings">
    <w:charset w:val="01"/>
    <w:family w:val="roman"/>
    <w:pitch w:val="variable"/>
  </w:font>
  <w:font w:name="Courier New">
    <w:charset w:val="01"/>
    <w:family w:val="roman"/>
    <w:pitch w:val="variable"/>
  </w:font>
  <w:font w:name="Symbol">
    <w:charset w:val="01"/>
    <w:family w:val="roman"/>
    <w:pitch w:val="variable"/>
  </w:font>
  <w:font w:name="Verdan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Garamond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8"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279"/>
      </w:pPr>
      <w:rPr/>
    </w:lvl>
    <w:lvl w:ilvl="1">
      <w:start w:val="4"/>
      <w:numFmt w:val="decimal"/>
      <w:lvlText w:val="8.%2."/>
      <w:lvlJc w:val="left"/>
      <w:pPr>
        <w:tabs>
          <w:tab w:val="num" w:pos="567"/>
        </w:tabs>
        <w:ind w:left="567" w:hanging="567"/>
      </w:pPr>
      <w:rPr/>
    </w:lvl>
    <w:lvl w:ilvl="2">
      <w:start w:val="1"/>
      <w:numFmt w:val="decimal"/>
      <w:lvlText w:val="8.4.%3."/>
      <w:lvlJc w:val="left"/>
      <w:pPr>
        <w:tabs>
          <w:tab w:val="num" w:pos="851"/>
        </w:tabs>
        <w:ind w:left="851" w:hanging="851"/>
      </w:pPr>
      <w:rPr>
        <w:sz w:val="24"/>
        <w:i w:val="false"/>
        <w:b w:val="false"/>
        <w:szCs w:val="28"/>
        <w:rFonts w:ascii="Verdana" w:hAnsi="Verdana" w:cs="Verdana"/>
      </w:rPr>
    </w:lvl>
    <w:lvl w:ilvl="3">
      <w:start w:val="1"/>
      <w:numFmt w:val="decimal"/>
      <w:lvlText w:val="%1.%2.%3.%4."/>
      <w:lvlJc w:val="left"/>
      <w:pPr>
        <w:tabs>
          <w:tab w:val="num" w:pos="1844"/>
        </w:tabs>
        <w:ind w:left="1844" w:hanging="567"/>
      </w:pPr>
      <w:rPr/>
    </w:lvl>
    <w:lvl w:ilvl="4">
      <w:start w:val="1"/>
      <w:numFmt w:val="lowerLetter"/>
      <w:lvlText w:val="%5)"/>
      <w:lvlJc w:val="left"/>
      <w:pPr>
        <w:tabs>
          <w:tab w:val="num" w:pos="2448"/>
        </w:tabs>
        <w:ind w:left="2448" w:hanging="1008"/>
      </w:pPr>
      <w:rPr/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/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/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numPr>
        <w:ilvl w:val="0"/>
        <w:numId w:val="0"/>
      </w:numPr>
      <w:ind w:left="0" w:right="0" w:hanging="0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numPr>
        <w:ilvl w:val="0"/>
        <w:numId w:val="0"/>
      </w:numPr>
      <w:ind w:left="0" w:right="0" w:hanging="0"/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pPr>
      <w:keepNext w:val="true"/>
      <w:widowControl/>
      <w:numPr>
        <w:ilvl w:val="0"/>
        <w:numId w:val="0"/>
      </w:numPr>
      <w:tabs>
        <w:tab w:val="clear" w:pos="708"/>
        <w:tab w:val="left" w:pos="0" w:leader="none"/>
        <w:tab w:val="left" w:pos="849" w:leader="none"/>
        <w:tab w:val="left" w:pos="1300" w:leader="none"/>
      </w:tabs>
      <w:suppressAutoHyphens w:val="true"/>
      <w:bidi w:val="0"/>
      <w:spacing w:before="0" w:after="0"/>
      <w:ind w:left="0" w:right="0" w:hanging="0"/>
      <w:jc w:val="left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pPr>
      <w:numPr>
        <w:ilvl w:val="0"/>
        <w:numId w:val="0"/>
      </w:numPr>
      <w:ind w:left="0" w:right="0" w:hanging="0"/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numPr>
        <w:ilvl w:val="0"/>
        <w:numId w:val="0"/>
      </w:num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numPr>
        <w:ilvl w:val="0"/>
        <w:numId w:val="0"/>
      </w:numPr>
      <w:spacing w:before="200" w:after="0"/>
      <w:outlineLvl w:val="5"/>
    </w:pPr>
    <w:rPr>
      <w:rFonts w:ascii="Cambria" w:hAnsi="Cambria"/>
      <w:i/>
      <w:iCs/>
      <w:color w:val="243F6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numPr>
        <w:ilvl w:val="0"/>
        <w:numId w:val="0"/>
      </w:numPr>
      <w:spacing w:before="200" w:after="0"/>
      <w:outlineLvl w:val="6"/>
    </w:pPr>
    <w:rPr>
      <w:rFonts w:ascii="Cambria" w:hAnsi="Cambria"/>
      <w:i/>
      <w:iCs/>
      <w:color w:val="40404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numPr>
        <w:ilvl w:val="0"/>
        <w:numId w:val="0"/>
      </w:numPr>
      <w:spacing w:before="200" w:after="0"/>
      <w:outlineLvl w:val="7"/>
    </w:pPr>
    <w:rPr>
      <w:rFonts w:ascii="Cambria" w:hAnsi="Cambria"/>
      <w:color w:val="4F81BD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numPr>
        <w:ilvl w:val="0"/>
        <w:numId w:val="0"/>
      </w:num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>
    <w:name w:val="Default Paragraph Font"/>
    <w:qFormat/>
    <w:rPr/>
  </w:style>
  <w:style w:type="character" w:styleId="Style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1">
    <w:name w:val="page number1"/>
    <w:basedOn w:val="DefaultParagraphFont"/>
    <w:qFormat/>
    <w:rPr/>
  </w:style>
  <w:style w:type="character" w:styleId="Hyperlink">
    <w:name w:val="Hyperlink"/>
    <w:rPr>
      <w:color w:val="0000FF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1">
    <w:name w:val="Strong1"/>
    <w:qFormat/>
    <w:rPr>
      <w:b/>
      <w:bCs/>
    </w:rPr>
  </w:style>
  <w:style w:type="character" w:styleId="6">
    <w:name w:val="Заголовок 6 Знак"/>
    <w:qFormat/>
    <w:rPr>
      <w:rFonts w:ascii="Cambria" w:hAnsi="Cambria"/>
      <w:i/>
      <w:iCs/>
      <w:color w:val="243F60"/>
      <w:lang w:val="x-none" w:eastAsia="x-none"/>
    </w:rPr>
  </w:style>
  <w:style w:type="character" w:styleId="7">
    <w:name w:val="Заголовок 7 Знак"/>
    <w:qFormat/>
    <w:rPr>
      <w:rFonts w:ascii="Cambria" w:hAnsi="Cambria"/>
      <w:i/>
      <w:iCs/>
      <w:color w:val="404040"/>
      <w:lang w:val="x-none" w:eastAsia="x-none"/>
    </w:rPr>
  </w:style>
  <w:style w:type="character" w:styleId="8">
    <w:name w:val="Заголовок 8 Знак"/>
    <w:qFormat/>
    <w:rPr>
      <w:rFonts w:ascii="Cambria" w:hAnsi="Cambria"/>
      <w:color w:val="4F81BD"/>
      <w:lang w:val="x-none" w:eastAsia="x-none"/>
    </w:rPr>
  </w:style>
  <w:style w:type="character" w:styleId="1">
    <w:name w:val="Заголовок 1 Знак"/>
    <w:qFormat/>
    <w:rPr>
      <w:rFonts w:eastAsia="Calibri"/>
      <w:b/>
      <w:sz w:val="28"/>
      <w:szCs w:val="28"/>
      <w:lang w:val="x-none" w:eastAsia="x-none"/>
    </w:rPr>
  </w:style>
  <w:style w:type="character" w:styleId="2">
    <w:name w:val="Заголовок 2 Знак"/>
    <w:qFormat/>
    <w:rPr>
      <w:rFonts w:eastAsia="Calibri"/>
      <w:b/>
      <w:bCs/>
      <w:sz w:val="24"/>
      <w:szCs w:val="24"/>
      <w:lang w:val="x-none" w:eastAsia="x-none"/>
    </w:rPr>
  </w:style>
  <w:style w:type="character" w:styleId="3">
    <w:name w:val="Заголовок 3 Знак"/>
    <w:qFormat/>
    <w:rPr>
      <w:rFonts w:eastAsia="Calibri"/>
      <w:b/>
      <w:sz w:val="24"/>
      <w:szCs w:val="24"/>
      <w:lang w:val="x-none" w:eastAsia="x-none"/>
    </w:rPr>
  </w:style>
  <w:style w:type="character" w:styleId="4">
    <w:name w:val="Заголовок 4 Знак"/>
    <w:qFormat/>
    <w:rPr>
      <w:rFonts w:eastAsia="Calibri"/>
      <w:b/>
      <w:bCs/>
      <w:sz w:val="24"/>
      <w:szCs w:val="24"/>
      <w:lang w:val="x-none" w:eastAsia="x-none"/>
    </w:rPr>
  </w:style>
  <w:style w:type="character" w:styleId="5">
    <w:name w:val="Заголовок 5 Знак"/>
    <w:qFormat/>
    <w:rPr>
      <w:b/>
      <w:bCs/>
      <w:i/>
      <w:iCs/>
      <w:sz w:val="26"/>
      <w:szCs w:val="26"/>
    </w:rPr>
  </w:style>
  <w:style w:type="character" w:styleId="9">
    <w:name w:val="Заголовок 9 Знак"/>
    <w:qFormat/>
    <w:rPr>
      <w:rFonts w:ascii="Arial" w:hAnsi="Arial" w:cs="Arial"/>
      <w:sz w:val="22"/>
      <w:szCs w:val="22"/>
    </w:rPr>
  </w:style>
  <w:style w:type="character" w:styleId="Style1">
    <w:name w:val="Название Знак"/>
    <w:link w:val="16"/>
    <w:qFormat/>
    <w:rPr>
      <w:sz w:val="28"/>
    </w:rPr>
  </w:style>
  <w:style w:type="character" w:styleId="Style2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1">
    <w:name w:val="Подпункт Знак1"/>
    <w:link w:val="Style26"/>
    <w:qFormat/>
    <w:rPr>
      <w:sz w:val="28"/>
    </w:rPr>
  </w:style>
  <w:style w:type="character" w:styleId="Style5">
    <w:name w:val="Текст сноски Знак"/>
    <w:qFormat/>
    <w:rPr/>
  </w:style>
  <w:style w:type="character" w:styleId="Style6">
    <w:name w:val="Основной текст Знак"/>
    <w:qFormat/>
    <w:rPr>
      <w:sz w:val="28"/>
      <w:szCs w:val="28"/>
    </w:rPr>
  </w:style>
  <w:style w:type="character" w:styleId="Blk">
    <w:name w:val="blk"/>
    <w:qFormat/>
    <w:rPr/>
  </w:style>
  <w:style w:type="character" w:styleId="Style7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>
    <w:name w:val="комментарий"/>
    <w:qFormat/>
    <w:rPr>
      <w:b/>
      <w:i/>
      <w:shd w:fill="FFFF99" w:val="clear"/>
    </w:rPr>
  </w:style>
  <w:style w:type="character" w:styleId="Style9">
    <w:name w:val="Подподпункт Знак"/>
    <w:link w:val="Style34"/>
    <w:qFormat/>
    <w:rPr>
      <w:sz w:val="26"/>
      <w:szCs w:val="26"/>
    </w:rPr>
  </w:style>
  <w:style w:type="character" w:styleId="31">
    <w:name w:val="УРОВЕНЬ_Абзац_тип3 Знак"/>
    <w:link w:val="37"/>
    <w:qFormat/>
    <w:rPr>
      <w:rFonts w:eastAsia="Calibri"/>
      <w:sz w:val="26"/>
      <w:szCs w:val="28"/>
      <w:lang w:eastAsia="en-US"/>
    </w:rPr>
  </w:style>
  <w:style w:type="character" w:styleId="Style10">
    <w:name w:val="Верхний колонтитул Знак"/>
    <w:qFormat/>
    <w:rPr>
      <w:sz w:val="24"/>
      <w:szCs w:val="24"/>
    </w:rPr>
  </w:style>
  <w:style w:type="character" w:styleId="Style11">
    <w:name w:val="Текст примечания Знак"/>
    <w:link w:val="Annotationtext"/>
    <w:qFormat/>
    <w:rPr/>
  </w:style>
  <w:style w:type="character" w:styleId="Style12">
    <w:name w:val="Текст концевой сноски Знак"/>
    <w:basedOn w:val="DefaultParagraphFont"/>
    <w:qFormat/>
    <w:rPr/>
  </w:style>
  <w:style w:type="character" w:styleId="Style13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>
    <w:name w:val="Пункт2 Знак"/>
    <w:link w:val="25"/>
    <w:qFormat/>
    <w:rPr>
      <w:b/>
      <w:sz w:val="28"/>
    </w:rPr>
  </w:style>
  <w:style w:type="character" w:styleId="12">
    <w:name w:val="УРОВЕНЬ_1. Знак"/>
    <w:link w:val="110"/>
    <w:qFormat/>
    <w:rPr>
      <w:rFonts w:eastAsia="Calibri"/>
      <w:caps/>
      <w:sz w:val="28"/>
      <w:szCs w:val="28"/>
      <w:lang w:eastAsia="en-US"/>
    </w:rPr>
  </w:style>
  <w:style w:type="character" w:styleId="13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>
    <w:name w:val="Основной текст с отступом 3 Знак"/>
    <w:link w:val="BodyTextIndent3"/>
    <w:qFormat/>
    <w:rPr>
      <w:sz w:val="16"/>
      <w:szCs w:val="16"/>
    </w:rPr>
  </w:style>
  <w:style w:type="character" w:styleId="Style14">
    <w:name w:val="Заголовок Знак"/>
    <w:qFormat/>
    <w:rPr>
      <w:b/>
      <w:bCs/>
      <w:sz w:val="24"/>
      <w:szCs w:val="24"/>
      <w:lang w:val="ru-RU" w:eastAsia="ru-RU" w:bidi="ar-SA"/>
    </w:rPr>
  </w:style>
  <w:style w:type="character" w:styleId="Pagenumber11">
    <w:name w:val="page number11"/>
    <w:basedOn w:val="DefaultParagraphFont"/>
    <w:qFormat/>
    <w:rPr/>
  </w:style>
  <w:style w:type="character" w:styleId="33">
    <w:name w:val="Основной текст 3 Знак"/>
    <w:qFormat/>
    <w:rPr>
      <w:sz w:val="16"/>
      <w:szCs w:val="16"/>
    </w:rPr>
  </w:style>
  <w:style w:type="character" w:styleId="Style15">
    <w:name w:val="Тема примечания Знак"/>
    <w:qFormat/>
    <w:rPr>
      <w:b/>
      <w:bCs/>
    </w:rPr>
  </w:style>
  <w:style w:type="character" w:styleId="FootnoteReference1">
    <w:name w:val="Footnote Reference1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Doctitleimportant">
    <w:name w:val="doc__title_important"/>
    <w:basedOn w:val="DefaultParagraphFont"/>
    <w:qFormat/>
    <w:rPr/>
  </w:style>
  <w:style w:type="character" w:styleId="EndnoteReference1">
    <w:name w:val="Endnote Reference1"/>
    <w:qFormat/>
    <w:rPr>
      <w:vertAlign w:val="superscript"/>
    </w:rPr>
  </w:style>
  <w:style w:type="character" w:styleId="Footnotereference11">
    <w:name w:val="footnote reference11"/>
    <w:qFormat/>
    <w:rPr>
      <w:vertAlign w:val="superscript"/>
    </w:rPr>
  </w:style>
  <w:style w:type="character" w:styleId="Viewb">
    <w:name w:val="view_b"/>
    <w:qFormat/>
    <w:rPr/>
  </w:style>
  <w:style w:type="character" w:styleId="Style16">
    <w:name w:val="Нижний колонтитул Знак"/>
    <w:qFormat/>
    <w:rPr/>
  </w:style>
  <w:style w:type="character" w:styleId="Strong2">
    <w:name w:val="Strong2"/>
    <w:qFormat/>
    <w:rPr>
      <w:b/>
      <w:bCs/>
    </w:rPr>
  </w:style>
  <w:style w:type="character" w:styleId="14">
    <w:name w:val="Пункт Знак1"/>
    <w:qFormat/>
    <w:rPr>
      <w:sz w:val="28"/>
      <w:lang w:val="ru-RU" w:bidi="ar-SA"/>
    </w:rPr>
  </w:style>
  <w:style w:type="character" w:styleId="Style17">
    <w:name w:val="Основной текст с отступом Знак"/>
    <w:qFormat/>
    <w:rPr>
      <w:lang w:val="ru-RU" w:bidi="ar-SA"/>
    </w:rPr>
  </w:style>
  <w:style w:type="character" w:styleId="Pagenumber">
    <w:name w:val="page number"/>
    <w:basedOn w:val="DefaultParagraphFont"/>
    <w:qFormat/>
    <w:rPr/>
  </w:style>
  <w:style w:type="character" w:styleId="S0">
    <w:name w:val="s0"/>
    <w:qFormat/>
    <w:rPr>
      <w:rFonts w:ascii="Times New Roman" w:hAnsi="Times New Roman" w:cs="Times New Roman"/>
      <w:b w:val="false"/>
      <w:bCs w:val="false"/>
      <w:i w:val="false"/>
      <w:iCs w:val="false"/>
      <w:strike w:val="false"/>
      <w:dstrike w:val="false"/>
      <w:color w:val="000000"/>
      <w:sz w:val="22"/>
      <w:szCs w:val="22"/>
      <w:u w:val="none"/>
    </w:rPr>
  </w:style>
  <w:style w:type="character" w:styleId="My">
    <w:name w:val="my Знак"/>
    <w:qFormat/>
    <w:rPr>
      <w:b/>
      <w:sz w:val="28"/>
      <w:szCs w:val="28"/>
      <w:lang w:val="ru-RU" w:bidi="ar-SA"/>
    </w:rPr>
  </w:style>
  <w:style w:type="character" w:styleId="WW8Num34z0">
    <w:name w:val="WW8Num34z0"/>
    <w:qFormat/>
    <w:rPr/>
  </w:style>
  <w:style w:type="character" w:styleId="WW8Num33z0">
    <w:name w:val="WW8Num33z0"/>
    <w:qFormat/>
    <w:rPr>
      <w:b w:val="false"/>
      <w:i w:val="false"/>
    </w:rPr>
  </w:style>
  <w:style w:type="character" w:styleId="WW8Num31z2">
    <w:name w:val="WW8Num31z2"/>
    <w:qFormat/>
    <w:rPr>
      <w:rFonts w:ascii="Wingdings" w:hAnsi="Wingdings" w:cs="Wingdings"/>
    </w:rPr>
  </w:style>
  <w:style w:type="character" w:styleId="WW8Num31z1">
    <w:name w:val="WW8Num31z1"/>
    <w:qFormat/>
    <w:rPr>
      <w:rFonts w:ascii="Courier New" w:hAnsi="Courier New" w:cs="Courier New"/>
    </w:rPr>
  </w:style>
  <w:style w:type="character" w:styleId="WW8Num31z0">
    <w:name w:val="WW8Num31z0"/>
    <w:qFormat/>
    <w:rPr>
      <w:rFonts w:ascii="Symbol" w:hAnsi="Symbol" w:cs="Symbol"/>
    </w:rPr>
  </w:style>
  <w:style w:type="character" w:styleId="WW8Num30z2">
    <w:name w:val="WW8Num30z2"/>
    <w:qFormat/>
    <w:rPr>
      <w:rFonts w:ascii="Wingdings" w:hAnsi="Wingdings" w:cs="Wingdings"/>
    </w:rPr>
  </w:style>
  <w:style w:type="character" w:styleId="WW8Num30z1">
    <w:name w:val="WW8Num30z1"/>
    <w:qFormat/>
    <w:rPr>
      <w:rFonts w:ascii="Courier New" w:hAnsi="Courier New" w:cs="Courier New"/>
    </w:rPr>
  </w:style>
  <w:style w:type="character" w:styleId="WW8Num30z0">
    <w:name w:val="WW8Num30z0"/>
    <w:qFormat/>
    <w:rPr>
      <w:rFonts w:ascii="Symbol" w:hAnsi="Symbol" w:cs="Symbol"/>
    </w:rPr>
  </w:style>
  <w:style w:type="character" w:styleId="WW8Num29z0">
    <w:name w:val="WW8Num29z0"/>
    <w:qFormat/>
    <w:rPr/>
  </w:style>
  <w:style w:type="character" w:styleId="WW8Num28z2">
    <w:name w:val="WW8Num28z2"/>
    <w:qFormat/>
    <w:rPr>
      <w:rFonts w:ascii="Wingdings" w:hAnsi="Wingdings" w:cs="Wingdings"/>
    </w:rPr>
  </w:style>
  <w:style w:type="character" w:styleId="WW8Num28z1">
    <w:name w:val="WW8Num28z1"/>
    <w:qFormat/>
    <w:rPr>
      <w:rFonts w:ascii="Courier New" w:hAnsi="Courier New" w:cs="Courier New"/>
    </w:rPr>
  </w:style>
  <w:style w:type="character" w:styleId="WW8Num28z0">
    <w:name w:val="WW8Num28z0"/>
    <w:qFormat/>
    <w:rPr>
      <w:rFonts w:ascii="Symbol" w:hAnsi="Symbol" w:cs="Symbol"/>
    </w:rPr>
  </w:style>
  <w:style w:type="character" w:styleId="WW8Num27z0">
    <w:name w:val="WW8Num27z0"/>
    <w:qFormat/>
    <w:rPr>
      <w:b w:val="false"/>
      <w:i w:val="false"/>
    </w:rPr>
  </w:style>
  <w:style w:type="character" w:styleId="WW8Num26z2">
    <w:name w:val="WW8Num26z2"/>
    <w:qFormat/>
    <w:rPr>
      <w:rFonts w:ascii="Wingdings" w:hAnsi="Wingdings" w:cs="Wingdings"/>
    </w:rPr>
  </w:style>
  <w:style w:type="character" w:styleId="WW8Num26z1">
    <w:name w:val="WW8Num26z1"/>
    <w:qFormat/>
    <w:rPr>
      <w:rFonts w:ascii="Courier New" w:hAnsi="Courier New" w:cs="Courier New"/>
    </w:rPr>
  </w:style>
  <w:style w:type="character" w:styleId="WW8Num26z0">
    <w:name w:val="WW8Num26z0"/>
    <w:qFormat/>
    <w:rPr>
      <w:rFonts w:ascii="Symbol" w:hAnsi="Symbol" w:cs="Symbol"/>
    </w:rPr>
  </w:style>
  <w:style w:type="character" w:styleId="WW8Num25z1">
    <w:name w:val="WW8Num25z1"/>
    <w:qFormat/>
    <w:rPr>
      <w:b w:val="false"/>
      <w:sz w:val="24"/>
      <w:szCs w:val="24"/>
    </w:rPr>
  </w:style>
  <w:style w:type="character" w:styleId="WW8Num25z0">
    <w:name w:val="WW8Num25z0"/>
    <w:qFormat/>
    <w:rPr/>
  </w:style>
  <w:style w:type="character" w:styleId="WW8Num24z3">
    <w:name w:val="WW8Num24z3"/>
    <w:qFormat/>
    <w:rPr>
      <w:rFonts w:ascii="Symbol" w:hAnsi="Symbol" w:cs="Symbol"/>
    </w:rPr>
  </w:style>
  <w:style w:type="character" w:styleId="WW8Num24z2">
    <w:name w:val="WW8Num24z2"/>
    <w:qFormat/>
    <w:rPr>
      <w:rFonts w:ascii="Wingdings" w:hAnsi="Wingdings" w:cs="Wingdings"/>
    </w:rPr>
  </w:style>
  <w:style w:type="character" w:styleId="WW8Num24z1">
    <w:name w:val="WW8Num24z1"/>
    <w:qFormat/>
    <w:rPr>
      <w:rFonts w:ascii="Courier New" w:hAnsi="Courier New" w:cs="Courier New"/>
    </w:rPr>
  </w:style>
  <w:style w:type="character" w:styleId="WW8Num24z0">
    <w:name w:val="WW8Num24z0"/>
    <w:qFormat/>
    <w:rPr>
      <w:rFonts w:ascii="Times New Roman" w:hAnsi="Times New Roman" w:eastAsia="Times New Roman" w:cs="Times New Roman"/>
    </w:rPr>
  </w:style>
  <w:style w:type="character" w:styleId="WW8Num23z0">
    <w:name w:val="WW8Num23z0"/>
    <w:qFormat/>
    <w:rPr/>
  </w:style>
  <w:style w:type="character" w:styleId="WW8Num22z0">
    <w:name w:val="WW8Num22z0"/>
    <w:qFormat/>
    <w:rPr/>
  </w:style>
  <w:style w:type="character" w:styleId="WW8Num21z2">
    <w:name w:val="WW8Num21z2"/>
    <w:qFormat/>
    <w:rPr>
      <w:rFonts w:ascii="Wingdings" w:hAnsi="Wingdings" w:cs="Wingdings"/>
    </w:rPr>
  </w:style>
  <w:style w:type="character" w:styleId="WW8Num21z1">
    <w:name w:val="WW8Num21z1"/>
    <w:qFormat/>
    <w:rPr>
      <w:rFonts w:ascii="Courier New" w:hAnsi="Courier New" w:cs="Courier New"/>
    </w:rPr>
  </w:style>
  <w:style w:type="character" w:styleId="WW8Num21z0">
    <w:name w:val="WW8Num21z0"/>
    <w:qFormat/>
    <w:rPr>
      <w:rFonts w:ascii="Symbol" w:hAnsi="Symbol" w:cs="Symbol"/>
    </w:rPr>
  </w:style>
  <w:style w:type="character" w:styleId="WW8Num20z2">
    <w:name w:val="WW8Num20z2"/>
    <w:qFormat/>
    <w:rPr>
      <w:rFonts w:ascii="Verdana" w:hAnsi="Verdana" w:cs="Verdana"/>
      <w:b w:val="false"/>
      <w:i w:val="false"/>
      <w:sz w:val="24"/>
      <w:szCs w:val="28"/>
    </w:rPr>
  </w:style>
  <w:style w:type="character" w:styleId="WW8Num19z0">
    <w:name w:val="WW8Num19z0"/>
    <w:qFormat/>
    <w:rPr>
      <w:b w:val="false"/>
      <w:i w:val="false"/>
    </w:rPr>
  </w:style>
  <w:style w:type="character" w:styleId="WW8Num18z2">
    <w:name w:val="WW8Num18z2"/>
    <w:qFormat/>
    <w:rPr>
      <w:rFonts w:ascii="Wingdings" w:hAnsi="Wingdings" w:cs="Wingdings"/>
    </w:rPr>
  </w:style>
  <w:style w:type="character" w:styleId="WW8Num18z1">
    <w:name w:val="WW8Num18z1"/>
    <w:qFormat/>
    <w:rPr>
      <w:rFonts w:ascii="Courier New" w:hAnsi="Courier New" w:cs="Courier New"/>
    </w:rPr>
  </w:style>
  <w:style w:type="character" w:styleId="WW8Num18z0">
    <w:name w:val="WW8Num18z0"/>
    <w:qFormat/>
    <w:rPr>
      <w:rFonts w:ascii="Symbol" w:hAnsi="Symbol" w:cs="Symbol"/>
    </w:rPr>
  </w:style>
  <w:style w:type="character" w:styleId="WW8Num17z2">
    <w:name w:val="WW8Num17z2"/>
    <w:qFormat/>
    <w:rPr>
      <w:rFonts w:ascii="Wingdings" w:hAnsi="Wingdings" w:cs="Wingdings"/>
    </w:rPr>
  </w:style>
  <w:style w:type="character" w:styleId="WW8Num17z1">
    <w:name w:val="WW8Num17z1"/>
    <w:qFormat/>
    <w:rPr>
      <w:rFonts w:ascii="Courier New" w:hAnsi="Courier New" w:cs="Courier New"/>
    </w:rPr>
  </w:style>
  <w:style w:type="character" w:styleId="WW8Num17z0">
    <w:name w:val="WW8Num17z0"/>
    <w:qFormat/>
    <w:rPr>
      <w:rFonts w:ascii="Symbol" w:hAnsi="Symbol" w:cs="Symbol"/>
    </w:rPr>
  </w:style>
  <w:style w:type="character" w:styleId="WW8Num16z1">
    <w:name w:val="WW8Num16z1"/>
    <w:qFormat/>
    <w:rPr/>
  </w:style>
  <w:style w:type="character" w:styleId="WW8Num16z0">
    <w:name w:val="WW8Num16z0"/>
    <w:qFormat/>
    <w:rPr>
      <w:b/>
      <w:i w:val="false"/>
    </w:rPr>
  </w:style>
  <w:style w:type="character" w:styleId="WW8Num15z2">
    <w:name w:val="WW8Num15z2"/>
    <w:qFormat/>
    <w:rPr>
      <w:rFonts w:ascii="Wingdings" w:hAnsi="Wingdings" w:cs="Wingdings"/>
    </w:rPr>
  </w:style>
  <w:style w:type="character" w:styleId="WW8Num15z1">
    <w:name w:val="WW8Num15z1"/>
    <w:qFormat/>
    <w:rPr>
      <w:rFonts w:ascii="Courier New" w:hAnsi="Courier New" w:cs="Courier New"/>
    </w:rPr>
  </w:style>
  <w:style w:type="character" w:styleId="WW8Num15z0">
    <w:name w:val="WW8Num15z0"/>
    <w:qFormat/>
    <w:rPr>
      <w:rFonts w:ascii="Symbol" w:hAnsi="Symbol" w:cs="Symbol"/>
    </w:rPr>
  </w:style>
  <w:style w:type="character" w:styleId="WW8Num14z0">
    <w:name w:val="WW8Num14z0"/>
    <w:qFormat/>
    <w:rPr>
      <w:u w:val="none"/>
    </w:rPr>
  </w:style>
  <w:style w:type="character" w:styleId="WW8Num13z0">
    <w:name w:val="WW8Num13z0"/>
    <w:qFormat/>
    <w:rPr/>
  </w:style>
  <w:style w:type="character" w:styleId="WW8Num12z2">
    <w:name w:val="WW8Num12z2"/>
    <w:qFormat/>
    <w:rPr>
      <w:rFonts w:ascii="Wingdings" w:hAnsi="Wingdings" w:cs="Wingdings"/>
    </w:rPr>
  </w:style>
  <w:style w:type="character" w:styleId="WW8Num12z1">
    <w:name w:val="WW8Num12z1"/>
    <w:qFormat/>
    <w:rPr>
      <w:rFonts w:ascii="Courier New" w:hAnsi="Courier New" w:cs="Courier New"/>
    </w:rPr>
  </w:style>
  <w:style w:type="character" w:styleId="WW8Num12z0">
    <w:name w:val="WW8Num12z0"/>
    <w:qFormat/>
    <w:rPr>
      <w:rFonts w:ascii="Symbol" w:hAnsi="Symbol" w:cs="Symbol"/>
    </w:rPr>
  </w:style>
  <w:style w:type="character" w:styleId="WW8Num11z0">
    <w:name w:val="WW8Num11z0"/>
    <w:qFormat/>
    <w:rPr/>
  </w:style>
  <w:style w:type="character" w:styleId="WW8Num10z2">
    <w:name w:val="WW8Num10z2"/>
    <w:qFormat/>
    <w:rPr>
      <w:rFonts w:ascii="Wingdings" w:hAnsi="Wingdings" w:cs="Wingdings"/>
    </w:rPr>
  </w:style>
  <w:style w:type="character" w:styleId="WW8Num10z1">
    <w:name w:val="WW8Num10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2z1">
    <w:name w:val="WW8Num2z1"/>
    <w:qFormat/>
    <w:rPr>
      <w:b w:val="false"/>
    </w:rPr>
  </w:style>
  <w:style w:type="character" w:styleId="WW8Num10z0">
    <w:name w:val="WW8Num10z0"/>
    <w:qFormat/>
    <w:rPr/>
  </w:style>
  <w:style w:type="character" w:styleId="WW8Num9z0">
    <w:name w:val="WW8Num9z0"/>
    <w:qFormat/>
    <w:rPr>
      <w:rFonts w:ascii="Symbol" w:hAnsi="Symbol" w:cs="Symbol"/>
    </w:rPr>
  </w:style>
  <w:style w:type="character" w:styleId="WW8Num8z0">
    <w:name w:val="WW8Num8z0"/>
    <w:qFormat/>
    <w:rPr>
      <w:rFonts w:ascii="Symbol" w:hAnsi="Symbol" w:cs="Symbol"/>
    </w:rPr>
  </w:style>
  <w:style w:type="character" w:styleId="WW8Num7z0">
    <w:name w:val="WW8Num7z0"/>
    <w:qFormat/>
    <w:rPr>
      <w:rFonts w:ascii="Symbol" w:hAnsi="Symbol" w:cs="Symbol"/>
    </w:rPr>
  </w:style>
  <w:style w:type="character" w:styleId="WW8Num6z0">
    <w:name w:val="WW8Num6z0"/>
    <w:qFormat/>
    <w:rPr>
      <w:rFonts w:ascii="Symbol" w:hAnsi="Symbol" w:cs="Symbol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>
      <w:rFonts w:ascii="Verdana" w:hAnsi="Verdana" w:cs="Verdana"/>
      <w:b w:val="false"/>
      <w:i w:val="false"/>
      <w:sz w:val="24"/>
      <w:szCs w:val="28"/>
    </w:rPr>
  </w:style>
  <w:style w:type="character" w:styleId="WW8Num5z1">
    <w:name w:val="WW8Num5z1"/>
    <w:qFormat/>
    <w:rPr/>
  </w:style>
  <w:style w:type="character" w:styleId="WW8Num5z0">
    <w:name w:val="WW8Num5z0"/>
    <w:qFormat/>
    <w:rPr/>
  </w:style>
  <w:style w:type="character" w:styleId="WW8Num4z0">
    <w:name w:val="WW8Num4z0"/>
    <w:qFormat/>
    <w:rPr>
      <w:rFonts w:ascii="Symbol" w:hAnsi="Symbol" w:cs="Symbol"/>
    </w:rPr>
  </w:style>
  <w:style w:type="character" w:styleId="WW8Num3z0">
    <w:name w:val="WW8Num3z0"/>
    <w:qFormat/>
    <w:rPr>
      <w:rFonts w:ascii="Symbol" w:hAnsi="Symbol" w:cs="Symbol"/>
      <w:sz w:val="24"/>
      <w:szCs w:val="24"/>
      <w:shd w:fill="FFFF00" w:val="clear"/>
      <w:lang w:eastAsia="ru-RU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character" w:styleId="23">
    <w:name w:val="Знак примечания2"/>
    <w:qFormat/>
    <w:rPr>
      <w:sz w:val="16"/>
      <w:szCs w:val="16"/>
    </w:rPr>
  </w:style>
  <w:style w:type="character" w:styleId="Style18">
    <w:name w:val="Символ нумерации"/>
    <w:qFormat/>
    <w:rPr/>
  </w:style>
  <w:style w:type="character" w:styleId="Strong">
    <w:name w:val="Strong"/>
    <w:qFormat/>
    <w:rPr>
      <w:b/>
      <w:bCs/>
    </w:rPr>
  </w:style>
  <w:style w:type="character" w:styleId="Style19">
    <w:name w:val="Основной шрифт абзаца"/>
    <w:qFormat/>
    <w:rPr/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Title">
    <w:name w:val="Title"/>
    <w:basedOn w:val="Normal"/>
    <w:next w:val="BodyText"/>
    <w:qFormat/>
    <w:pPr>
      <w:jc w:val="center"/>
    </w:pPr>
    <w:rPr>
      <w:b/>
      <w:bCs/>
      <w:sz w:val="24"/>
      <w:szCs w:val="24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>
    <w:name w:val="index heading11"/>
    <w:basedOn w:val="Title"/>
    <w:qFormat/>
    <w:pPr/>
    <w:rPr/>
  </w:style>
  <w:style w:type="paragraph" w:styleId="Style22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3">
    <w:name w:val="Раздел положения"/>
    <w:basedOn w:val="Normal"/>
    <w:autoRedefine/>
    <w:qFormat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4">
    <w:name w:val="Подраздел раздела положения"/>
    <w:basedOn w:val="Normal"/>
    <w:autoRedefine/>
    <w:qFormat/>
    <w:pPr>
      <w:numPr>
        <w:ilvl w:val="1"/>
        <w:numId w:val="2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/>
  </w:style>
  <w:style w:type="paragraph" w:styleId="15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>
    <w:name w:val="Название1"/>
    <w:basedOn w:val="Normal"/>
    <w:link w:val="Style1"/>
    <w:qFormat/>
    <w:pPr>
      <w:jc w:val="center"/>
    </w:pPr>
    <w:rPr>
      <w:lang w:val="x-none" w:eastAsia="x-none"/>
    </w:rPr>
  </w:style>
  <w:style w:type="paragraph" w:styleId="Style25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pPr>
      <w:ind w:left="360" w:right="0" w:hanging="0"/>
    </w:pPr>
    <w:rPr>
      <w:sz w:val="24"/>
      <w:szCs w:val="24"/>
    </w:rPr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pPr>
      <w:spacing w:lineRule="auto" w:line="480" w:before="0" w:after="120"/>
      <w:ind w:left="283" w:right="0" w:hanging="0"/>
    </w:pPr>
    <w:rPr/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left="283" w:right="0" w:hanging="0"/>
    </w:pPr>
    <w:rPr>
      <w:sz w:val="16"/>
      <w:szCs w:val="16"/>
    </w:rPr>
  </w:style>
  <w:style w:type="paragraph" w:styleId="BodyText2">
    <w:name w:val="Body Text 2"/>
    <w:basedOn w:val="Normal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left="-567" w:right="-766" w:hanging="0"/>
      <w:jc w:val="center"/>
    </w:pPr>
    <w:rPr>
      <w:b/>
      <w:bCs/>
      <w:sz w:val="24"/>
    </w:rPr>
  </w:style>
  <w:style w:type="paragraph" w:styleId="Style26">
    <w:name w:val="Подпункт"/>
    <w:basedOn w:val="Normal"/>
    <w:link w:val="11"/>
    <w:qFormat/>
    <w:pPr>
      <w:tabs>
        <w:tab w:val="clear" w:pos="708"/>
        <w:tab w:val="left" w:pos="1134" w:leader="none"/>
      </w:tabs>
      <w:snapToGrid w:val="false"/>
      <w:spacing w:lineRule="auto" w:line="360"/>
      <w:ind w:left="1134" w:right="0" w:hanging="1134"/>
      <w:jc w:val="both"/>
    </w:pPr>
    <w:rPr>
      <w:lang w:val="x-none" w:eastAsia="x-none"/>
    </w:rPr>
  </w:style>
  <w:style w:type="paragraph" w:styleId="25">
    <w:name w:val="Пункт2"/>
    <w:basedOn w:val="Normal"/>
    <w:link w:val="22"/>
    <w:qFormat/>
    <w:pPr>
      <w:keepNext w:val="true"/>
      <w:numPr>
        <w:ilvl w:val="0"/>
        <w:numId w:val="0"/>
      </w:numPr>
      <w:tabs>
        <w:tab w:val="clear" w:pos="708"/>
        <w:tab w:val="left" w:pos="1134" w:leader="none"/>
      </w:tabs>
      <w:snapToGrid w:val="false"/>
      <w:spacing w:before="240" w:after="120"/>
      <w:ind w:left="1134" w:right="0" w:hanging="1134"/>
      <w:outlineLvl w:val="2"/>
    </w:pPr>
    <w:rPr>
      <w:b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ind w:left="280" w:right="0" w:hanging="0"/>
    </w:pPr>
    <w:rPr>
      <w:rFonts w:cs="Calibri"/>
    </w:rPr>
  </w:style>
  <w:style w:type="paragraph" w:styleId="Style27">
    <w:name w:val="Раздел регламента"/>
    <w:basedOn w:val="Normal"/>
    <w:qFormat/>
    <w:pPr/>
    <w:rPr/>
  </w:style>
  <w:style w:type="paragraph" w:styleId="Style28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/>
  </w:style>
  <w:style w:type="paragraph" w:styleId="Annotationsubject">
    <w:name w:val="annotation subject"/>
    <w:basedOn w:val="Annotationtext"/>
    <w:next w:val="Annotationtext"/>
    <w:qFormat/>
    <w:pPr>
      <w:spacing w:lineRule="auto" w:line="360"/>
      <w:ind w:left="0" w:right="0" w:firstLine="567"/>
      <w:jc w:val="both"/>
    </w:pPr>
    <w:rPr>
      <w:b/>
      <w:bCs/>
    </w:rPr>
  </w:style>
  <w:style w:type="paragraph" w:styleId="17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left="1960" w:right="0" w:hanging="0"/>
    </w:pPr>
    <w:rPr>
      <w:rFonts w:ascii="Calibri" w:hAnsi="Calibri" w:cs="Calibri"/>
    </w:rPr>
  </w:style>
  <w:style w:type="paragraph" w:styleId="TOC5">
    <w:name w:val="TOC 5"/>
    <w:basedOn w:val="Normal"/>
    <w:next w:val="Normal"/>
    <w:autoRedefine/>
    <w:pPr>
      <w:ind w:left="840" w:right="0" w:hanging="0"/>
    </w:pPr>
    <w:rPr>
      <w:rFonts w:ascii="Calibri" w:hAnsi="Calibri" w:cs="Calibri"/>
    </w:rPr>
  </w:style>
  <w:style w:type="paragraph" w:styleId="TOC4">
    <w:name w:val="TOC 4"/>
    <w:basedOn w:val="Normal"/>
    <w:next w:val="Normal"/>
    <w:autoRedefine/>
    <w:pPr>
      <w:ind w:left="560" w:right="0" w:hanging="0"/>
    </w:pPr>
    <w:rPr>
      <w:rFonts w:cs="Calibri"/>
    </w:rPr>
  </w:style>
  <w:style w:type="paragraph" w:styleId="26">
    <w:name w:val="Раздел положения 2"/>
    <w:basedOn w:val="Normal"/>
    <w:qFormat/>
    <w:pPr>
      <w:pageBreakBefore/>
      <w:numPr>
        <w:ilvl w:val="0"/>
        <w:numId w:val="0"/>
      </w:numPr>
      <w:jc w:val="both"/>
      <w:outlineLvl w:val="0"/>
    </w:pPr>
    <w:rPr>
      <w:b/>
    </w:rPr>
  </w:style>
  <w:style w:type="paragraph" w:styleId="Style29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Caption111">
    <w:name w:val="caption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qFormat/>
    <w:pPr>
      <w:ind w:left="1066" w:right="0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lineRule="auto" w:line="276" w:before="0" w:after="200"/>
      <w:ind w:left="720" w:right="0" w:hanging="0"/>
      <w:contextualSpacing/>
    </w:pPr>
    <w:rPr>
      <w:rFonts w:ascii="Calibri" w:hAnsi="Calibri" w:eastAsia="Calibri" w:cs="Calibri"/>
      <w:sz w:val="22"/>
      <w:szCs w:val="22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/>
      <w:i/>
      <w:iCs/>
      <w:color w:val="000000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lang w:val="x-none" w:eastAsia="x-none"/>
    </w:rPr>
  </w:style>
  <w:style w:type="paragraph" w:styleId="IndexHeading">
    <w:name w:val="Index Heading"/>
    <w:basedOn w:val="Style20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eastAsia="Calibri"/>
      <w:sz w:val="24"/>
      <w:szCs w:val="24"/>
      <w:lang w:val="x-none" w:eastAsia="x-none"/>
    </w:rPr>
  </w:style>
  <w:style w:type="paragraph" w:styleId="Style30">
    <w:name w:val="Знак"/>
    <w:basedOn w:val="Normal"/>
    <w:qFormat/>
    <w:pPr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35">
    <w:name w:val="Нумерованный список ур3"/>
    <w:basedOn w:val="Normal"/>
    <w:qFormat/>
    <w:pPr>
      <w:numPr>
        <w:ilvl w:val="2"/>
        <w:numId w:val="3"/>
      </w:numPr>
      <w:jc w:val="both"/>
    </w:pPr>
    <w:rPr>
      <w:rFonts w:ascii="Garamond" w:hAnsi="Garamond"/>
      <w:sz w:val="24"/>
    </w:rPr>
  </w:style>
  <w:style w:type="paragraph" w:styleId="ListBullet4">
    <w:name w:val="List Bullet 4"/>
    <w:basedOn w:val="Normal"/>
    <w:qFormat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</w:rPr>
  </w:style>
  <w:style w:type="paragraph" w:styleId="27">
    <w:name w:val="Нумерованный список ур2"/>
    <w:basedOn w:val="Normal"/>
    <w:qFormat/>
    <w:pPr>
      <w:numPr>
        <w:ilvl w:val="1"/>
        <w:numId w:val="3"/>
      </w:numPr>
      <w:spacing w:before="120" w:after="0"/>
      <w:jc w:val="both"/>
    </w:pPr>
    <w:rPr>
      <w:rFonts w:ascii="Garamond" w:hAnsi="Garamond"/>
      <w:sz w:val="24"/>
    </w:rPr>
  </w:style>
  <w:style w:type="paragraph" w:styleId="Revision">
    <w:name w:val="Revision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ind w:left="0" w:right="0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</w:rPr>
  </w:style>
  <w:style w:type="paragraph" w:styleId="18">
    <w:name w:val="Абзац списка1"/>
    <w:basedOn w:val="Normal"/>
    <w:qFormat/>
    <w:pPr>
      <w:spacing w:lineRule="auto" w:line="276" w:before="0" w:after="200"/>
      <w:ind w:left="720" w:right="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2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3">
    <w:name w:val="Таблица шапка"/>
    <w:basedOn w:val="Normal"/>
    <w:qFormat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4">
    <w:name w:val="Подподпункт"/>
    <w:basedOn w:val="Style26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right="0" w:hanging="567"/>
    </w:pPr>
    <w:rPr>
      <w:sz w:val="26"/>
      <w:szCs w:val="26"/>
      <w:lang w:val="ru-RU" w:eastAsia="ru-RU"/>
    </w:rPr>
  </w:style>
  <w:style w:type="paragraph" w:styleId="Style35">
    <w:name w:val="УРОВЕНЬ_(а)"/>
    <w:basedOn w:val="ListParagraph"/>
    <w:qFormat/>
    <w:pPr>
      <w:numPr>
        <w:ilvl w:val="3"/>
        <w:numId w:val="5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>
    <w:name w:val="УРОВЕНЬ_-"/>
    <w:basedOn w:val="ListParagraph"/>
    <w:qFormat/>
    <w:pPr>
      <w:numPr>
        <w:ilvl w:val="4"/>
        <w:numId w:val="5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>
    <w:name w:val="УРОВЕНЬ_Абзац_тип2"/>
    <w:basedOn w:val="ListParagraph"/>
    <w:qFormat/>
    <w:pPr>
      <w:numPr>
        <w:ilvl w:val="6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7">
    <w:name w:val="УРОВЕНЬ_Абзац_тип3"/>
    <w:basedOn w:val="ListParagraph"/>
    <w:link w:val="31"/>
    <w:qFormat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6">
    <w:name w:val="УРОВЕНЬ_Подпись"/>
    <w:basedOn w:val="ListParagraph"/>
    <w:qFormat/>
    <w:pPr>
      <w:keepNext w:val="true"/>
      <w:numPr>
        <w:ilvl w:val="5"/>
        <w:numId w:val="5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>
    <w:name w:val="Стиль Заголовок 1 + по ширине"/>
    <w:basedOn w:val="Heading1"/>
    <w:qFormat/>
    <w:pPr>
      <w:keepLines/>
      <w:tabs>
        <w:tab w:val="clear" w:pos="0"/>
        <w:tab w:val="clear" w:pos="849"/>
        <w:tab w:val="clear" w:pos="1300"/>
        <w:tab w:val="left" w:pos="567" w:leader="none"/>
      </w:tabs>
      <w:spacing w:before="480" w:after="240"/>
      <w:ind w:left="567" w:right="0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pPr/>
    <w:rPr/>
  </w:style>
  <w:style w:type="paragraph" w:styleId="29">
    <w:name w:val="Заголовок 2 КВВ"/>
    <w:basedOn w:val="Normal"/>
    <w:qFormat/>
    <w:pPr>
      <w:keepNext w:val="true"/>
      <w:numPr>
        <w:ilvl w:val="0"/>
        <w:numId w:val="6"/>
      </w:numPr>
      <w:spacing w:before="120" w:after="120"/>
      <w:jc w:val="both"/>
      <w:outlineLvl w:val="0"/>
    </w:pPr>
    <w:rPr>
      <w:b/>
      <w:kern w:val="2"/>
      <w:sz w:val="24"/>
      <w:lang w:eastAsia="x-none"/>
    </w:rPr>
  </w:style>
  <w:style w:type="paragraph" w:styleId="Style37">
    <w:name w:val="Таблица текст"/>
    <w:basedOn w:val="Normal"/>
    <w:qFormat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0" w:after="150"/>
    </w:pPr>
    <w:rPr>
      <w:sz w:val="24"/>
      <w:szCs w:val="24"/>
    </w:rPr>
  </w:style>
  <w:style w:type="paragraph" w:styleId="110">
    <w:name w:val="УРОВЕНЬ_1."/>
    <w:basedOn w:val="ListParagraph"/>
    <w:link w:val="12"/>
    <w:qFormat/>
    <w:pPr>
      <w:keepNext w:val="true"/>
      <w:keepLines/>
      <w:numPr>
        <w:ilvl w:val="0"/>
        <w:numId w:val="0"/>
      </w:numPr>
      <w:spacing w:before="240" w:after="120"/>
      <w:ind w:left="0" w:righ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pPr>
      <w:ind w:left="1120" w:right="0" w:hanging="0"/>
    </w:pPr>
    <w:rPr>
      <w:rFonts w:ascii="Calibri" w:hAnsi="Calibri" w:cs="Calibri"/>
    </w:rPr>
  </w:style>
  <w:style w:type="paragraph" w:styleId="TOC7">
    <w:name w:val="TOC 7"/>
    <w:basedOn w:val="Normal"/>
    <w:next w:val="Normal"/>
    <w:autoRedefine/>
    <w:pPr>
      <w:ind w:left="1400" w:right="0" w:hanging="0"/>
    </w:pPr>
    <w:rPr>
      <w:rFonts w:ascii="Calibri" w:hAnsi="Calibri" w:cs="Calibri"/>
    </w:rPr>
  </w:style>
  <w:style w:type="paragraph" w:styleId="TOC8">
    <w:name w:val="TOC 8"/>
    <w:basedOn w:val="Normal"/>
    <w:next w:val="Normal"/>
    <w:autoRedefine/>
    <w:pPr>
      <w:ind w:left="1680" w:right="0" w:hanging="0"/>
    </w:pPr>
    <w:rPr>
      <w:rFonts w:ascii="Calibri" w:hAnsi="Calibri" w:cs="Calibri"/>
    </w:rPr>
  </w:style>
  <w:style w:type="paragraph" w:styleId="Style38">
    <w:name w:val="Пункт б/н"/>
    <w:basedOn w:val="Normal"/>
    <w:qFormat/>
    <w:pPr>
      <w:tabs>
        <w:tab w:val="clear" w:pos="708"/>
        <w:tab w:val="left" w:pos="1134" w:leader="none"/>
      </w:tabs>
      <w:spacing w:lineRule="auto" w:line="360"/>
      <w:ind w:left="0" w:right="0" w:firstLine="567"/>
      <w:jc w:val="both"/>
    </w:pPr>
    <w:rPr/>
  </w:style>
  <w:style w:type="paragraph" w:styleId="Style39">
    <w:name w:val="Содержимое врезки"/>
    <w:basedOn w:val="Normal"/>
    <w:qFormat/>
    <w:pPr/>
    <w:rPr/>
  </w:style>
  <w:style w:type="paragraph" w:styleId="Style40">
    <w:name w:val="Содержимое таблицы"/>
    <w:basedOn w:val="Normal"/>
    <w:qFormat/>
    <w:pPr>
      <w:widowControl w:val="false"/>
      <w:suppressLineNumbers/>
    </w:pPr>
    <w:rPr/>
  </w:style>
  <w:style w:type="paragraph" w:styleId="Style41">
    <w:name w:val="Заголовок таблицы"/>
    <w:basedOn w:val="Style40"/>
    <w:qFormat/>
    <w:pPr>
      <w:jc w:val="center"/>
    </w:pPr>
    <w:rPr>
      <w:b/>
      <w:bCs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heading111">
    <w:name w:val="index heading111"/>
    <w:basedOn w:val="Normal"/>
    <w:qFormat/>
    <w:pPr>
      <w:suppressLineNumbers/>
    </w:pPr>
    <w:rPr>
      <w:rFonts w:cs="Lucida Sans"/>
    </w:rPr>
  </w:style>
  <w:style w:type="paragraph" w:styleId="Style42">
    <w:name w:val="Таблицы (моноширинный)"/>
    <w:basedOn w:val="Normal"/>
    <w:qFormat/>
    <w:pPr>
      <w:jc w:val="both"/>
    </w:pPr>
    <w:rPr>
      <w:rFonts w:ascii="Courier New" w:hAnsi="Courier New" w:cs="Courier New"/>
    </w:rPr>
  </w:style>
  <w:style w:type="paragraph" w:styleId="Style43">
    <w:name w:val="Подпункт договора"/>
    <w:basedOn w:val="Normal"/>
    <w:qFormat/>
    <w:pPr>
      <w:tabs>
        <w:tab w:val="clear" w:pos="708"/>
        <w:tab w:val="left" w:pos="360" w:leader="none"/>
      </w:tabs>
      <w:jc w:val="both"/>
    </w:pPr>
    <w:rPr>
      <w:rFonts w:ascii="Arial" w:hAnsi="Arial" w:cs="Arial"/>
    </w:rPr>
  </w:style>
  <w:style w:type="paragraph" w:styleId="ConsNormal">
    <w:name w:val="Cons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ind w:left="0" w:right="19772" w:firstLine="720"/>
      <w:jc w:val="left"/>
    </w:pPr>
    <w:rPr>
      <w:rFonts w:ascii="Arial" w:hAnsi="Arial" w:eastAsia="WenQuanYi Zen Hei Sharp" w:cs="Lohit Devanagari"/>
      <w:color w:val="auto"/>
      <w:kern w:val="0"/>
      <w:sz w:val="32"/>
      <w:szCs w:val="24"/>
      <w:lang w:val="ru-RU" w:eastAsia="en-US" w:bidi="hi-IN"/>
    </w:rPr>
  </w:style>
  <w:style w:type="paragraph" w:styleId="Footnotetext1">
    <w:name w:val="footnote text1"/>
    <w:basedOn w:val="Normal"/>
    <w:qFormat/>
    <w:pPr/>
    <w:rPr/>
  </w:style>
  <w:style w:type="paragraph" w:styleId="ListBullet3">
    <w:name w:val="List Bullet 3"/>
    <w:basedOn w:val="Normal"/>
    <w:qFormat/>
    <w:pPr>
      <w:tabs>
        <w:tab w:val="clear" w:pos="708"/>
        <w:tab w:val="left" w:pos="1418" w:leader="none"/>
      </w:tabs>
      <w:spacing w:lineRule="auto" w:line="360" w:before="120" w:after="0"/>
      <w:ind w:left="0" w:right="0" w:firstLine="720"/>
      <w:jc w:val="both"/>
    </w:pPr>
    <w:rPr>
      <w:rFonts w:eastAsia="Calibri"/>
      <w:i/>
      <w:iCs/>
      <w:sz w:val="24"/>
      <w:szCs w:val="24"/>
    </w:rPr>
  </w:style>
  <w:style w:type="paragraph" w:styleId="-1">
    <w:name w:val="Контракт-пункт"/>
    <w:basedOn w:val="Normal"/>
    <w:qFormat/>
    <w:pPr>
      <w:tabs>
        <w:tab w:val="clear" w:pos="708"/>
        <w:tab w:val="left" w:pos="851" w:leader="none"/>
      </w:tabs>
      <w:spacing w:lineRule="auto" w:line="360"/>
      <w:ind w:left="851" w:right="0" w:hanging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qFormat/>
    <w:pPr/>
    <w:rPr>
      <w:rFonts w:ascii="Tahoma" w:hAnsi="Tahoma" w:cs="Tahoma"/>
    </w:rPr>
  </w:style>
  <w:style w:type="paragraph" w:styleId="Style44">
    <w:name w:val="Пункт договора"/>
    <w:basedOn w:val="Normal"/>
    <w:qFormat/>
    <w:pPr>
      <w:jc w:val="both"/>
    </w:pPr>
    <w:rPr>
      <w:rFonts w:ascii="Arial" w:hAnsi="Arial" w:cs="Arial"/>
    </w:rPr>
  </w:style>
  <w:style w:type="paragraph" w:styleId="111">
    <w:name w:val="Знак Знак Знак Знак Знак Знак Знак Знак Знак1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lang w:val="en-US" w:eastAsia="en-US"/>
    </w:rPr>
  </w:style>
  <w:style w:type="paragraph" w:styleId="ConsPlusNonformat">
    <w:name w:val="ConsPlusNonformat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Courier New" w:hAnsi="Courier New" w:eastAsia="WenQuanYi Zen Hei Sharp" w:cs="Courier New"/>
      <w:color w:val="auto"/>
      <w:kern w:val="0"/>
      <w:sz w:val="24"/>
      <w:szCs w:val="24"/>
      <w:lang w:val="ru-RU" w:eastAsia="zh-CN" w:bidi="hi-IN"/>
    </w:rPr>
  </w:style>
  <w:style w:type="paragraph" w:styleId="211">
    <w:name w:val="Основной текст 21"/>
    <w:basedOn w:val="Normal"/>
    <w:qFormat/>
    <w:pPr/>
    <w:rPr>
      <w:sz w:val="22"/>
    </w:rPr>
  </w:style>
  <w:style w:type="paragraph" w:styleId="112">
    <w:name w:val="Обычный1"/>
    <w:qFormat/>
    <w:pPr>
      <w:widowControl w:val="false"/>
      <w:suppressAutoHyphens w:val="true"/>
      <w:kinsoku w:val="true"/>
      <w:overflowPunct w:val="true"/>
      <w:autoSpaceDE w:val="true"/>
      <w:bidi w:val="0"/>
      <w:spacing w:lineRule="auto" w:line="420" w:before="460" w:after="0"/>
      <w:ind w:left="0" w:right="0" w:firstLine="720"/>
      <w:jc w:val="left"/>
    </w:pPr>
    <w:rPr>
      <w:rFonts w:ascii="Arial" w:hAnsi="Arial" w:eastAsia="Arial" w:cs="Arial"/>
      <w:color w:val="auto"/>
      <w:kern w:val="0"/>
      <w:sz w:val="28"/>
      <w:szCs w:val="20"/>
      <w:lang w:val="ru-RU" w:eastAsia="zh-CN" w:bidi="ar-SA"/>
    </w:rPr>
  </w:style>
  <w:style w:type="paragraph" w:styleId="HEADERTEXT">
    <w:name w:val=".HEADERTEXT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2B4279"/>
      <w:kern w:val="0"/>
      <w:sz w:val="24"/>
      <w:szCs w:val="24"/>
      <w:lang w:val="ru-RU" w:eastAsia="zh-CN" w:bidi="ar-SA"/>
    </w:rPr>
  </w:style>
  <w:style w:type="paragraph" w:styleId="ListNumber">
    <w:name w:val="List Number"/>
    <w:basedOn w:val="Normal"/>
    <w:qFormat/>
    <w:pPr>
      <w:spacing w:lineRule="auto" w:line="360" w:before="60" w:after="0"/>
      <w:jc w:val="both"/>
    </w:pPr>
    <w:rPr>
      <w:sz w:val="28"/>
      <w:szCs w:val="24"/>
    </w:rPr>
  </w:style>
  <w:style w:type="paragraph" w:styleId="Style45">
    <w:name w:val="Обычный+ без отступа"/>
    <w:basedOn w:val="Normal"/>
    <w:qFormat/>
    <w:pPr>
      <w:numPr>
        <w:ilvl w:val="0"/>
        <w:numId w:val="7"/>
      </w:numPr>
      <w:spacing w:lineRule="auto" w:line="360" w:before="120" w:after="0"/>
      <w:ind w:left="0" w:right="0" w:hanging="0"/>
      <w:jc w:val="both"/>
    </w:pPr>
    <w:rPr>
      <w:rFonts w:eastAsia="MS Mincho;ＭＳ 明朝"/>
      <w:sz w:val="28"/>
      <w:szCs w:val="28"/>
    </w:rPr>
  </w:style>
  <w:style w:type="paragraph" w:styleId="38">
    <w:name w:val="заголовок 3"/>
    <w:basedOn w:val="Normal"/>
    <w:next w:val="Normal"/>
    <w:qFormat/>
    <w:pPr>
      <w:keepNext w:val="true"/>
      <w:spacing w:lineRule="auto" w:line="360" w:before="120" w:after="0"/>
      <w:ind w:left="0" w:right="0" w:firstLine="720"/>
      <w:jc w:val="center"/>
    </w:pPr>
    <w:rPr>
      <w:szCs w:val="24"/>
    </w:rPr>
  </w:style>
  <w:style w:type="paragraph" w:styleId="113">
    <w:name w:val="Пункт_1"/>
    <w:basedOn w:val="Normal"/>
    <w:qFormat/>
    <w:pPr>
      <w:keepNext w:val="true"/>
      <w:tabs>
        <w:tab w:val="clear" w:pos="708"/>
        <w:tab w:val="left" w:pos="568" w:leader="none"/>
      </w:tabs>
      <w:spacing w:before="480" w:after="240"/>
      <w:ind w:left="567" w:right="0" w:hanging="567"/>
      <w:jc w:val="center"/>
    </w:pPr>
    <w:rPr>
      <w:rFonts w:ascii="Arial" w:hAnsi="Arial" w:cs="Arial"/>
      <w:b/>
      <w:sz w:val="32"/>
      <w:szCs w:val="28"/>
    </w:rPr>
  </w:style>
  <w:style w:type="paragraph" w:styleId="5ABCD">
    <w:name w:val="Пункт_5_ABCD"/>
    <w:basedOn w:val="Normal"/>
    <w:qFormat/>
    <w:pPr>
      <w:tabs>
        <w:tab w:val="clear" w:pos="708"/>
        <w:tab w:val="left" w:pos="1701" w:leader="none"/>
      </w:tabs>
      <w:spacing w:lineRule="auto" w:line="360"/>
      <w:ind w:left="1701" w:right="0" w:hanging="567"/>
      <w:jc w:val="both"/>
    </w:pPr>
    <w:rPr>
      <w:sz w:val="28"/>
    </w:rPr>
  </w:style>
  <w:style w:type="paragraph" w:styleId="41">
    <w:name w:val="Пункт_4"/>
    <w:basedOn w:val="39"/>
    <w:qFormat/>
    <w:pPr>
      <w:tabs>
        <w:tab w:val="clear" w:pos="1694"/>
        <w:tab w:val="left" w:pos="1134" w:leader="none"/>
      </w:tabs>
      <w:ind w:left="1134" w:right="0" w:hanging="1134"/>
    </w:pPr>
    <w:rPr/>
  </w:style>
  <w:style w:type="paragraph" w:styleId="39">
    <w:name w:val="Пункт_3"/>
    <w:basedOn w:val="210"/>
    <w:qFormat/>
    <w:pPr>
      <w:tabs>
        <w:tab w:val="clear" w:pos="1134"/>
        <w:tab w:val="left" w:pos="1694" w:leader="none"/>
      </w:tabs>
      <w:ind w:left="1694" w:right="0" w:hanging="0"/>
    </w:pPr>
    <w:rPr/>
  </w:style>
  <w:style w:type="paragraph" w:styleId="210">
    <w:name w:val="Пункт_2"/>
    <w:basedOn w:val="Normal"/>
    <w:qFormat/>
    <w:pPr>
      <w:tabs>
        <w:tab w:val="clear" w:pos="708"/>
        <w:tab w:val="left" w:pos="1134" w:leader="none"/>
      </w:tabs>
      <w:spacing w:lineRule="auto" w:line="360"/>
      <w:ind w:left="1134" w:right="0" w:hanging="1133"/>
      <w:jc w:val="both"/>
    </w:pPr>
    <w:rPr>
      <w:sz w:val="28"/>
    </w:rPr>
  </w:style>
  <w:style w:type="paragraph" w:styleId="PlainText">
    <w:name w:val="Plain Text"/>
    <w:basedOn w:val="Normal"/>
    <w:qFormat/>
    <w:pPr>
      <w:ind w:left="0" w:right="0" w:firstLine="709"/>
      <w:jc w:val="both"/>
    </w:pPr>
    <w:rPr>
      <w:rFonts w:cs="Courier New"/>
    </w:rPr>
  </w:style>
  <w:style w:type="paragraph" w:styleId="Normal1">
    <w:name w:val="Normal1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My1">
    <w:name w:val="my"/>
    <w:basedOn w:val="Heading1"/>
    <w:qFormat/>
    <w:pPr>
      <w:keepLines/>
      <w:tabs>
        <w:tab w:val="clear" w:pos="0"/>
        <w:tab w:val="left" w:pos="849" w:leader="none"/>
        <w:tab w:val="left" w:pos="1300" w:leader="none"/>
      </w:tabs>
      <w:spacing w:before="360" w:after="120"/>
      <w:ind w:left="0" w:right="0" w:hanging="0"/>
      <w:jc w:val="center"/>
      <w:outlineLvl w:val="9"/>
    </w:pPr>
    <w:rPr>
      <w:kern w:val="2"/>
    </w:rPr>
  </w:style>
  <w:style w:type="paragraph" w:styleId="114">
    <w:name w:val="Пункт1"/>
    <w:basedOn w:val="Normal"/>
    <w:qFormat/>
    <w:pPr>
      <w:numPr>
        <w:ilvl w:val="0"/>
        <w:numId w:val="8"/>
      </w:numPr>
      <w:snapToGrid w:val="false"/>
      <w:spacing w:lineRule="auto" w:line="360" w:before="240" w:after="0"/>
      <w:jc w:val="center"/>
    </w:pPr>
    <w:rPr>
      <w:rFonts w:ascii="Arial" w:hAnsi="Arial" w:cs="Arial"/>
      <w:b/>
      <w:sz w:val="28"/>
      <w:szCs w:val="28"/>
    </w:rPr>
  </w:style>
  <w:style w:type="paragraph" w:styleId="Style46">
    <w:name w:val="Подподподпункт"/>
    <w:basedOn w:val="Normal"/>
    <w:qFormat/>
    <w:pPr>
      <w:tabs>
        <w:tab w:val="clear" w:pos="708"/>
        <w:tab w:val="left" w:pos="567" w:leader="none"/>
        <w:tab w:val="left" w:pos="1134" w:leader="none"/>
        <w:tab w:val="left" w:pos="1701" w:leader="none"/>
      </w:tabs>
      <w:snapToGrid w:val="false"/>
      <w:spacing w:lineRule="auto" w:line="360"/>
      <w:ind w:left="567" w:right="0" w:hanging="279"/>
      <w:jc w:val="both"/>
    </w:pPr>
    <w:rPr>
      <w:sz w:val="28"/>
    </w:rPr>
  </w:style>
  <w:style w:type="paragraph" w:styleId="Style47">
    <w:name w:val="Пункт Знак"/>
    <w:basedOn w:val="Normal"/>
    <w:qFormat/>
    <w:pPr>
      <w:tabs>
        <w:tab w:val="clear" w:pos="708"/>
        <w:tab w:val="left" w:pos="567" w:leader="none"/>
        <w:tab w:val="left" w:pos="851" w:leader="none"/>
        <w:tab w:val="left" w:pos="1134" w:leader="none"/>
      </w:tabs>
      <w:snapToGrid w:val="false"/>
      <w:spacing w:lineRule="auto" w:line="360"/>
      <w:ind w:left="567" w:right="0" w:hanging="279"/>
      <w:jc w:val="both"/>
    </w:pPr>
    <w:rPr>
      <w:sz w:val="28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12">
    <w:name w:val="Caption1112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12">
    <w:name w:val="Caption112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12">
    <w:name w:val="Caption12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Caption3">
    <w:name w:val="Caption3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andard">
    <w:name w:val="Standard"/>
    <w:qFormat/>
    <w:pPr>
      <w:widowControl w:val="false"/>
      <w:suppressAutoHyphens w:val="true"/>
      <w:kinsoku w:val="true"/>
      <w:overflowPunct w:val="true"/>
      <w:autoSpaceDE w:val="true"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zh-CN" w:bidi="ar-SA"/>
    </w:rPr>
  </w:style>
  <w:style w:type="numbering" w:styleId="Abc">
    <w:name w:val="Нумерованный abc"/>
    <w:qFormat/>
  </w:style>
  <w:style w:type="numbering" w:styleId="115">
    <w:name w:val="Стиль1"/>
    <w:qFormat/>
  </w:style>
  <w:style w:type="numbering" w:styleId="212">
    <w:name w:val="Стиль2"/>
    <w:qFormat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www.poetalon.ru/cat/profnastil-n60-845-0-8-mm-otsinkovannyy/" TargetMode="External"/><Relationship Id="rId3" Type="http://schemas.openxmlformats.org/officeDocument/2006/relationships/hyperlink" Target="https://www.lsst.ru/spravochnik-metalloprokata/armatura-a1/armatura-a1-6-mm/" TargetMode="External"/><Relationship Id="rId4" Type="http://schemas.openxmlformats.org/officeDocument/2006/relationships/hyperlink" Target="https://www.lsst.ru/spravochnik-metalloprokata/armatura-a1/armatura-a1-6-mm/" TargetMode="External"/><Relationship Id="rId5" Type="http://schemas.openxmlformats.org/officeDocument/2006/relationships/header" Target="head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5924</TotalTime>
  <Application>AlterOffice/2025.3.1.0$Linux_X86_64 LibreOffice_project/431cd1b79110582f53535c95ed0a2449aadc8bf9</Application>
  <AppVersion>15.0000</AppVersion>
  <Pages>7</Pages>
  <Words>945</Words>
  <Characters>6950</Characters>
  <CharactersWithSpaces>7736</CharactersWithSpaces>
  <Paragraphs>180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2025-07-14T05:31:00Z</dcterms:created>
  <dc:creator>Быстров Олег Геннадьевич</dc:creator>
  <dc:description/>
  <dc:language>ru-RU</dc:language>
  <cp:lastModifiedBy>kozlov_iv</cp:lastModifiedBy>
  <dcterms:modified xsi:type="dcterms:W3CDTF">2026-10-06T12:54:38Z</dcterms:modified>
  <cp:revision>144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r8>1134298184</vt:r8>
  </property>
  <property fmtid="{D5CDD505-2E9C-101B-9397-08002B2CF9AE}" pid="3" name="_AuthorEmail">
    <vt:lpwstr>Sokolov-VV@amur.drsk.ru</vt:lpwstr>
  </property>
  <property fmtid="{D5CDD505-2E9C-101B-9397-08002B2CF9AE}" pid="4" name="_AuthorEmailDisplayName">
    <vt:lpwstr>Соколов В.В.</vt:lpwstr>
  </property>
  <property fmtid="{D5CDD505-2E9C-101B-9397-08002B2CF9AE}" pid="5" name="_EmailSubject">
    <vt:lpwstr>Отправка: 2023.09.20 ТТ и ОЛ на закупку 2КТПН 1600 и 1250 для Свободного (1), ТП 2х1250 2_13.2 Свободный (1), ТП 2х1600 2_14 Свободный (1)</vt:lpwstr>
  </property>
  <property fmtid="{D5CDD505-2E9C-101B-9397-08002B2CF9AE}" pid="6" name="_NewReviewCycle">
    <vt:lpwstr/>
  </property>
  <property fmtid="{D5CDD505-2E9C-101B-9397-08002B2CF9AE}" pid="7" name="_ReviewingToolsShownOnce">
    <vt:lpwstr/>
  </property>
</Properties>
</file>