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fff8"/>
        <w:tblW w:w="4104" w:type="dxa"/>
        <w:jc w:val="left"/>
        <w:tblInd w:w="60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04"/>
      </w:tblGrid>
      <w:tr>
        <w:trPr>
          <w:trHeight w:val="1738" w:hRule="atLeast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426" w:right="-1"/>
              <w:jc w:val="righ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«УТВЕРЖДАЮ»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426" w:right="-1"/>
              <w:jc w:val="righ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И.о. д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иректор Дальневосточного филиала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426" w:right="-1"/>
              <w:jc w:val="righ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426" w:right="-1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_____________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Ослопов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426" w:right="-1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«______» ____________ 2026 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29"/>
              <w:jc w:val="right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</w:tr>
    </w:tbl>
    <w:p>
      <w:pPr>
        <w:pStyle w:val="Normal"/>
        <w:keepNext w:val="true"/>
        <w:keepLines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37554584"/>
      <w:bookmarkStart w:id="1" w:name="_Toc139856287"/>
      <w:bookmarkStart w:id="2" w:name="_Toc141696704"/>
      <w:bookmarkStart w:id="3" w:name="_Toc137554584"/>
      <w:bookmarkStart w:id="4" w:name="_Toc139856287"/>
      <w:bookmarkStart w:id="5" w:name="_Toc141696704"/>
      <w:bookmarkEnd w:id="3"/>
      <w:bookmarkEnd w:id="4"/>
      <w:bookmarkEnd w:id="5"/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оказание услуг</w:t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 2: 45.20.11 Услуги по проведению технического обслуживания и ремонта не гарантийных легковых транспортных средств в населенном пункте </w:t>
      </w:r>
      <w:r>
        <w:rPr>
          <w:rFonts w:eastAsia="Calibri"/>
          <w:sz w:val="24"/>
          <w:szCs w:val="24"/>
        </w:rPr>
        <w:t>г. Хабаровск</w:t>
      </w:r>
      <w:r>
        <w:rPr>
          <w:rFonts w:eastAsia="Calibri"/>
          <w:sz w:val="24"/>
          <w:szCs w:val="24"/>
        </w:rPr>
        <w:t xml:space="preserve"> для  Дальневосточного филиала АО «ТК РусГидро»</w:t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№ </w:t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cs="" w:asciiTheme="minorHAnsi" w:cstheme="minorBidi" w:hAnsiTheme="minorHAnsi"/>
              <w:b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30343582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cs="" w:ascii="Calibri" w:hAnsi="Calibri" w:asciiTheme="minorHAnsi" w:cstheme="minorBidi" w:hAnsiTheme="minorHAnsi"/>
                <w:b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0343583">
            <w:r>
              <w:rPr>
                <w:webHidden/>
                <w:rStyle w:val="Style14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  <w14:cntxtAlts>
                  <w14:cntxtAlts/>
                </w14:cntxtAlts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0343584">
            <w:r>
              <w:rPr>
                <w:webHidden/>
                <w:rStyle w:val="Style14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  <w14:cntxtAlts>
                  <w14:cntxtAlts/>
                </w14:cntxtAlts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0343585">
            <w:r>
              <w:rPr>
                <w:webHidden/>
                <w:rStyle w:val="Style14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  <w14:cntxtAlts>
                  <w14:cntxtAlts/>
                </w14:cntxtAlts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0343586">
            <w:r>
              <w:rPr>
                <w:webHidden/>
                <w:rStyle w:val="Style14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  <w14:cntxtAlts>
                  <w14:cntxtAlts/>
                </w14:cntxtAlts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cs="" w:asciiTheme="minorHAnsi" w:cstheme="minorBidi" w:hAnsiTheme="minorHAnsi"/>
              <w:b w:val="false"/>
              <w:sz w:val="22"/>
              <w:szCs w:val="22"/>
            </w:rPr>
          </w:pPr>
          <w:hyperlink w:anchor="_Toc23034358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_Toc230343587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cs="" w:asciiTheme="minorHAnsi" w:cstheme="minorBidi" w:hAnsiTheme="minorHAnsi"/>
              <w:b w:val="false"/>
              <w:sz w:val="22"/>
              <w:szCs w:val="22"/>
            </w:rPr>
          </w:pPr>
          <w:hyperlink w:anchor="_Toc230343588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cs="" w:ascii="Calibri" w:hAnsi="Calibri" w:asciiTheme="minorHAnsi" w:cstheme="minorBidi" w:hAnsiTheme="minorHAnsi"/>
                <w:b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0343589">
            <w:r>
              <w:rPr>
                <w:webHidden/>
                <w:rStyle w:val="Style14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  <w14:cntxtAlts>
                  <w14:cntxtAlts/>
                </w14:cntxtAlts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0343590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cs="" w:asciiTheme="minorHAnsi" w:cstheme="minorBidi" w:hAnsiTheme="minorHAnsi"/>
              <w:b w:val="false"/>
              <w:sz w:val="22"/>
              <w:szCs w:val="22"/>
            </w:rPr>
          </w:pPr>
          <w:hyperlink w:anchor="_Toc23034359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_Toc230343591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0343592">
            <w:r>
              <w:rPr>
                <w:webHidden/>
                <w:rStyle w:val="Style14"/>
                <w:vanish w:val="false"/>
              </w:rPr>
              <w:t>3.1.1.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cs="" w:asciiTheme="minorHAnsi" w:cstheme="minorBidi" w:hAnsiTheme="minorHAnsi"/>
              <w:b w:val="false"/>
              <w:sz w:val="22"/>
              <w:szCs w:val="22"/>
            </w:rPr>
          </w:pPr>
          <w:hyperlink w:anchor="_Toc23034359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_Toc230343593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left" w:pos="560" w:leader="none"/>
              <w:tab w:val="left" w:pos="1120" w:leader="none"/>
              <w:tab w:val="right" w:pos="9911" w:leader="none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0343594">
            <w:r>
              <w:rPr>
                <w:webHidden/>
                <w:rStyle w:val="Style14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  <w14:cntxtAlts>
                  <w14:cntxtAlts/>
                </w14:cntxtAlts>
              </w:rPr>
              <w:t>3.2.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cs="" w:asciiTheme="minorHAnsi" w:cstheme="minorBidi" w:hAnsiTheme="minorHAnsi"/>
              <w:b w:val="false"/>
              <w:sz w:val="22"/>
              <w:szCs w:val="22"/>
            </w:rPr>
          </w:pPr>
          <w:hyperlink w:anchor="_Toc23034359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_Toc230343595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cs="" w:asciiTheme="minorHAnsi" w:cstheme="minorBidi" w:hAnsiTheme="minorHAnsi"/>
              <w:b w:val="false"/>
              <w:sz w:val="22"/>
              <w:szCs w:val="22"/>
            </w:rPr>
          </w:pPr>
          <w:hyperlink w:anchor="_Toc230343596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cs="" w:ascii="Calibri" w:hAnsi="Calibri" w:asciiTheme="minorHAnsi" w:cstheme="minorBidi" w:hAnsiTheme="minorHAnsi"/>
                <w:b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cs="" w:asciiTheme="minorHAnsi" w:cstheme="minorBidi" w:hAnsiTheme="minorHAnsi"/>
              <w:b w:val="false"/>
              <w:sz w:val="22"/>
              <w:szCs w:val="22"/>
            </w:rPr>
          </w:pPr>
          <w:hyperlink w:anchor="_Toc23034359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_Toc230343597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5. Приложения</w:t>
              <w:tab/>
              <w:t>8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spacing w:before="120" w:after="0"/>
        <w:rPr>
          <w:rFonts w:eastAsia="" w:eastAsiaTheme="minorEastAsia"/>
          <w:b/>
          <w:sz w:val="24"/>
          <w:szCs w:val="24"/>
        </w:rPr>
      </w:pPr>
      <w:r>
        <w:rPr>
          <w:rFonts w:eastAsia="" w:eastAsiaTheme="minorEastAsia"/>
          <w:b/>
          <w:sz w:val="24"/>
          <w:szCs w:val="24"/>
        </w:rPr>
      </w:r>
    </w:p>
    <w:p>
      <w:pPr>
        <w:pStyle w:val="TOC1"/>
        <w:tabs>
          <w:tab w:val="clear" w:pos="560"/>
          <w:tab w:val="right" w:pos="9911" w:leader="dot"/>
        </w:tabs>
        <w:rPr>
          <w:rFonts w:ascii="Calibri" w:hAnsi="Calibri" w:cs="" w:asciiTheme="minorHAnsi" w:cstheme="minorBidi" w:hAnsiTheme="minorHAnsi"/>
          <w:b w:val="false"/>
        </w:rPr>
      </w:pPr>
      <w:r>
        <w:rPr>
          <w:rFonts w:cs="" w:cstheme="minorBidi" w:ascii="Calibri" w:hAnsi="Calibri"/>
          <w:b w:val="false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0"/>
        <w:ind w:hanging="0" w:left="0"/>
        <w:jc w:val="center"/>
        <w:rPr>
          <w:sz w:val="24"/>
          <w:szCs w:val="24"/>
        </w:rPr>
      </w:pPr>
      <w:bookmarkStart w:id="6" w:name="_Toc230343582"/>
      <w:r>
        <w:rPr>
          <w:sz w:val="24"/>
          <w:szCs w:val="24"/>
        </w:rPr>
        <w:t>Общие сведения</w:t>
      </w:r>
      <w:bookmarkEnd w:id="6"/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ind w:firstLine="709" w:left="0"/>
        <w:rPr>
          <w:rStyle w:val="Style8"/>
          <w:b/>
          <w:i w:val="false"/>
          <w:i w:val="false"/>
          <w:shd w:fill="auto" w:val="clear"/>
        </w:rPr>
      </w:pPr>
      <w:bookmarkStart w:id="7" w:name="_Toc230343583"/>
      <w:bookmarkStart w:id="8" w:name="_Toc46743505"/>
      <w:r>
        <w:rPr/>
        <w:t>Обозначения и сокращения</w:t>
      </w:r>
      <w:bookmarkEnd w:id="7"/>
      <w:bookmarkEnd w:id="8"/>
      <w:r>
        <w:rPr>
          <w:rStyle w:val="Style8"/>
          <w:b/>
          <w:i w:val="false"/>
          <w:shd w:fill="auto" w:val="clear"/>
        </w:rPr>
        <w:t xml:space="preserve">      </w:t>
      </w:r>
    </w:p>
    <w:tbl>
      <w:tblPr>
        <w:tblW w:w="4678" w:type="dxa"/>
        <w:jc w:val="left"/>
        <w:tblInd w:w="9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5"/>
        <w:gridCol w:w="3612"/>
      </w:tblGrid>
      <w:tr>
        <w:trPr>
          <w:cantSplit w:val="true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</w:t>
            </w:r>
            <w:r>
              <w:rPr>
                <w:sz w:val="24"/>
                <w:szCs w:val="24"/>
              </w:rPr>
              <w:t>иР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Техническое обслуживание </w:t>
            </w:r>
            <w:r>
              <w:rPr>
                <w:sz w:val="24"/>
                <w:szCs w:val="24"/>
              </w:rPr>
              <w:t>и ремонт</w:t>
            </w:r>
          </w:p>
        </w:tc>
      </w:tr>
      <w:tr>
        <w:trPr>
          <w:cantSplit w:val="true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</w:t>
            </w:r>
          </w:p>
        </w:tc>
      </w:tr>
      <w:tr>
        <w:trPr>
          <w:cantSplit w:val="true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участок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0"/>
        <w:ind w:firstLine="709" w:left="0"/>
        <w:rPr/>
      </w:pPr>
      <w:bookmarkStart w:id="9" w:name="_Toc230343584"/>
      <w:bookmarkStart w:id="10" w:name="_Toc46743506"/>
      <w:r>
        <w:rPr/>
        <w:t>Наименование закупаемой продукции</w:t>
      </w:r>
      <w:bookmarkEnd w:id="9"/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both"/>
        <w:rPr>
          <w:rStyle w:val="Style8"/>
          <w:rFonts w:eastAsia="Calibri"/>
          <w:b w:val="false"/>
          <w:i w:val="false"/>
          <w:i w:val="false"/>
          <w:sz w:val="24"/>
          <w:szCs w:val="24"/>
          <w:shd w:fill="auto" w:val="clear"/>
        </w:rPr>
      </w:pPr>
      <w:r>
        <w:rPr>
          <w:rFonts w:eastAsia="Calibri"/>
          <w:sz w:val="24"/>
          <w:szCs w:val="24"/>
          <w:lang w:eastAsia="x-none"/>
        </w:rPr>
        <w:t xml:space="preserve">ОКПД 2: 45.20.11 Услуги по проведению технического обслуживания и ремонта не гарантийных легковых транспортных средств в населенном пункте </w:t>
      </w:r>
      <w:r>
        <w:rPr>
          <w:rFonts w:eastAsia="Calibri"/>
          <w:sz w:val="24"/>
          <w:szCs w:val="24"/>
          <w:lang w:eastAsia="x-none"/>
        </w:rPr>
        <w:t>г. Хабаровск</w:t>
      </w:r>
      <w:r>
        <w:rPr>
          <w:rFonts w:eastAsia="Calibri"/>
          <w:sz w:val="24"/>
          <w:szCs w:val="24"/>
          <w:lang w:eastAsia="x-none"/>
        </w:rPr>
        <w:t xml:space="preserve"> для  Дальневосточного филиала АО «ТК РусГидро»".</w:t>
      </w:r>
      <w:r>
        <w:rPr>
          <w:rFonts w:eastAsia="Calibri"/>
          <w:i/>
          <w:sz w:val="24"/>
          <w:szCs w:val="24"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0" w:after="0"/>
        <w:ind w:firstLine="709" w:left="0"/>
        <w:rPr/>
      </w:pPr>
      <w:bookmarkStart w:id="11" w:name="_Toc230343585"/>
      <w:bookmarkStart w:id="12" w:name="_Toc46743507"/>
      <w:r>
        <w:rPr/>
        <w:t xml:space="preserve">Цель </w:t>
      </w:r>
      <w:bookmarkEnd w:id="12"/>
      <w:r>
        <w:rPr/>
        <w:t>оказания услуг</w:t>
      </w:r>
      <w:bookmarkEnd w:id="11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Оказание услуг по техническому обслуживанию и ремонту транспортных средств Заказчика осуществляется согласно нормам, правилам и процедурам технического обслуживания и ремонта транспортных средств, которые установлены заводами-изготовителями с учетом условий эксплуатации данных ТС в соответствии с пунктом 2 статьи 18 Федерального закона от 10.12.1995 № 196-ФЗ «О безопасности дорожного движения», с целью обеспечения безопасной эксплуатации ТС и продление эксплуатационного ресурса ТС.</w:t>
      </w:r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tabs>
          <w:tab w:val="clear" w:pos="0"/>
        </w:tabs>
        <w:spacing w:before="0" w:after="0"/>
        <w:ind w:firstLine="709"/>
        <w:rPr>
          <w:sz w:val="24"/>
          <w:szCs w:val="24"/>
        </w:rPr>
      </w:pPr>
      <w:bookmarkStart w:id="13" w:name="_Toc230343587"/>
      <w:r>
        <w:rPr>
          <w:sz w:val="24"/>
          <w:szCs w:val="24"/>
        </w:rPr>
        <w:t>Таблица 1. Перечень объектов заказчика</w:t>
      </w:r>
      <w:bookmarkEnd w:id="13"/>
    </w:p>
    <w:p>
      <w:pPr>
        <w:pStyle w:val="Normal"/>
        <w:tabs>
          <w:tab w:val="clear" w:pos="708"/>
        </w:tabs>
        <w:spacing w:before="0" w:after="0"/>
        <w:ind w:firstLine="709"/>
        <w:rPr>
          <w:sz w:val="24"/>
          <w:szCs w:val="24"/>
        </w:rPr>
      </w:pPr>
      <w:r>
        <w:rPr/>
      </w:r>
    </w:p>
    <w:tbl>
      <w:tblPr>
        <w:tblW w:w="9911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4"/>
        <w:gridCol w:w="3220"/>
        <w:gridCol w:w="1702"/>
        <w:gridCol w:w="2505"/>
        <w:gridCol w:w="2030"/>
      </w:tblGrid>
      <w:tr>
        <w:trPr>
          <w:trHeight w:val="1523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Наименование основного средства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(в отношении которого оказываются услуги)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Примечания</w:t>
            </w:r>
          </w:p>
        </w:tc>
      </w:tr>
      <w:tr>
        <w:trPr>
          <w:trHeight w:val="782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ОКПД 2: 45.20.11 Услуги по проведению технического обслуживания и ремонта не гарантийных легковых транспортных средств в населенном пункте </w:t>
            </w:r>
            <w:r>
              <w:rPr>
                <w:rFonts w:eastAsia="Calibri"/>
                <w:iCs/>
                <w:sz w:val="24"/>
                <w:szCs w:val="24"/>
              </w:rPr>
              <w:t>г. Хабаровск</w:t>
            </w:r>
            <w:r>
              <w:rPr>
                <w:rFonts w:eastAsia="Calibri"/>
                <w:iCs/>
                <w:sz w:val="24"/>
                <w:szCs w:val="24"/>
              </w:rPr>
              <w:t xml:space="preserve"> для  Дальневосточного филиала АО «ТК РусГидро»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Хабаровск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18"/>
                <w:u w:val="none"/>
                <w:em w:val="none"/>
                <w:lang w:val="en-US" w:eastAsia="en-US"/>
              </w:rPr>
              <w:t xml:space="preserve">Toyota Highlander </w:t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 xml:space="preserve">г.н. </w:t>
            </w: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18"/>
                <w:u w:val="none"/>
                <w:em w:val="none"/>
                <w:lang w:val="en-US" w:eastAsia="en-US"/>
              </w:rPr>
              <w:t>У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  <w:t xml:space="preserve"> 228 ХЕ 163</w:t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>
              <w:rPr/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5TDDKRFH70S137169</w:t>
            </w:r>
          </w:p>
        </w:tc>
      </w:tr>
      <w:tr>
        <w:trPr>
          <w:trHeight w:val="1090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20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 xml:space="preserve">TOYOTA LAND CRUISER 150 (PRADO) </w:t>
            </w:r>
            <w:r>
              <w:rPr>
                <w:rFonts w:eastAsia="Calibri"/>
                <w:sz w:val="18"/>
                <w:szCs w:val="18"/>
                <w:lang w:eastAsia="en-US"/>
              </w:rPr>
              <w:t>г</w:t>
            </w:r>
            <w:r>
              <w:rPr>
                <w:rFonts w:eastAsia="Calibri"/>
                <w:sz w:val="18"/>
                <w:szCs w:val="18"/>
                <w:lang w:val="en-US" w:eastAsia="en-US"/>
              </w:rPr>
              <w:t>.</w:t>
            </w:r>
            <w:r>
              <w:rPr>
                <w:rFonts w:eastAsia="Calibri"/>
                <w:sz w:val="18"/>
                <w:szCs w:val="18"/>
                <w:lang w:eastAsia="en-US"/>
              </w:rPr>
              <w:t>н</w:t>
            </w:r>
            <w:r>
              <w:rPr>
                <w:rFonts w:eastAsia="Calibri"/>
                <w:sz w:val="18"/>
                <w:szCs w:val="18"/>
                <w:lang w:val="en-US" w:eastAsia="en-US"/>
              </w:rPr>
              <w:t xml:space="preserve">. </w:t>
            </w:r>
            <w:r>
              <w:rPr>
                <w:rFonts w:eastAsia="Calibri"/>
                <w:sz w:val="18"/>
                <w:szCs w:val="18"/>
                <w:lang w:eastAsia="en-US"/>
              </w:rPr>
              <w:t>У</w:t>
            </w:r>
            <w:r>
              <w:rPr>
                <w:rFonts w:eastAsia="Calibri"/>
                <w:sz w:val="18"/>
                <w:szCs w:val="18"/>
                <w:lang w:val="en-US" w:eastAsia="en-US"/>
              </w:rPr>
              <w:t xml:space="preserve"> 001 </w:t>
            </w:r>
            <w:r>
              <w:rPr>
                <w:rFonts w:eastAsia="Calibri"/>
                <w:sz w:val="18"/>
                <w:szCs w:val="18"/>
                <w:lang w:eastAsia="en-US"/>
              </w:rPr>
              <w:t>УУ</w:t>
            </w:r>
            <w:r>
              <w:rPr>
                <w:rFonts w:eastAsia="Calibri"/>
                <w:sz w:val="18"/>
                <w:szCs w:val="18"/>
                <w:lang w:val="en-US" w:eastAsia="en-US"/>
              </w:rPr>
              <w:t xml:space="preserve"> 28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JTEBU3FJ60K068074</w:t>
            </w:r>
          </w:p>
        </w:tc>
      </w:tr>
    </w:tbl>
    <w:p>
      <w:pPr>
        <w:pStyle w:val="Heading1"/>
        <w:numPr>
          <w:ilvl w:val="0"/>
          <w:numId w:val="3"/>
        </w:numPr>
        <w:spacing w:before="240" w:after="0"/>
        <w:ind w:hanging="0" w:left="0"/>
        <w:jc w:val="center"/>
        <w:rPr>
          <w:caps/>
          <w:sz w:val="24"/>
          <w:szCs w:val="24"/>
          <w:lang w:val="ru-RU"/>
        </w:rPr>
      </w:pPr>
      <w:bookmarkStart w:id="14" w:name="_Toc230343588"/>
      <w:bookmarkStart w:id="15" w:name="_Toc51339693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spacing w:before="0" w:after="0"/>
        <w:ind w:firstLine="709" w:left="0"/>
        <w:rPr/>
      </w:pPr>
      <w:bookmarkStart w:id="16" w:name="_Toc230343589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6"/>
    </w:p>
    <w:p>
      <w:pPr>
        <w:pStyle w:val="Heading3"/>
        <w:numPr>
          <w:ilvl w:val="2"/>
          <w:numId w:val="3"/>
        </w:numPr>
        <w:spacing w:before="0" w:after="0"/>
        <w:ind w:firstLine="709" w:left="0"/>
        <w:rPr/>
      </w:pPr>
      <w:bookmarkStart w:id="17" w:name="_Toc230343590"/>
      <w:r>
        <w:rPr/>
        <w:t>Требования к перечню и объему услуг</w:t>
      </w:r>
      <w:bookmarkEnd w:id="17"/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Heading1"/>
        <w:tabs>
          <w:tab w:val="clear" w:pos="0"/>
        </w:tabs>
        <w:ind w:firstLine="709"/>
        <w:rPr>
          <w:sz w:val="24"/>
          <w:szCs w:val="24"/>
        </w:rPr>
      </w:pPr>
      <w:bookmarkStart w:id="18" w:name="_Toc230343591"/>
      <w:bookmarkStart w:id="19" w:name="_Toc51339695"/>
      <w:r>
        <w:rPr>
          <w:sz w:val="24"/>
          <w:szCs w:val="24"/>
        </w:rPr>
        <w:t xml:space="preserve">Таблица 2. Перечень </w:t>
      </w:r>
      <w:bookmarkEnd w:id="19"/>
      <w:r>
        <w:rPr>
          <w:sz w:val="24"/>
          <w:szCs w:val="24"/>
        </w:rPr>
        <w:t>и объем оказываемых услуг</w:t>
      </w:r>
      <w:bookmarkEnd w:id="18"/>
    </w:p>
    <w:tbl>
      <w:tblPr>
        <w:tblW w:w="9810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Техническое обслуживание </w:t>
            </w:r>
            <w:r>
              <w:rPr>
                <w:b w:val="false"/>
                <w:bCs w:val="false"/>
                <w:sz w:val="24"/>
                <w:szCs w:val="24"/>
              </w:rPr>
              <w:t>и ремонт ТС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норма/час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ind w:firstLine="567"/>
        <w:jc w:val="both"/>
        <w:rPr>
          <w:rStyle w:val="Strong1"/>
          <w:b w:val="false"/>
          <w:i/>
          <w:i/>
          <w:sz w:val="24"/>
          <w:szCs w:val="24"/>
        </w:rPr>
      </w:pPr>
      <w:r>
        <w:rPr>
          <w:rStyle w:val="Strong1"/>
          <w:b w:val="false"/>
          <w:i/>
          <w:sz w:val="24"/>
          <w:szCs w:val="24"/>
        </w:rPr>
        <w:t>* Объем продукции является ориентировочным, Заказчик не несет ответственности за неполную выборку продукции на общую сумму договора.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spacing w:before="0" w:after="0"/>
        <w:ind w:firstLine="709" w:left="0"/>
        <w:rPr/>
      </w:pPr>
      <w:bookmarkStart w:id="20" w:name="_Toc230343592"/>
      <w:bookmarkStart w:id="21" w:name="_Toc51339696"/>
      <w:r>
        <w:rPr/>
        <w:t xml:space="preserve">Требования </w:t>
      </w:r>
      <w:bookmarkEnd w:id="21"/>
      <w:r>
        <w:rPr/>
        <w:t>к срокам оказания услуг</w:t>
      </w:r>
      <w:bookmarkEnd w:id="20"/>
    </w:p>
    <w:p>
      <w:pPr>
        <w:pStyle w:val="Heading1"/>
        <w:tabs>
          <w:tab w:val="clear" w:pos="0"/>
        </w:tabs>
        <w:ind w:firstLine="709"/>
        <w:rPr>
          <w:sz w:val="24"/>
          <w:szCs w:val="24"/>
          <w:lang w:val="ru-RU"/>
        </w:rPr>
      </w:pPr>
      <w:bookmarkStart w:id="22" w:name="_Toc230343593"/>
      <w:bookmarkStart w:id="23" w:name="_Toc51339697"/>
      <w:bookmarkStart w:id="24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5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3"/>
      <w:bookmarkEnd w:id="24"/>
      <w:bookmarkEnd w:id="25"/>
      <w:r>
        <w:rPr>
          <w:sz w:val="24"/>
          <w:szCs w:val="24"/>
          <w:lang w:val="ru-RU"/>
        </w:rPr>
        <w:t>оказания услуг</w:t>
      </w:r>
      <w:bookmarkEnd w:id="22"/>
    </w:p>
    <w:tbl>
      <w:tblPr>
        <w:tblW w:w="9918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3544"/>
        <w:gridCol w:w="2688"/>
        <w:gridCol w:w="311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31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О</w:t>
            </w:r>
            <w:r>
              <w:rPr>
                <w:rFonts w:eastAsia="Calibri"/>
                <w:iCs/>
                <w:sz w:val="24"/>
                <w:szCs w:val="24"/>
              </w:rPr>
              <w:t xml:space="preserve">КПД 2: 45.20.11 Услуги по проведению технического обслуживания и ремонта не гарантийных легковых транспортных средств в населенном пункте </w:t>
            </w:r>
            <w:r>
              <w:rPr>
                <w:rFonts w:eastAsia="Calibri"/>
                <w:iCs/>
                <w:sz w:val="24"/>
                <w:szCs w:val="24"/>
              </w:rPr>
              <w:t>г. Хабаровск</w:t>
            </w:r>
            <w:r>
              <w:rPr>
                <w:rFonts w:eastAsia="Calibri"/>
                <w:iCs/>
                <w:sz w:val="24"/>
                <w:szCs w:val="24"/>
              </w:rPr>
              <w:t xml:space="preserve"> для  Дальневосточного филиала АО «ТК РусГидро»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 даты направления заявки исполнителю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</w:numPr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ind w:firstLine="709" w:left="0"/>
              <w:jc w:val="both"/>
              <w:rPr>
                <w:sz w:val="24"/>
                <w:szCs w:val="24"/>
              </w:rPr>
            </w:pPr>
            <w:bookmarkStart w:id="26" w:name="_GoBack"/>
            <w:bookmarkEnd w:id="26"/>
            <w:r>
              <w:rPr>
                <w:rFonts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В течение 10 рабочих дней с даты подачи заявки.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0" w:left="0"/>
        <w:rPr/>
      </w:pPr>
      <w:bookmarkStart w:id="27" w:name="_Toc230343594"/>
      <w:r>
        <w:rPr/>
        <w:t>Требования к качеству услуг</w:t>
      </w:r>
      <w:bookmarkEnd w:id="27"/>
    </w:p>
    <w:p>
      <w:pPr>
        <w:pStyle w:val="Heading1"/>
        <w:keepLines/>
        <w:tabs>
          <w:tab w:val="clear" w:pos="0"/>
        </w:tabs>
        <w:spacing w:before="240" w:after="0"/>
        <w:rPr>
          <w:sz w:val="24"/>
          <w:szCs w:val="24"/>
        </w:rPr>
      </w:pPr>
      <w:bookmarkStart w:id="28" w:name="_Toc230343595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bookmarkEnd w:id="28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</w:t>
      </w:r>
      <w:r>
        <w:rPr>
          <w:rFonts w:eastAsia="Calibri"/>
          <w:b/>
          <w:bCs/>
          <w:iCs/>
          <w:sz w:val="24"/>
          <w:szCs w:val="24"/>
        </w:rPr>
        <w:t>О</w:t>
      </w:r>
      <w:r>
        <w:rPr>
          <w:rFonts w:eastAsia="Calibri"/>
          <w:b/>
          <w:bCs/>
          <w:iCs/>
          <w:sz w:val="24"/>
          <w:szCs w:val="24"/>
        </w:rPr>
        <w:t xml:space="preserve">КПД 2: 45.20.11 Услуги по проведению технического обслуживания и ремонта не гарантийных легковых транспортных средств в населенном пункте </w:t>
      </w:r>
      <w:r>
        <w:rPr>
          <w:rFonts w:eastAsia="Calibri"/>
          <w:b/>
          <w:bCs/>
          <w:iCs/>
          <w:sz w:val="24"/>
          <w:szCs w:val="24"/>
        </w:rPr>
        <w:t>г. Хабаровск</w:t>
      </w:r>
      <w:r>
        <w:rPr>
          <w:rFonts w:eastAsia="Calibri"/>
          <w:b/>
          <w:bCs/>
          <w:iCs/>
          <w:sz w:val="24"/>
          <w:szCs w:val="24"/>
        </w:rPr>
        <w:t xml:space="preserve"> для  Дальневосточного филиала АО «ТК РусГидро»</w:t>
      </w:r>
      <w:r>
        <w:rPr>
          <w:sz w:val="24"/>
          <w:szCs w:val="24"/>
        </w:rPr>
        <w:t>"</w:t>
      </w:r>
      <w:r>
        <w:rPr>
          <w:sz w:val="26"/>
          <w:szCs w:val="26"/>
        </w:rPr>
        <w:t>.</w:t>
      </w:r>
    </w:p>
    <w:p>
      <w:pPr>
        <w:pStyle w:val="Normal"/>
        <w:jc w:val="both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Style w:val="affff8"/>
        <w:tblW w:w="1506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2"/>
        <w:gridCol w:w="5240"/>
        <w:gridCol w:w="6249"/>
        <w:gridCol w:w="2640"/>
      </w:tblGrid>
      <w:tr>
        <w:trPr>
          <w:trHeight w:val="20" w:hRule="atLeast"/>
        </w:trPr>
        <w:tc>
          <w:tcPr>
            <w:tcW w:w="93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52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2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0" w:hRule="atLeast"/>
        </w:trPr>
        <w:tc>
          <w:tcPr>
            <w:tcW w:w="93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52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62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bookmarkStart w:id="29" w:name="_Toc53499667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1</w:t>
            </w:r>
            <w:bookmarkEnd w:id="29"/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6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Использование собственных расходных материалов и запчастей Исполнителя.</w:t>
            </w:r>
          </w:p>
        </w:tc>
        <w:tc>
          <w:tcPr>
            <w:tcW w:w="624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Наличие собственных материалов и запчастей Исполнителя при оказании услуги.</w:t>
            </w:r>
          </w:p>
        </w:tc>
        <w:tc>
          <w:tcPr>
            <w:tcW w:w="264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Осуществление контроля.</w:t>
            </w:r>
          </w:p>
        </w:tc>
        <w:tc>
          <w:tcPr>
            <w:tcW w:w="624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Осуществлять допуск Заказчика к проведению контроля за выполняемыми работами при оказании услуги по ремонту ТС.</w:t>
            </w:r>
          </w:p>
        </w:tc>
        <w:tc>
          <w:tcPr>
            <w:tcW w:w="264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Возможность выбора запасных частей и расходных материалов.</w:t>
            </w:r>
          </w:p>
        </w:tc>
        <w:tc>
          <w:tcPr>
            <w:tcW w:w="624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Предоставить возможность выбора запасных частей и расходных материалов у различных официальных источников.</w:t>
            </w:r>
          </w:p>
        </w:tc>
        <w:tc>
          <w:tcPr>
            <w:tcW w:w="264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Отходы, образовавшиеся в результате оказания Услуг являются собственностью Исполнителя</w:t>
            </w:r>
          </w:p>
        </w:tc>
        <w:tc>
          <w:tcPr>
            <w:tcW w:w="624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собственными силами и за свой счет осуществлять деятельность по обращению с образовавшимися отходами в соответствии с действующим законодательством РФ.</w:t>
            </w:r>
          </w:p>
        </w:tc>
        <w:tc>
          <w:tcPr>
            <w:tcW w:w="264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64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Техническое обслуживание и текущий ремонт транспортных средств должно соответствовать  установленным нормам и правилам процедуры технического обслуживания и ремонта транспортных средств, установленными заводом-изготовителем и правилами оказания услуг (выполнения работ) по техническому обслуживанию и ремонту АМТС Российской Федерации Утвержденными Постановлением Правительства Российской Федерации от 11 апреля 2001 г. № 290 (в ред. Постановлений Правительства РФ от  31.01.2017 N 109).</w:t>
            </w:r>
          </w:p>
        </w:tc>
        <w:tc>
          <w:tcPr>
            <w:tcW w:w="264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Сроки выполнения работ и оказания услуг по ТО и ремонту автомашин должны составлять: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по техническому обслуживанию - в соответствии с действующими нормативами, но не более 1 календарного дня;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по текущему ремонту - в соответствии с действующими нормативами, но не более 5 календарных дней;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случае, если для выполнения соответствующих работ требуются запасные части, срок поставки которых превышает указанный выше, по согласованию с Заказчиком срок выполнения работ может быть продлен.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 устанавливаемых деталей, узлов, механизмов, материалам, маслам и специальных жидкостей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Устанавливаемые и используемые на ТС детали, узлы, механизмы, материалы, приборы, масла и специальные жидкости должны быть новыми, не бывшим в употреблении, не восстановленными, не содержать восстановленных элементов, не должны иметь дефектов, связанных с конструкцией, материалами или работой по их изготовлению. Должны соответствовать рекомендациям, изложенным в руководстве по эксплуатации, выданным заводом-изготовителем, для данной марки автомобиля.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проведении ремонта применяется единый тариф за 1 нормо/час.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Проведение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 xml:space="preserve"> ТО и ТР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ТС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должно выполняться квалифицированным персоналом.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После оказания услуг ТС должно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23.10.1993 №1090 «О правилах дорожного движения»).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средства после ремонта должны удовлетворять требованиям Федерального закона от 10.12.1995г. № 196-ФЗ «О безопасности дорожного движения» (с изм., внесенными Постановлением КС РФ от 27.10.2022 N 46-П), Техническим регламентом ТР ТС 018/2011 Таможенного союза «О безопасности колесных транспортных средств» и законодательства Российской Федерации.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Осмотр транспортного средства после оказания услуг.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После оказания услуг Заказчик проводит визуальный осмотр транспортного средства на предмет комплектности и технического состояния автотранспорта, осмотр автотранспорта в соответствии с выполненными работами по техническому обслуживанию и/или текущему ремонту, исправности узлов и агрегатов, подвергшихся ремонту. Осмотр с целью обеспечения безопасности дорожного движения.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Заказчику акт сдачи-приемки оказанных услуг в двух экземплярах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Заказ-наряд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Заказчику Заказ-наряд в двух экземплярах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Счет на оплату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счет на оплату после оказания услуги.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счет фактуру (если Исполнитель является плательщиком НДС)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Нормативные документы</w:t>
            </w:r>
          </w:p>
        </w:tc>
        <w:tc>
          <w:tcPr>
            <w:tcW w:w="62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по требованию Заказчика должен предоставить в электронном виде нормативы трудоемкостей на проведение технического обслуживания и ремонта ТС, установленные заводом-изготовителем, согласно VIN, либо предоставить представителю Заказчика на СТО автоматизированное рабочее место для осуществления проверки нормирования оказанных услуг и стоимости запасных частей, заменённых в ходе ремонта транспорта Заказчика.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both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93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Гарантийные обязательства на оказанные Услуги должны составлять не менее 6 (Шести) месяцев или 10 000 км. пробега (в зависимости, что наступит раньше). Гарантийный срок на замененные в процессе обслуживания или ремонта детали и механизмы должен составлять не менее установленного заводом изготовителем.</w:t>
            </w:r>
          </w:p>
        </w:tc>
        <w:tc>
          <w:tcPr>
            <w:tcW w:w="26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keepLines/>
        <w:numPr>
          <w:ilvl w:val="0"/>
          <w:numId w:val="3"/>
        </w:numPr>
        <w:spacing w:before="0" w:after="0"/>
        <w:ind w:firstLine="709" w:left="0"/>
        <w:jc w:val="center"/>
        <w:rPr>
          <w:lang w:val="ru-RU"/>
        </w:rPr>
      </w:pPr>
      <w:bookmarkStart w:id="30" w:name="_Toc230343596"/>
      <w:bookmarkStart w:id="31" w:name="_Toc5428122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0"/>
      <w:bookmarkEnd w:id="31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Spacing"/>
        <w:spacing w:lineRule="auto" w:line="240"/>
        <w:ind w:firstLine="709"/>
        <w:jc w:val="both"/>
        <w:rPr>
          <w:lang w:val="x-none" w:eastAsia="x-none"/>
        </w:rPr>
      </w:pPr>
      <w:r>
        <w:rPr/>
        <w:t>3.1.</w:t>
        <w:tab/>
        <w:t>Общая цена за единицу услуг остаётся фиксированной на весь срок действия договора и не подлежит изменению;</w:t>
      </w:r>
    </w:p>
    <w:p>
      <w:pPr>
        <w:pStyle w:val="NoSpacing"/>
        <w:spacing w:lineRule="auto" w:line="240"/>
        <w:ind w:firstLine="709"/>
        <w:jc w:val="both"/>
        <w:rPr>
          <w:lang w:val="x-none" w:eastAsia="x-none"/>
        </w:rPr>
      </w:pPr>
      <w:r>
        <w:rPr/>
        <w:t>3.2.</w:t>
        <w:tab/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rPr/>
      </w:pPr>
      <w:r>
        <w:rPr/>
        <w:t xml:space="preserve">  </w:t>
      </w:r>
      <w:r>
        <w:rPr/>
        <w:tab/>
        <w:t xml:space="preserve">      </w:t>
      </w:r>
      <w:bookmarkStart w:id="32" w:name="_Toc230343597"/>
      <w:r>
        <w:rPr/>
        <w:t>5. Приложения</w:t>
      </w:r>
      <w:bookmarkEnd w:id="32"/>
    </w:p>
    <w:p>
      <w:pPr>
        <w:pStyle w:val="NoSpacing"/>
        <w:numPr>
          <w:ilvl w:val="0"/>
          <w:numId w:val="8"/>
        </w:numPr>
        <w:spacing w:lineRule="auto" w:line="240"/>
        <w:rPr/>
      </w:pPr>
      <w:r>
        <w:rPr/>
        <w:t xml:space="preserve">Регламент технического обслуживания </w:t>
      </w:r>
      <w:r>
        <w:rPr/>
        <w:t xml:space="preserve">и ремонта </w:t>
      </w:r>
      <w:r>
        <w:rPr/>
        <w:t xml:space="preserve">Toyota Land Cruiser </w:t>
      </w:r>
      <w:r>
        <w:rPr>
          <w:lang w:val="en-US"/>
        </w:rPr>
        <w:t>Prado</w:t>
      </w:r>
      <w:r>
        <w:rPr/>
        <w:t xml:space="preserve"> 150, </w:t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18"/>
          <w:u w:val="none"/>
          <w:em w:val="none"/>
          <w:lang w:val="en-US" w:eastAsia="en-US"/>
        </w:rPr>
        <w:t xml:space="preserve">Toyota Highlander </w:t>
      </w:r>
    </w:p>
    <w:p>
      <w:pPr>
        <w:pStyle w:val="NoSpacing"/>
        <w:spacing w:lineRule="auto" w:line="240"/>
        <w:ind w:hanging="0" w:left="1069"/>
        <w:rPr/>
      </w:pPr>
      <w:r>
        <w:rPr/>
      </w:r>
    </w:p>
    <w:p>
      <w:pPr>
        <w:pStyle w:val="NoSpacing"/>
        <w:spacing w:lineRule="auto" w:line="240"/>
        <w:rPr/>
      </w:pPr>
      <w:r>
        <w:rPr/>
      </w:r>
    </w:p>
    <w:p>
      <w:pPr>
        <w:pStyle w:val="NoSpacing"/>
        <w:spacing w:lineRule="auto" w:line="240"/>
        <w:rPr/>
      </w:pPr>
      <w:r>
        <w:rPr/>
      </w:r>
    </w:p>
    <w:p>
      <w:pPr>
        <w:pStyle w:val="Normal"/>
        <w:rPr>
          <w:rFonts w:eastAsia="Calibri"/>
          <w:b/>
          <w:iCs/>
          <w:sz w:val="24"/>
          <w:szCs w:val="24"/>
          <w:lang w:val="x-none" w:eastAsia="x-none"/>
        </w:rPr>
      </w:pPr>
      <w:r>
        <w:rPr>
          <w:rFonts w:eastAsia="Calibri"/>
          <w:b/>
          <w:iCs/>
          <w:sz w:val="24"/>
          <w:szCs w:val="24"/>
          <w:lang w:val="x-none" w:eastAsia="x-none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  <w:t>Исполнитель: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Ведущий инженер </w:t>
      </w:r>
      <w:r>
        <w:rPr>
          <w:sz w:val="24"/>
          <w:szCs w:val="24"/>
        </w:rPr>
        <w:t xml:space="preserve"> ГЭОиРТС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Дальневосточного филиала АО «ТК РусГидро»                                                         С.А. </w:t>
      </w:r>
      <w:r>
        <w:rPr>
          <w:bCs/>
          <w:sz w:val="24"/>
          <w:szCs w:val="24"/>
        </w:rPr>
        <w:t>Грибов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11D4BBB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11D4BBB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8101531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2914077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2192265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Fill>
          <w14:solidFill>
            <w14:srgbClr w14:val="000000"/>
          </w14:solidFill>
        </w14:textFill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355494"/>
    <w:pPr>
      <w:keepNext w:val="true"/>
      <w:tabs>
        <w:tab w:val="clear" w:pos="708"/>
        <w:tab w:val="left" w:pos="0" w:leader="none"/>
      </w:tabs>
      <w:spacing w:before="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355494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character" w:styleId="Strong11" w:customStyle="1">
    <w:name w:val="Strong11"/>
    <w:qFormat/>
    <w:rPr>
      <w:b/>
      <w:bCs/>
    </w:rPr>
  </w:style>
  <w:style w:type="character" w:styleId="Hyperlink">
    <w:name w:val="Hyperlink"/>
    <w:uiPriority w:val="99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e55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eastAsia="" w:eastAsiaTheme="minorEastAsia"/>
      <w:b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543f6a"/>
    <w:pPr>
      <w:tabs>
        <w:tab w:val="clear" w:pos="708"/>
        <w:tab w:val="left" w:pos="567" w:leader="none"/>
        <w:tab w:val="left" w:pos="1120" w:leader="none"/>
        <w:tab w:val="right" w:pos="9911" w:leader="dot"/>
      </w:tabs>
      <w:ind w:hanging="0" w:left="567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Indexheading111111" w:customStyle="1">
    <w:name w:val="index heading1111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11" w:customStyle="1">
    <w:name w:val="caption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2" w:customStyle="1">
    <w:name w:val="index heading2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2" w:customStyle="1">
    <w:name w:val="caption2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Style36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D373A-504E-4DCB-BCD0-776C6433C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Application>AlterOffice/2026.2.0.0$Linux_X86_64 LibreOffice_project/bc4ef1adf80b36c7a6365f8ed6cbf29021361edd</Application>
  <AppVersion>15.0000</AppVersion>
  <Pages>8</Pages>
  <Words>1290</Words>
  <Characters>8582</Characters>
  <CharactersWithSpaces>9759</CharactersWithSpaces>
  <Paragraphs>188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2026-05-28T07:23:00Z</dcterms:created>
  <dc:creator>Быстров Олег Геннадьевич</dc:creator>
  <dc:description/>
  <dc:language>ru-RU</dc:language>
  <cp:lastModifiedBy>gribovsa@corp.gidroogk.com</cp:lastModifiedBy>
  <dcterms:modified xsi:type="dcterms:W3CDTF">2026-10-06T15:30:07Z</dcterms:modified>
  <cp:revision>11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