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  <w:shd w:fill="FFFFFF" w:val="clear"/>
        </w:rPr>
      </w:pPr>
      <w:r>
        <w:rPr>
          <w:rFonts w:eastAsia="Calibri"/>
          <w:b/>
          <w:i/>
          <w:sz w:val="22"/>
          <w:szCs w:val="22"/>
          <w:shd w:fill="FFFFFF" w:val="clear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  <w:shd w:fill="FFFFFF" w:val="clear"/>
        </w:rPr>
      </w:pPr>
      <w:r>
        <w:rPr>
          <w:rFonts w:eastAsia="Calibri"/>
          <w:b/>
          <w:i/>
          <w:sz w:val="22"/>
          <w:szCs w:val="22"/>
          <w:shd w:fill="FFFFFF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  <w:shd w:fill="FFFFFF" w:val="clear"/>
        </w:rPr>
      </w:pPr>
      <w:r>
        <w:rPr>
          <w:rFonts w:eastAsia="Calibri"/>
          <w:b/>
          <w:i/>
          <w:sz w:val="22"/>
          <w:szCs w:val="22"/>
          <w:shd w:fill="FFFFFF" w:val="clear"/>
        </w:rPr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  <w:sz w:val="22"/>
          <w:szCs w:val="22"/>
          <w:shd w:fill="FFFFFF" w:val="clear"/>
        </w:rPr>
      </w:pPr>
      <w:r>
        <w:rPr>
          <w:b/>
          <w:i/>
          <w:sz w:val="22"/>
          <w:szCs w:val="22"/>
          <w:shd w:fill="FFFFFF" w:val="clear"/>
        </w:rPr>
        <w:t>ОКПД2 27.90.12. 120 Поставка вводов высоковольтных для нужд филиалов АО «ДРСК» «Приморские электрические сети»</w:t>
      </w:r>
      <w:r>
        <w:rPr>
          <w:rFonts w:eastAsia="Calibri"/>
          <w:b/>
          <w:i/>
          <w:sz w:val="22"/>
          <w:szCs w:val="22"/>
          <w:shd w:fill="FFFFFF" w:val="clear"/>
        </w:rPr>
        <w:t xml:space="preserve"> </w:t>
      </w:r>
      <w:r>
        <w:rPr>
          <w:rFonts w:eastAsia="Calibri"/>
          <w:b/>
          <w:i/>
          <w:sz w:val="22"/>
          <w:szCs w:val="22"/>
          <w:shd w:fill="FFFFFF" w:val="clear"/>
        </w:rPr>
        <w:t>и «Хабаровские электрические сети».</w:t>
      </w:r>
    </w:p>
    <w:p>
      <w:pPr>
        <w:pStyle w:val="Normal"/>
        <w:spacing w:before="240" w:after="0"/>
        <w:ind w:left="426" w:right="0" w:hanging="0"/>
        <w:jc w:val="center"/>
        <w:rPr>
          <w:rFonts w:eastAsia="Calibri"/>
          <w:b/>
          <w:i/>
          <w:i/>
          <w:sz w:val="22"/>
          <w:szCs w:val="22"/>
          <w:shd w:fill="FFFFFF" w:val="clear"/>
        </w:rPr>
      </w:pPr>
      <w:r>
        <w:rPr>
          <w:rFonts w:eastAsia="Calibri"/>
          <w:b/>
          <w:i/>
          <w:sz w:val="22"/>
          <w:szCs w:val="22"/>
          <w:shd w:fill="FFFFFF" w:val="clear"/>
        </w:rPr>
        <w:t>Лот № 10501-РЕМ ПРОД-2027-ДРСК</w:t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709" w:right="678" w:gutter="0" w:header="709" w:top="765" w:footer="194" w:bottom="567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240" w:after="0"/>
        <w:ind w:left="426" w:right="0" w:hanging="0"/>
        <w:jc w:val="center"/>
        <w:rPr>
          <w:rFonts w:eastAsia="Calibri"/>
          <w:b/>
          <w:i/>
          <w:i/>
          <w:sz w:val="22"/>
          <w:szCs w:val="22"/>
          <w:shd w:fill="FFFFFF" w:val="clear"/>
        </w:rPr>
      </w:pPr>
      <w:r>
        <w:rPr>
          <w:rFonts w:eastAsia="Calibri"/>
          <w:b/>
          <w:i/>
          <w:sz w:val="22"/>
          <w:szCs w:val="22"/>
          <w:shd w:fill="FFFFFF" w:val="clear"/>
        </w:rPr>
      </w:r>
    </w:p>
    <w:p>
      <w:pPr>
        <w:pStyle w:val="Heading1"/>
        <w:keepLines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Общие сведения</w:t>
      </w: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Обозначения и сокращения</w:t>
      </w:r>
    </w:p>
    <w:tbl>
      <w:tblPr>
        <w:tblW w:w="9863" w:type="dxa"/>
        <w:jc w:val="left"/>
        <w:tblInd w:w="4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8078"/>
      </w:tblGrid>
      <w:tr>
        <w:trPr>
          <w:trHeight w:val="23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8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</w:tbl>
    <w:p>
      <w:pPr>
        <w:pStyle w:val="Normal"/>
        <w:spacing w:before="240" w:after="0"/>
        <w:ind w:left="426" w:right="0"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1.2.  Наименование продукции: </w:t>
      </w:r>
      <w:r>
        <w:rPr>
          <w:b/>
          <w:i/>
          <w:sz w:val="22"/>
          <w:szCs w:val="22"/>
        </w:rPr>
        <w:t>Ввода высоковольтные</w:t>
      </w:r>
    </w:p>
    <w:p>
      <w:pPr>
        <w:pStyle w:val="Normal"/>
        <w:spacing w:before="240" w:after="0"/>
        <w:ind w:left="426" w:right="0" w:hanging="0"/>
        <w:rPr>
          <w:sz w:val="22"/>
          <w:szCs w:val="22"/>
        </w:rPr>
      </w:pPr>
      <w:r>
        <w:rPr>
          <w:b/>
          <w:sz w:val="22"/>
          <w:szCs w:val="22"/>
        </w:rPr>
        <w:t>2. ТРЕБОВАНИЯ К ПРОДУКЦИИ</w:t>
      </w:r>
    </w:p>
    <w:p>
      <w:pPr>
        <w:pStyle w:val="Normal"/>
        <w:spacing w:before="240" w:after="0"/>
        <w:ind w:left="426" w:right="0" w:hanging="0"/>
        <w:rPr>
          <w:sz w:val="22"/>
          <w:szCs w:val="22"/>
        </w:rPr>
      </w:pPr>
      <w:r>
        <w:rPr>
          <w:b/>
          <w:i/>
          <w:sz w:val="22"/>
          <w:szCs w:val="22"/>
          <w:u w:val="single"/>
        </w:rPr>
        <w:t>2.1 Требования к объёмам и срокам поставки продукции</w:t>
      </w:r>
    </w:p>
    <w:p>
      <w:pPr>
        <w:pStyle w:val="Heading2"/>
        <w:keepNext w:val="false"/>
        <w:tabs>
          <w:tab w:val="clear" w:pos="1134"/>
        </w:tabs>
        <w:spacing w:before="280" w:after="280"/>
        <w:ind w:left="426" w:right="0" w:hanging="0"/>
        <w:rPr>
          <w:color w:val="000000"/>
          <w:sz w:val="22"/>
          <w:szCs w:val="22"/>
        </w:rPr>
      </w:pPr>
      <w:r>
        <w:rPr>
          <w:sz w:val="22"/>
          <w:szCs w:val="22"/>
        </w:rPr>
        <w:t>2.1.1 ПЕРЕЧЕНЬ И ОБЪЁМ ПРОДУКЦИИ</w:t>
      </w:r>
    </w:p>
    <w:p>
      <w:pPr>
        <w:pStyle w:val="Heading1"/>
        <w:keepLines/>
        <w:ind w:left="426" w:right="0" w:hang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Таблица 1. Перечень и объем закупаемой продукции</w:t>
      </w:r>
    </w:p>
    <w:tbl>
      <w:tblPr>
        <w:tblW w:w="149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0824"/>
        <w:gridCol w:w="1476"/>
        <w:gridCol w:w="2045"/>
      </w:tblGrid>
      <w:tr>
        <w:trPr>
          <w:trHeight w:val="255" w:hRule="atLeast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Требование Заказчика</w:t>
            </w:r>
            <w:r>
              <w:rPr>
                <w:rStyle w:val="Style5"/>
                <w:rStyle w:val="FootnoteReference"/>
                <w:b/>
                <w:bCs/>
                <w:sz w:val="22"/>
                <w:szCs w:val="22"/>
              </w:rPr>
              <w:footnoteReference w:customMarkFollows="1" w:id="2"/>
              <w:t>*</w:t>
            </w:r>
          </w:p>
        </w:tc>
      </w:tr>
      <w:tr>
        <w:trPr>
          <w:trHeight w:val="255" w:hRule="atLeast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0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5" w:hRule="atLeast"/>
        </w:trPr>
        <w:tc>
          <w:tcPr>
            <w:tcW w:w="14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spacing w:lineRule="auto" w:line="240" w:before="0" w:after="0"/>
              <w:ind w:left="1440" w:right="0" w:hanging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филиал АО «ДРСК» «</w:t>
            </w:r>
            <w:r>
              <w:rPr>
                <w:rFonts w:cs="Times New Roman" w:ascii="Times New Roman" w:hAnsi="Times New Roman"/>
                <w:b/>
              </w:rPr>
              <w:t>Приморские</w:t>
            </w:r>
            <w:r>
              <w:rPr>
                <w:rFonts w:cs="Times New Roman" w:ascii="Times New Roman" w:hAnsi="Times New Roman"/>
                <w:b/>
              </w:rPr>
              <w:t xml:space="preserve"> электрические сети»</w:t>
            </w:r>
          </w:p>
        </w:tc>
      </w:tr>
      <w:tr>
        <w:trPr>
          <w:trHeight w:val="307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sz w:val="22"/>
                <w:szCs w:val="22"/>
                <w:shd w:fill="FFFFFF" w:val="clear"/>
              </w:rPr>
              <w:t>Ввод высоковольтный BRIT-R-90-110-550/800 КН 1.9.003-RУ</w:t>
            </w:r>
            <w:r>
              <w:rPr>
                <w:bCs/>
                <w:sz w:val="22"/>
                <w:szCs w:val="22"/>
                <w:shd w:fill="FFFFFF" w:val="clear"/>
              </w:rPr>
              <w:t>, согласно чертежу №1,приложению №1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шт.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1</w:t>
            </w:r>
          </w:p>
        </w:tc>
      </w:tr>
      <w:tr>
        <w:trPr>
          <w:trHeight w:val="223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Default"/>
              <w:widowControl w:val="false"/>
              <w:rPr/>
            </w:pP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eastAsia="zh-CN"/>
              </w:rPr>
              <w:t>Ввод высоковольтный BRI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val="en-US" w:eastAsia="zh-CN"/>
              </w:rPr>
              <w:t>T-R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eastAsia="zh-CN"/>
              </w:rPr>
              <w:t>-90-110-550/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val="en-US" w:eastAsia="zh-CN"/>
              </w:rPr>
              <w:t xml:space="preserve">800 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eastAsia="zh-CN"/>
              </w:rPr>
              <w:t xml:space="preserve">KH 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val="en-US" w:eastAsia="zh-CN"/>
              </w:rPr>
              <w:t>1.9.004-RУ</w:t>
            </w:r>
            <w:r>
              <w:rPr>
                <w:rFonts w:eastAsia="Times New Roman"/>
                <w:color w:val="000000"/>
                <w:sz w:val="22"/>
                <w:szCs w:val="22"/>
                <w:shd w:fill="FFFFFF" w:val="clear"/>
                <w:lang w:eastAsia="zh-CN"/>
              </w:rPr>
              <w:t xml:space="preserve">, согласно </w:t>
            </w:r>
            <w:r>
              <w:rPr>
                <w:rFonts w:eastAsia="Times New Roman"/>
                <w:bCs/>
                <w:color w:val="000000"/>
                <w:sz w:val="22"/>
                <w:szCs w:val="22"/>
                <w:shd w:fill="FFFFFF" w:val="clear"/>
                <w:lang w:eastAsia="zh-CN"/>
              </w:rPr>
              <w:t>чертежу №</w:t>
            </w:r>
            <w:r>
              <w:rPr>
                <w:rFonts w:eastAsia="Times New Roman"/>
                <w:bCs/>
                <w:color w:val="000000"/>
                <w:sz w:val="22"/>
                <w:szCs w:val="22"/>
                <w:shd w:fill="FFFFFF" w:val="clear"/>
                <w:lang w:val="en-US" w:eastAsia="zh-CN"/>
              </w:rPr>
              <w:t xml:space="preserve">2, </w:t>
            </w:r>
            <w:r>
              <w:rPr>
                <w:rFonts w:eastAsia="Times New Roman"/>
                <w:bCs/>
                <w:color w:val="000000"/>
                <w:sz w:val="22"/>
                <w:szCs w:val="22"/>
                <w:shd w:fill="FFFFFF" w:val="clear"/>
                <w:lang w:val="ru-RU" w:eastAsia="zh-CN"/>
              </w:rPr>
              <w:t>приложению№2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шт.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sz w:val="22"/>
                <w:szCs w:val="22"/>
                <w:shd w:fill="FFFFFF" w:val="clear"/>
              </w:rPr>
              <w:t xml:space="preserve">Ввод высоковольтный ГНВ </w:t>
            </w:r>
            <w:r>
              <w:rPr>
                <w:sz w:val="22"/>
                <w:szCs w:val="22"/>
                <w:shd w:fill="FFFFFF" w:val="clear"/>
                <w:lang w:val="en-US"/>
              </w:rPr>
              <w:t>III</w:t>
            </w:r>
            <w:r>
              <w:rPr>
                <w:sz w:val="22"/>
                <w:szCs w:val="22"/>
                <w:shd w:fill="FFFFFF" w:val="clear"/>
              </w:rPr>
              <w:t>-60-126/</w:t>
            </w:r>
            <w:r>
              <w:rPr>
                <w:sz w:val="22"/>
                <w:szCs w:val="22"/>
                <w:shd w:fill="FFFFFF" w:val="clear"/>
                <w:lang w:val="en-US"/>
              </w:rPr>
              <w:t>2</w:t>
            </w:r>
            <w:r>
              <w:rPr>
                <w:sz w:val="22"/>
                <w:szCs w:val="22"/>
                <w:shd w:fill="FFFFFF" w:val="clear"/>
              </w:rPr>
              <w:t xml:space="preserve">000 О1 чертеж ИВУЕ 686382.132, согласно </w:t>
            </w:r>
            <w:r>
              <w:rPr>
                <w:bCs/>
                <w:sz w:val="22"/>
                <w:szCs w:val="22"/>
                <w:shd w:fill="FFFFFF" w:val="clear"/>
              </w:rPr>
              <w:t>чертежу №3,приложению №3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шт.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</w:t>
            </w:r>
          </w:p>
        </w:tc>
      </w:tr>
      <w:tr>
        <w:trPr>
          <w:trHeight w:val="307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/>
            </w:pP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 xml:space="preserve">Ввод высоковольтный 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ru-RU"/>
              </w:rPr>
              <w:t>ГКВ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IV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>-60-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40,5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>/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1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 xml:space="preserve">000 О1 чертеж ИВУЕ 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686351.330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>, согласно чертежу №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4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</w:rPr>
              <w:t>,приложению №</w:t>
            </w:r>
            <w:r>
              <w:rPr>
                <w:rFonts w:cs="Times New Roman"/>
                <w:b w:val="false"/>
                <w:bCs w:val="false"/>
                <w:sz w:val="22"/>
                <w:szCs w:val="22"/>
                <w:shd w:fill="FFFFFF" w:val="clear"/>
                <w:lang w:val="en-US"/>
              </w:rPr>
              <w:t>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  <w:lang w:val="ru-RU"/>
              </w:rPr>
            </w:pPr>
            <w:r>
              <w:rPr>
                <w:shd w:fill="FFFFFF" w:val="clear"/>
                <w:lang w:val="ru-RU"/>
              </w:rPr>
              <w:t>шт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</w:t>
            </w:r>
          </w:p>
        </w:tc>
      </w:tr>
      <w:tr>
        <w:trPr>
          <w:trHeight w:val="307" w:hRule="atLeast"/>
        </w:trPr>
        <w:tc>
          <w:tcPr>
            <w:tcW w:w="149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0"/>
                <w:numId w:val="0"/>
              </w:numPr>
              <w:spacing w:lineRule="auto" w:line="240" w:before="0" w:after="0"/>
              <w:ind w:left="1440" w:right="0" w:hanging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филиал АО «ДРСК» «Хабаровские электрические сети»</w:t>
            </w:r>
          </w:p>
        </w:tc>
      </w:tr>
      <w:tr>
        <w:trPr>
          <w:trHeight w:val="307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 w:val="false"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BRIB-90-110-550/2000 KH 1.9.008-Y 135кВ 2000А 550х2882мм 1138мм, BRIB-90-110-550/2000 KH 1.9.008, 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согласно приложению №5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>
        <w:trPr>
          <w:trHeight w:val="307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0"/>
              <w:numPr>
                <w:ilvl w:val="1"/>
                <w:numId w:val="7"/>
              </w:numPr>
              <w:snapToGrid w:val="false"/>
              <w:spacing w:lineRule="auto" w:line="240" w:before="0" w:after="0"/>
              <w:ind w:left="311" w:right="37" w:hanging="360"/>
              <w:contextualSpacing/>
              <w:rPr>
                <w:rFonts w:ascii="Times New Roman" w:hAnsi="Times New Roman" w:cs="Times New Roman"/>
                <w:b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</w:r>
          </w:p>
        </w:tc>
        <w:tc>
          <w:tcPr>
            <w:tcW w:w="10824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 w:cs="Times New Roman"/>
                <w:b w:val="false"/>
                <w:bCs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BRIB-90-35-195/1000 KH 1.9.009 40.5кВ 1000А, 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согласно приложению №5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>
      <w:pPr>
        <w:pStyle w:val="Normal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true"/>
        <w:autoSpaceDE w:val="true"/>
        <w:spacing w:before="120" w:after="120"/>
        <w:ind w:left="567" w:right="-142" w:hanging="0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>2.1.2 ТРЕБОВАНИЯ К СРОКАМ ПОСТАВКИ ПРОДУКЦИИ</w:t>
      </w:r>
    </w:p>
    <w:p>
      <w:pPr>
        <w:pStyle w:val="Normal"/>
        <w:suppressAutoHyphens w:val="true"/>
        <w:autoSpaceDE w:val="true"/>
        <w:spacing w:before="120" w:after="120"/>
        <w:ind w:left="567" w:right="-142" w:hanging="0"/>
        <w:rPr>
          <w:b/>
          <w:bCs/>
          <w:color w:val="000000"/>
          <w:sz w:val="22"/>
          <w:szCs w:val="22"/>
        </w:rPr>
      </w:pPr>
      <w:r>
        <w:rPr/>
        <w:t>Таблица 2 Требования по срокам поставки</w:t>
      </w:r>
    </w:p>
    <w:tbl>
      <w:tblPr>
        <w:tblW w:w="1481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531"/>
        <w:gridCol w:w="4108"/>
        <w:gridCol w:w="447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3"/>
              <w:keepNext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keepNext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960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numPr>
                <w:ilvl w:val="0"/>
                <w:numId w:val="4"/>
              </w:numPr>
              <w:suppressAutoHyphens w:val="true"/>
              <w:snapToGrid w:val="false"/>
              <w:spacing w:lineRule="auto" w:line="240"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rPr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Высоковольтные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sz w:val="22"/>
                <w:szCs w:val="22"/>
              </w:rPr>
              <w:t>вводы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sz w:val="22"/>
                <w:szCs w:val="22"/>
              </w:rPr>
              <w:t>Таблица 1</w:t>
            </w:r>
          </w:p>
          <w:p>
            <w:pPr>
              <w:pStyle w:val="Normal"/>
              <w:ind w:left="876" w:right="0" w:hanging="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snapToGrid w:val="false"/>
              <w:rPr>
                <w:bCs/>
                <w:sz w:val="22"/>
                <w:szCs w:val="22"/>
                <w:highlight w:val="none"/>
                <w:shd w:fill="auto" w:val="clear"/>
              </w:rPr>
            </w:pPr>
            <w:r>
              <w:rPr>
                <w:bCs/>
                <w:sz w:val="22"/>
                <w:szCs w:val="22"/>
                <w:shd w:fill="auto" w:val="clear"/>
              </w:rPr>
              <w:t xml:space="preserve">       </w:t>
            </w:r>
            <w:r>
              <w:rPr>
                <w:bCs/>
                <w:sz w:val="22"/>
                <w:szCs w:val="22"/>
                <w:shd w:fill="auto" w:val="clear"/>
              </w:rPr>
              <w:t>с даты подписания договора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Cs/>
                <w:iCs/>
                <w:sz w:val="22"/>
                <w:szCs w:val="22"/>
              </w:rPr>
              <w:t xml:space="preserve">в течение </w:t>
            </w:r>
            <w:r>
              <w:rPr>
                <w:bCs/>
                <w:iCs/>
                <w:sz w:val="22"/>
                <w:szCs w:val="22"/>
              </w:rPr>
              <w:t>90</w:t>
            </w:r>
            <w:r>
              <w:rPr>
                <w:bCs/>
                <w:iCs/>
                <w:sz w:val="22"/>
                <w:szCs w:val="22"/>
              </w:rPr>
              <w:t xml:space="preserve"> календарных дней </w:t>
            </w:r>
            <w:r>
              <w:rPr>
                <w:bCs/>
                <w:sz w:val="22"/>
                <w:szCs w:val="22"/>
              </w:rPr>
              <w:t xml:space="preserve">с </w:t>
            </w:r>
            <w:r>
              <w:rPr>
                <w:bCs/>
                <w:sz w:val="22"/>
                <w:szCs w:val="22"/>
              </w:rPr>
              <w:t>даты подписания договора</w:t>
            </w:r>
          </w:p>
        </w:tc>
      </w:tr>
    </w:tbl>
    <w:p>
      <w:pPr>
        <w:pStyle w:val="Normal"/>
        <w:suppressAutoHyphens w:val="true"/>
        <w:autoSpaceDE w:val="true"/>
        <w:spacing w:before="120" w:after="120"/>
        <w:ind w:left="567" w:right="-142" w:hanging="0"/>
        <w:rPr>
          <w:b/>
          <w:bCs/>
          <w:color w:val="000000"/>
          <w:sz w:val="22"/>
          <w:szCs w:val="22"/>
        </w:rPr>
      </w:pPr>
      <w:r>
        <w:rPr>
          <w:b/>
          <w:i/>
          <w:sz w:val="22"/>
          <w:szCs w:val="22"/>
          <w:u w:val="single"/>
        </w:rPr>
        <w:t xml:space="preserve">2.2. Требования к качеству продукции </w:t>
      </w:r>
    </w:p>
    <w:p>
      <w:pPr>
        <w:pStyle w:val="Normal"/>
        <w:suppressAutoHyphens w:val="true"/>
        <w:autoSpaceDE w:val="true"/>
        <w:spacing w:before="120" w:after="120"/>
        <w:ind w:left="567" w:right="-142" w:hanging="0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Таблица 3 Требования к продукции </w:t>
      </w:r>
      <w:r>
        <w:rPr>
          <w:b/>
          <w:i/>
          <w:sz w:val="22"/>
          <w:szCs w:val="22"/>
        </w:rPr>
        <w:t>Ввода высоковольтные</w:t>
      </w:r>
    </w:p>
    <w:p>
      <w:pPr>
        <w:pStyle w:val="Normal"/>
        <w:suppressAutoHyphens w:val="true"/>
        <w:autoSpaceDE w:val="true"/>
        <w:spacing w:before="120" w:after="120"/>
        <w:ind w:left="567" w:right="-142" w:hanging="0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продукции </w:t>
      </w:r>
      <w:r>
        <w:rPr>
          <w:b/>
          <w:bCs/>
          <w:i/>
          <w:iCs/>
          <w:sz w:val="22"/>
          <w:szCs w:val="22"/>
        </w:rPr>
        <w:t>(позиция № 1.1-1.</w:t>
      </w:r>
      <w:r>
        <w:rPr>
          <w:b/>
          <w:bCs/>
          <w:i/>
          <w:iCs/>
          <w:sz w:val="22"/>
          <w:szCs w:val="22"/>
        </w:rPr>
        <w:t>6</w:t>
      </w:r>
      <w:r>
        <w:rPr>
          <w:b/>
          <w:bCs/>
          <w:i/>
          <w:iCs/>
          <w:sz w:val="22"/>
          <w:szCs w:val="22"/>
        </w:rPr>
        <w:t xml:space="preserve"> Таблицы 1):</w:t>
      </w:r>
      <w:r>
        <w:rPr>
          <w:b/>
          <w:bCs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Ввода высоковольтные</w:t>
      </w:r>
    </w:p>
    <w:tbl>
      <w:tblPr>
        <w:tblW w:w="15067" w:type="dxa"/>
        <w:jc w:val="left"/>
        <w:tblInd w:w="4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977"/>
        <w:gridCol w:w="3602"/>
        <w:gridCol w:w="2628"/>
        <w:gridCol w:w="2573"/>
        <w:gridCol w:w="2437"/>
      </w:tblGrid>
      <w:tr>
        <w:trPr>
          <w:trHeight w:val="201" w:hRule="atLeast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176" w:right="144" w:hanging="0"/>
              <w:jc w:val="center"/>
              <w:rPr/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31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3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172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Заказчика</w:t>
            </w:r>
          </w:p>
        </w:tc>
        <w:tc>
          <w:tcPr>
            <w:tcW w:w="5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567" w:right="-14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-124" w:righ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>
          <w:trHeight w:val="300" w:hRule="atLeast"/>
        </w:trPr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6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88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требованием/Указание характеристик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подтверждающего документа</w:t>
            </w:r>
          </w:p>
        </w:tc>
        <w:tc>
          <w:tcPr>
            <w:tcW w:w="24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7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к техническим и функциональным характеристикам в отношении продукции представлены в Приложении № 1 к настоящим Техническим требованиям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Cs/>
                <w:i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Предоставить заполненные опросной лист приложение № 1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170" w:right="340" w:hanging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74" w:hanging="0"/>
              <w:rPr>
                <w:bCs/>
                <w:i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</w:t>
            </w:r>
            <w:r>
              <w:rPr>
                <w:color w:val="000000"/>
                <w:sz w:val="22"/>
                <w:szCs w:val="22"/>
              </w:rPr>
              <w:t>вводов высоковольтных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ГОСТ Р 55187-2012</w:t>
            </w:r>
            <w:r>
              <w:rPr>
                <w:rStyle w:val="FootnoteReference1"/>
                <w:rStyle w:val="FootnoteReference"/>
                <w:b/>
                <w:sz w:val="22"/>
                <w:szCs w:val="22"/>
              </w:rPr>
              <w:footnoteReference w:id="3"/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i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eastAsia="Sylfaen"/>
                <w:i/>
                <w:sz w:val="22"/>
                <w:szCs w:val="22"/>
              </w:rPr>
              <w:t xml:space="preserve">Предоставить копии документа о соответствии </w:t>
            </w:r>
            <w:r>
              <w:rPr>
                <w:i/>
                <w:color w:val="000000"/>
                <w:sz w:val="22"/>
                <w:szCs w:val="22"/>
              </w:rPr>
              <w:t>вводов высоковольтных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72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4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firstLine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74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менее, чем на 60 месяцев. Время начала исчисления гарантийного срока с момента подписания ТОРГ-12 или УПД.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Указать срок гарантии на продукцию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72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14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сроку выпуска продукции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927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Calibri"/>
                <w:sz w:val="22"/>
                <w:szCs w:val="22"/>
                <w:lang w:eastAsia="en-US"/>
              </w:rPr>
              <w:t>Продукция должна быть ново</w:t>
            </w:r>
            <w:r>
              <w:rPr>
                <w:rFonts w:eastAsia="Calibri"/>
                <w:sz w:val="22"/>
                <w:szCs w:val="22"/>
                <w:shd w:fill="auto" w:val="clear"/>
                <w:lang w:eastAsia="en-US"/>
              </w:rPr>
              <w:t xml:space="preserve">й </w:t>
            </w:r>
            <w:r>
              <w:rPr>
                <w:sz w:val="22"/>
                <w:szCs w:val="22"/>
                <w:shd w:fill="auto" w:val="clear"/>
              </w:rPr>
              <w:t>2026-2027 гг. вы</w:t>
            </w:r>
            <w:r>
              <w:rPr>
                <w:sz w:val="22"/>
                <w:szCs w:val="22"/>
              </w:rPr>
              <w:t>пуска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и ранее неиспользованной. (</w:t>
            </w:r>
            <w:r>
              <w:rPr>
                <w:sz w:val="22"/>
                <w:szCs w:val="22"/>
              </w:rPr>
              <w:t>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-//-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72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14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Требование к доставке 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927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ind w:left="0" w:right="14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 продукции для филиала АО «ДРСК» «Приморские электрические сети»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быть доставле</w:t>
            </w:r>
            <w:r>
              <w:rPr>
                <w:sz w:val="22"/>
                <w:szCs w:val="22"/>
                <w:shd w:fill="auto" w:val="clear"/>
              </w:rPr>
              <w:t xml:space="preserve">на: </w:t>
            </w:r>
          </w:p>
          <w:p>
            <w:pPr>
              <w:pStyle w:val="Normal"/>
              <w:widowControl w:val="false"/>
              <w:bidi w:val="0"/>
              <w:ind w:left="0" w:right="0" w:hanging="0"/>
              <w:rPr>
                <w:color w:val="000000"/>
                <w:spacing w:val="-1"/>
                <w:sz w:val="22"/>
                <w:szCs w:val="22"/>
                <w:shd w:fill="81D41A" w:val="clear"/>
              </w:rPr>
            </w:pPr>
            <w:r>
              <w:rPr>
                <w:sz w:val="22"/>
                <w:szCs w:val="22"/>
                <w:shd w:fill="auto" w:val="clear"/>
              </w:rPr>
              <w:t>692524, РФ, Приморский край,</w:t>
            </w:r>
          </w:p>
          <w:p>
            <w:pPr>
              <w:pStyle w:val="Normal"/>
              <w:jc w:val="center"/>
              <w:rPr>
                <w:color w:val="000000"/>
                <w:spacing w:val="-1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pacing w:val="-1"/>
                <w:sz w:val="22"/>
                <w:szCs w:val="22"/>
                <w:shd w:fill="auto" w:val="clear"/>
              </w:rPr>
              <w:t>г. Уссурийск, ул. Резервная, 22А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927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ind w:left="0" w:right="14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и способ поставки </w:t>
            </w:r>
            <w:r>
              <w:rPr>
                <w:sz w:val="22"/>
                <w:szCs w:val="22"/>
              </w:rPr>
              <w:t>продукции</w:t>
            </w:r>
            <w:r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филиала АО «ДРСК» «Хабаровские электрические сети», позиция № 1.5</w:t>
            </w:r>
          </w:p>
        </w:tc>
        <w:tc>
          <w:tcPr>
            <w:tcW w:w="36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680009, Хабаровский край, г. Хабаровск, ул. Промышленная, 13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b w:val="false"/>
                <w:bCs w:val="false"/>
                <w:i/>
                <w:iCs/>
                <w:sz w:val="22"/>
                <w:szCs w:val="22"/>
              </w:rPr>
              <w:t>Указать место и способ поставки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927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ind w:left="0" w:right="14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и способ поставки </w:t>
            </w:r>
            <w:r>
              <w:rPr>
                <w:sz w:val="22"/>
                <w:szCs w:val="22"/>
              </w:rPr>
              <w:t>продукции</w:t>
            </w:r>
            <w:r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филиала АО «ДРСК» «Хабаровские электрические сети», позиция № 1.6</w:t>
            </w:r>
          </w:p>
        </w:tc>
        <w:tc>
          <w:tcPr>
            <w:tcW w:w="36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1"/>
                <w:sz w:val="22"/>
                <w:szCs w:val="22"/>
              </w:rPr>
              <w:t>681000, г. Комсомольск-на-Амуре, ул. Аллея труда 16.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 w:val="false"/>
                <w:bCs w:val="false"/>
                <w:i/>
                <w:i/>
                <w:iCs/>
                <w:sz w:val="22"/>
                <w:szCs w:val="22"/>
              </w:rPr>
            </w:pPr>
            <w:r>
              <w:rPr>
                <w:b w:val="false"/>
                <w:bCs w:val="false"/>
                <w:i/>
                <w:iCs/>
                <w:sz w:val="22"/>
                <w:szCs w:val="22"/>
              </w:rPr>
              <w:t>Указать место и способ поставки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72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14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Прочие (дополнительные) требования к продукции</w:t>
            </w:r>
          </w:p>
        </w:tc>
      </w:tr>
      <w:tr>
        <w:trPr>
          <w:trHeight w:val="30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927" w:right="-142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ind w:left="0" w:right="145" w:hanging="0"/>
              <w:rPr/>
            </w:pPr>
            <w:r>
              <w:rPr>
                <w:sz w:val="22"/>
                <w:szCs w:val="22"/>
              </w:rPr>
              <w:t xml:space="preserve">Подтверждение технических характеристик </w:t>
            </w:r>
            <w:r>
              <w:rPr>
                <w:color w:val="000000"/>
                <w:sz w:val="22"/>
                <w:szCs w:val="22"/>
              </w:rPr>
              <w:t xml:space="preserve">вводов высоковольтных, </w:t>
            </w:r>
            <w:r>
              <w:rPr>
                <w:sz w:val="22"/>
                <w:szCs w:val="22"/>
              </w:rPr>
              <w:t>указанных в пунктах 4-10 Таблицы 1 Приложения 1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должен предоставить протоколы с результатами квалификационных испытаний, согласно требований п.п. 8.1 и 8.5 ГОСТ Р 55187-2012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eastAsia="Sylfaen"/>
                <w:i/>
                <w:sz w:val="22"/>
                <w:szCs w:val="22"/>
              </w:rPr>
              <w:t>Предоставить</w:t>
            </w:r>
            <w:r>
              <w:rPr>
                <w:rFonts w:eastAsia="Sylfaen"/>
                <w:sz w:val="22"/>
                <w:szCs w:val="22"/>
              </w:rPr>
              <w:t xml:space="preserve"> </w:t>
            </w:r>
            <w:r>
              <w:rPr>
                <w:rFonts w:eastAsia="Sylfaen"/>
                <w:i/>
                <w:sz w:val="22"/>
                <w:szCs w:val="22"/>
              </w:rPr>
              <w:t>протоколы периодических испытаний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suppressAutoHyphens w:val="true"/>
        <w:autoSpaceDE w:val="true"/>
        <w:spacing w:before="120" w:after="120"/>
        <w:ind w:left="567" w:right="593" w:firstLine="142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uppressAutoHyphens w:val="true"/>
        <w:autoSpaceDE w:val="true"/>
        <w:spacing w:before="120" w:after="120"/>
        <w:ind w:left="567" w:right="593" w:firstLine="142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>
        <w:rPr>
          <w:b/>
          <w:bCs/>
          <w:i/>
          <w:iCs/>
          <w:sz w:val="22"/>
          <w:szCs w:val="22"/>
          <w:u w:val="single"/>
        </w:rPr>
        <w:t>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567" w:right="593" w:firstLine="142"/>
        <w:jc w:val="both"/>
        <w:rPr>
          <w:b/>
          <w:bCs/>
          <w:color w:val="000000"/>
          <w:sz w:val="22"/>
          <w:szCs w:val="22"/>
        </w:rPr>
      </w:pPr>
      <w:r>
        <w:rPr>
          <w:bCs/>
          <w:iCs/>
          <w:sz w:val="22"/>
          <w:szCs w:val="22"/>
        </w:rPr>
        <w:t>3.1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autoSpaceDE w:val="true"/>
        <w:spacing w:before="0" w:after="120"/>
        <w:ind w:left="567" w:right="593" w:firstLine="142"/>
        <w:jc w:val="both"/>
        <w:rPr>
          <w:b/>
          <w:bCs/>
          <w:color w:val="000000"/>
          <w:sz w:val="22"/>
          <w:szCs w:val="22"/>
        </w:rPr>
      </w:pPr>
      <w:r>
        <w:rPr>
          <w:bCs/>
          <w:iCs/>
          <w:sz w:val="22"/>
          <w:szCs w:val="22"/>
        </w:rPr>
        <w:t>3.2.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34" w:leader="none"/>
        </w:tabs>
        <w:suppressAutoHyphens w:val="true"/>
        <w:autoSpaceDE w:val="true"/>
        <w:spacing w:before="120" w:after="120"/>
        <w:ind w:left="720" w:right="593" w:hanging="11"/>
        <w:rPr>
          <w:b/>
          <w:sz w:val="22"/>
          <w:szCs w:val="22"/>
          <w:shd w:fill="FFFFFF" w:val="clear"/>
        </w:rPr>
      </w:pPr>
      <w:r>
        <w:rPr>
          <w:b/>
          <w:sz w:val="22"/>
          <w:szCs w:val="22"/>
        </w:rPr>
        <w:t xml:space="preserve">ПРИЛОЖЕНИЕ 1 — Требования к продукции (Таблица 1 Высоковольтные ввода </w:t>
      </w:r>
      <w:r>
        <w:rPr>
          <w:b/>
          <w:sz w:val="22"/>
          <w:szCs w:val="22"/>
          <w:shd w:fill="FFFFFF" w:val="clear"/>
        </w:rPr>
        <w:t xml:space="preserve">BRIT-R-90-110-550/800 КН1.9.003RУ) </w:t>
      </w:r>
      <w:r>
        <w:rPr>
          <w:b/>
          <w:sz w:val="22"/>
          <w:szCs w:val="22"/>
          <w:shd w:fill="FFFFFF" w:val="clear"/>
        </w:rPr>
        <w:t>(п.1.1)</w:t>
      </w:r>
      <w:r>
        <w:rPr>
          <w:b/>
          <w:sz w:val="22"/>
          <w:szCs w:val="22"/>
          <w:shd w:fill="FFFFFF" w:val="clear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34" w:leader="none"/>
        </w:tabs>
        <w:suppressAutoHyphens w:val="true"/>
        <w:autoSpaceDE w:val="true"/>
        <w:spacing w:before="120" w:after="120"/>
        <w:ind w:left="720" w:right="593" w:hanging="11"/>
        <w:rPr>
          <w:b/>
          <w:sz w:val="22"/>
          <w:szCs w:val="22"/>
          <w:shd w:fill="FFFFFF" w:val="clear"/>
        </w:rPr>
      </w:pPr>
      <w:r>
        <w:rPr>
          <w:b/>
          <w:sz w:val="22"/>
          <w:szCs w:val="22"/>
          <w:shd w:fill="FFFFFF" w:val="clear"/>
        </w:rPr>
        <w:t xml:space="preserve">ПРИЛОЖЕНИЕ 2 — Требования к продукции (Таблица 2 Высоковольтные ввода BRIT-R-90-110-550/800 КН1.9.004RУ) </w:t>
      </w:r>
      <w:r>
        <w:rPr>
          <w:b/>
          <w:sz w:val="22"/>
          <w:szCs w:val="22"/>
          <w:shd w:fill="FFFFFF" w:val="clear"/>
        </w:rPr>
        <w:t>(п. 1.2)</w:t>
      </w:r>
      <w:r>
        <w:rPr>
          <w:b/>
          <w:sz w:val="22"/>
          <w:szCs w:val="22"/>
          <w:shd w:fill="FFFFFF" w:val="clear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34" w:leader="none"/>
        </w:tabs>
        <w:suppressAutoHyphens w:val="true"/>
        <w:autoSpaceDE w:val="true"/>
        <w:spacing w:before="120" w:after="120"/>
        <w:ind w:left="720" w:right="593" w:hanging="11"/>
        <w:rPr>
          <w:b/>
          <w:sz w:val="22"/>
          <w:szCs w:val="22"/>
          <w:shd w:fill="FFFFFF" w:val="clear"/>
        </w:rPr>
      </w:pPr>
      <w:r>
        <w:rPr>
          <w:b/>
          <w:sz w:val="22"/>
          <w:szCs w:val="22"/>
          <w:shd w:fill="FFFFFF" w:val="clear"/>
        </w:rPr>
        <w:t xml:space="preserve">ПРИЛОЖЕНИЕ 3 — Требования к продукции (Таблица 3 Высоковольтные ввода </w:t>
      </w:r>
      <w:r>
        <w:rPr>
          <w:b/>
          <w:sz w:val="20"/>
          <w:szCs w:val="20"/>
          <w:shd w:fill="FFFFFF" w:val="clear"/>
        </w:rPr>
        <w:t xml:space="preserve">ГНВ </w:t>
      </w:r>
      <w:r>
        <w:rPr>
          <w:b/>
          <w:sz w:val="20"/>
          <w:szCs w:val="20"/>
          <w:shd w:fill="FFFFFF" w:val="clear"/>
          <w:lang w:val="en-US"/>
        </w:rPr>
        <w:t>III</w:t>
      </w:r>
      <w:r>
        <w:rPr>
          <w:b/>
          <w:sz w:val="20"/>
          <w:szCs w:val="20"/>
          <w:shd w:fill="FFFFFF" w:val="clear"/>
        </w:rPr>
        <w:t>-60-126/2000 О1</w:t>
      </w:r>
      <w:r>
        <w:rPr>
          <w:rFonts w:eastAsia="Times New Roman"/>
          <w:b/>
          <w:sz w:val="20"/>
          <w:szCs w:val="20"/>
          <w:shd w:fill="FFFFFF" w:val="clear"/>
        </w:rPr>
        <w:t xml:space="preserve"> черт ИВУЕ 686382.132</w:t>
      </w:r>
      <w:r>
        <w:rPr>
          <w:b/>
          <w:sz w:val="22"/>
          <w:szCs w:val="22"/>
          <w:shd w:fill="FFFFFF" w:val="clear"/>
        </w:rPr>
        <w:t xml:space="preserve">) </w:t>
      </w:r>
      <w:r>
        <w:rPr>
          <w:b/>
          <w:sz w:val="22"/>
          <w:szCs w:val="22"/>
          <w:shd w:fill="FFFFFF" w:val="clear"/>
        </w:rPr>
        <w:t>(п. 1.3)</w:t>
      </w:r>
      <w:r>
        <w:rPr>
          <w:b/>
          <w:sz w:val="22"/>
          <w:szCs w:val="22"/>
          <w:shd w:fill="FFFFFF" w:val="clear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34" w:leader="none"/>
        </w:tabs>
        <w:suppressAutoHyphens w:val="true"/>
        <w:autoSpaceDE w:val="true"/>
        <w:spacing w:before="120" w:after="120"/>
        <w:ind w:left="720" w:right="593" w:hanging="11"/>
        <w:rPr>
          <w:b/>
          <w:sz w:val="22"/>
          <w:szCs w:val="22"/>
        </w:rPr>
      </w:pPr>
      <w:r>
        <w:rPr>
          <w:b/>
          <w:sz w:val="22"/>
          <w:szCs w:val="22"/>
          <w:shd w:fill="FFFFFF" w:val="clear"/>
        </w:rPr>
        <w:t xml:space="preserve">ПРИЛОЖЕНИЕ 4 — Требования к продукции (Таблица 4 Высоковольтные ввода </w:t>
      </w:r>
      <w:r>
        <w:rPr>
          <w:b/>
          <w:sz w:val="20"/>
          <w:szCs w:val="20"/>
          <w:shd w:fill="FFFFFF" w:val="clear"/>
        </w:rPr>
        <w:t xml:space="preserve">ГКВ </w:t>
      </w:r>
      <w:r>
        <w:rPr>
          <w:b/>
          <w:sz w:val="20"/>
          <w:szCs w:val="20"/>
          <w:shd w:fill="FFFFFF" w:val="clear"/>
          <w:lang w:val="en-US"/>
        </w:rPr>
        <w:t>IV</w:t>
      </w:r>
      <w:r>
        <w:rPr>
          <w:b/>
          <w:sz w:val="20"/>
          <w:szCs w:val="20"/>
          <w:shd w:fill="FFFFFF" w:val="clear"/>
        </w:rPr>
        <w:t>-60-</w:t>
      </w:r>
      <w:r>
        <w:rPr>
          <w:b/>
          <w:sz w:val="20"/>
          <w:szCs w:val="20"/>
          <w:shd w:fill="FFFFFF" w:val="clear"/>
          <w:lang w:val="en-US"/>
        </w:rPr>
        <w:t>40,5</w:t>
      </w:r>
      <w:r>
        <w:rPr>
          <w:b/>
          <w:sz w:val="20"/>
          <w:szCs w:val="20"/>
          <w:shd w:fill="FFFFFF" w:val="clear"/>
        </w:rPr>
        <w:t>/</w:t>
      </w:r>
      <w:r>
        <w:rPr>
          <w:b/>
          <w:sz w:val="20"/>
          <w:szCs w:val="20"/>
          <w:shd w:fill="FFFFFF" w:val="clear"/>
          <w:lang w:val="en-US"/>
        </w:rPr>
        <w:t>1</w:t>
      </w:r>
      <w:r>
        <w:rPr>
          <w:b/>
          <w:sz w:val="20"/>
          <w:szCs w:val="20"/>
          <w:shd w:fill="FFFFFF" w:val="clear"/>
        </w:rPr>
        <w:t>000 О1</w:t>
      </w:r>
      <w:r>
        <w:rPr>
          <w:rFonts w:eastAsia="Times New Roman"/>
          <w:b/>
          <w:sz w:val="20"/>
          <w:szCs w:val="20"/>
          <w:shd w:fill="FFFFFF" w:val="clear"/>
        </w:rPr>
        <w:t xml:space="preserve"> черт ИВУЕ </w:t>
      </w:r>
      <w:r>
        <w:rPr>
          <w:rFonts w:eastAsia="Times New Roman"/>
          <w:b/>
          <w:sz w:val="20"/>
          <w:szCs w:val="20"/>
          <w:shd w:fill="FFFFFF" w:val="clear"/>
          <w:lang w:val="en-US"/>
        </w:rPr>
        <w:t>686351.330</w:t>
      </w:r>
      <w:r>
        <w:rPr>
          <w:b/>
          <w:sz w:val="22"/>
          <w:szCs w:val="22"/>
          <w:shd w:fill="FFFFFF" w:val="clear"/>
        </w:rPr>
        <w:t xml:space="preserve">) </w:t>
      </w:r>
      <w:r>
        <w:rPr>
          <w:b/>
          <w:sz w:val="22"/>
          <w:szCs w:val="22"/>
          <w:shd w:fill="FFFFFF" w:val="clear"/>
        </w:rPr>
        <w:t>(п 1.4);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spacing w:before="120" w:after="120"/>
        <w:ind w:right="593" w:hang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8. </w:t>
        <w:tab/>
        <w:t xml:space="preserve">ПРИЛОЖЕНИЕ 5 - 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>Требования к продукции (Таблица 5 Высоковольтные ввода  35– 110 кВ (п. 1.5 — п.1.6)</w:t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Приложение № 1 Требования к продукции.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bCs/>
          <w:sz w:val="24"/>
          <w:szCs w:val="24"/>
        </w:rPr>
        <w:t xml:space="preserve">                                 </w:t>
      </w:r>
      <w:r>
        <w:rPr>
          <w:rFonts w:eastAsia="Calibri"/>
          <w:b/>
          <w:bCs/>
          <w:sz w:val="24"/>
          <w:szCs w:val="24"/>
        </w:rPr>
        <w:t>Таблица 1. Высоковольтные вводы 110 кВ</w:t>
      </w:r>
    </w:p>
    <w:tbl>
      <w:tblPr>
        <w:tblW w:w="15207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8"/>
        <w:gridCol w:w="5496"/>
        <w:gridCol w:w="4819"/>
        <w:gridCol w:w="4434"/>
      </w:tblGrid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Требование Заказчика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Предложение Участника</w:t>
            </w:r>
          </w:p>
        </w:tc>
      </w:tr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Технические характеристики 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Высоковольтный ввод 110кВ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Высоковольтный ввод </w:t>
            </w:r>
            <w:r>
              <w:rPr>
                <w:color w:val="000000"/>
              </w:rPr>
              <w:t>110 кВ</w:t>
            </w:r>
          </w:p>
        </w:tc>
      </w:tr>
      <w:tr>
        <w:trPr>
          <w:trHeight w:val="364" w:hRule="atLeast"/>
        </w:trPr>
        <w:tc>
          <w:tcPr>
            <w:tcW w:w="4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</w:t>
            </w:r>
          </w:p>
        </w:tc>
        <w:tc>
          <w:tcPr>
            <w:tcW w:w="54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Марка ввода, заводской чертеж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sz w:val="22"/>
                <w:szCs w:val="22"/>
                <w:shd w:fill="FFFFFF" w:val="clear"/>
              </w:rPr>
              <w:t xml:space="preserve">BRIT-R-90-110-550/800 КН1.9.003RУ </w:t>
            </w:r>
            <w:r>
              <w:rPr>
                <w:sz w:val="20"/>
                <w:szCs w:val="20"/>
                <w:shd w:fill="FFFFFF" w:val="clear"/>
              </w:rPr>
              <w:t xml:space="preserve">          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Default"/>
              <w:widowControl w:val="false"/>
              <w:snapToGrid w:val="false"/>
              <w:jc w:val="center"/>
              <w:rPr>
                <w:bCs/>
                <w:sz w:val="20"/>
                <w:szCs w:val="20"/>
                <w:shd w:fill="81D41A" w:val="clear"/>
              </w:rPr>
            </w:pPr>
            <w:r>
              <w:rPr>
                <w:bCs/>
                <w:sz w:val="20"/>
                <w:szCs w:val="20"/>
                <w:shd w:fill="81D41A" w:val="clear"/>
              </w:rPr>
            </w:r>
          </w:p>
        </w:tc>
      </w:tr>
      <w:tr>
        <w:trPr>
          <w:trHeight w:val="157" w:hRule="atLeast"/>
        </w:trPr>
        <w:tc>
          <w:tcPr>
            <w:tcW w:w="4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549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20"/>
                <w:szCs w:val="20"/>
                <w:shd w:fill="FFFFFF" w:val="clear"/>
              </w:rPr>
            </w:pPr>
            <w:r>
              <w:rPr>
                <w:bCs/>
                <w:color w:val="000000"/>
                <w:sz w:val="20"/>
                <w:szCs w:val="20"/>
                <w:shd w:fill="FFFFFF" w:val="clear"/>
              </w:rPr>
            </w:r>
          </w:p>
        </w:tc>
        <w:tc>
          <w:tcPr>
            <w:tcW w:w="92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Аналог должен соответствовать присоединительными и габаритным размерам указанных вводов</w:t>
            </w:r>
          </w:p>
        </w:tc>
      </w:tr>
      <w:tr>
        <w:trPr>
          <w:trHeight w:val="55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Номинальное/наибольшее рабочее линейное напряжение, не менее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110/135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81D41A" w:val="clear"/>
              </w:rPr>
            </w:pPr>
            <w:r>
              <w:rPr>
                <w:shd w:fill="81D41A" w:val="clear"/>
              </w:rPr>
            </w:r>
          </w:p>
        </w:tc>
      </w:tr>
      <w:tr>
        <w:trPr>
          <w:trHeight w:val="19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Номинальный рабочий ток, не менее (А)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800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81D41A" w:val="clear"/>
              </w:rPr>
            </w:pPr>
            <w:r>
              <w:rPr>
                <w:shd w:fill="81D41A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Максимальное фазное напряжение,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78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81D41A" w:val="clear"/>
              </w:rPr>
            </w:pPr>
            <w:r>
              <w:rPr>
                <w:shd w:fill="81D41A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5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термической стойкости в течении 2 секунд, кА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20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6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динамической стойкости, кА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7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Испытательное одноминутное напряжение промышленной частоты 50 Гц, в сухом состоянии/под дождем не менее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265/230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D0D0D"/>
              </w:rPr>
            </w:pPr>
            <w:r>
              <w:rPr>
                <w:color w:val="0D0D0D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8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Напряжение грозового испытательного импульса, 1.2/50 мкс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9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Сечение проводника при Imax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400мм</w:t>
            </w:r>
            <w:r>
              <w:rPr>
                <w:rFonts w:eastAsia="DejaVu Sans;Verdana" w:cs="DejaVu Sans;Verdana" w:ascii="DejaVu Sans;Verdana" w:hAnsi="DejaVu Sans;Verdana"/>
                <w:color w:val="000000"/>
                <w:shd w:fill="FFFFFF" w:val="clear"/>
              </w:rPr>
              <w:t>²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61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hd w:fill="FFFFFF" w:val="clear"/>
              </w:rPr>
              <w:t>Уровень частичных разрядов при напряжении 2,0*Umax/</w:t>
            </w:r>
            <w:r>
              <w:rPr>
                <w:rFonts w:eastAsia="DejaVu Sans;Verdana" w:cs="DejaVu Sans;Verdana" w:ascii="DejaVu Sans;Verdana" w:hAnsi="DejaVu Sans;Verdana"/>
                <w:color w:val="000000"/>
                <w:shd w:fill="FFFFFF" w:val="clear"/>
              </w:rPr>
              <w:t>√</w:t>
            </w:r>
            <w:r>
              <w:rPr>
                <w:color w:val="000000"/>
                <w:shd w:fill="FFFFFF" w:val="clear"/>
              </w:rPr>
              <w:t>3, пКл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 xml:space="preserve">не более 2  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1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Испытательная консольная нагрузка, Н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не менее 3150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12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Сейсмические воздействия по шкале MSK-64, не менее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 баллов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Степень загрязнения внешней изоляции наружной части ввода по ГОСТ 9920-89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 xml:space="preserve">не менее </w:t>
            </w:r>
            <w:r>
              <w:rPr>
                <w:color w:val="000000"/>
                <w:shd w:fill="FFFFFF" w:val="clear"/>
                <w:lang w:val="en-US"/>
              </w:rPr>
              <w:t>IV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14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пути утечки, мм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3900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00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15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Температура окружающей среды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-60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...+55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С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33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16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Угол установки к вертикали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...90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17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внутренней изоляции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 xml:space="preserve">RIP   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18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внешней изоляции/цвет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фарфор/коричневый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19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Масса, кг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145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ввода,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2700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нижней части,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942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Расстояние под установку трансформаторов тока,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472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фланца,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535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под отверстия,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480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25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Толщина фланца,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26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отверстий в опорном фланце,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24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27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Количество отверстий в опорном фланце, шт.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28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Расстояние под установку трансформаторов тока, размеры фланцев, отверстий, присоединительные, габаритные размеры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в соответствии с чертежом №1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29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Наличие производства и сервисного центра на территории России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30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shd w:fill="FFFFFF" w:val="clear"/>
              </w:rPr>
              <w:t xml:space="preserve">Полный цикл производства </w:t>
            </w:r>
            <w:r>
              <w:rPr>
                <w:shd w:fill="FFFFFF" w:val="clear"/>
                <w:lang w:val="en-US"/>
              </w:rPr>
              <w:t>RIP</w:t>
            </w:r>
            <w:r>
              <w:rPr>
                <w:shd w:fill="FFFFFF" w:val="clear"/>
              </w:rPr>
              <w:t xml:space="preserve"> остова на территории РФ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31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Наличие действующего сертификата соответствия (декларации) или протоколы испытаний от аккредитованной в «Росаккредитация» лаборатории с соответствующей областью аккредитации на дату окончания подачи заявок или иные документы, подтверждающие соответствие требованиям, выданные юридически уполномоченными и компетентными органами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32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Участник должен представить сертификат соответствия, подтверждающий соответствие серийного выпуска вводов требованиям ГОСТ Р 55187-2012 с обязательным предоставлением протоколов сертификационных испытаний, на основании которых выдан сертификат соответствия.</w:t>
            </w:r>
          </w:p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Лаборатория с соответствующей областью аккредитации на дату, проводившая сертификационные испытания, должна присутствовать в реестре аккредитованных лиц федеральной службы аккредитации Росаккредитация https://fsa.gov.ru/ на момент испытаний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33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Поставляемое оборудование должно быть аттестовано в ПАО «Россети» и на момент поставки оборудования должно быть действующее положительное заключение аттестационной комиссии (ЗАК) ПАО «Россети».</w:t>
            </w:r>
          </w:p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Аттестованная продукция - это оборудование, материалы и системы, имеющие положительное заключение аттестационной комиссии ПАО "Россети", выданное по итогам процедуры проверки качества (аттестации) продукции.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uppressAutoHyphens w:val="true"/>
        <w:autoSpaceDE w:val="true"/>
        <w:spacing w:before="0" w:after="160"/>
        <w:ind w:left="708" w:right="593" w:hanging="0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Приложение № 2 Требования к продукции.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bCs/>
          <w:sz w:val="24"/>
          <w:szCs w:val="24"/>
        </w:rPr>
        <w:t xml:space="preserve">                                 </w:t>
      </w:r>
      <w:r>
        <w:rPr>
          <w:rFonts w:eastAsia="Calibri"/>
          <w:b/>
          <w:bCs/>
          <w:sz w:val="24"/>
          <w:szCs w:val="24"/>
        </w:rPr>
        <w:t>Таблица 2. Высоковольтные вводы 110 кВ</w:t>
      </w:r>
    </w:p>
    <w:tbl>
      <w:tblPr>
        <w:tblW w:w="15207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8"/>
        <w:gridCol w:w="5496"/>
        <w:gridCol w:w="4819"/>
        <w:gridCol w:w="4434"/>
      </w:tblGrid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Требование Заказчика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Предложение Участника</w:t>
            </w:r>
          </w:p>
        </w:tc>
      </w:tr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Технические характеристики 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Высоковольтный ввод 110кВ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Высоковольтный ввод </w:t>
            </w:r>
            <w:r>
              <w:rPr>
                <w:color w:val="000000"/>
              </w:rPr>
              <w:t>110 кВ</w:t>
            </w:r>
          </w:p>
        </w:tc>
      </w:tr>
      <w:tr>
        <w:trPr>
          <w:trHeight w:val="364" w:hRule="atLeast"/>
        </w:trPr>
        <w:tc>
          <w:tcPr>
            <w:tcW w:w="4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54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Марка ввода, заводской чертеж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Default"/>
              <w:widowControl w:val="false"/>
              <w:jc w:val="center"/>
              <w:rPr/>
            </w:pPr>
            <w:r>
              <w:rPr>
                <w:sz w:val="22"/>
                <w:szCs w:val="22"/>
                <w:shd w:fill="FFFFFF" w:val="clear"/>
              </w:rPr>
              <w:t xml:space="preserve">BRIT-R-90-110-550/800 КН1.9.004RУ </w:t>
            </w:r>
            <w:r>
              <w:rPr>
                <w:sz w:val="20"/>
                <w:szCs w:val="20"/>
                <w:shd w:fill="FFFFFF" w:val="clear"/>
              </w:rPr>
              <w:t xml:space="preserve">          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Default"/>
              <w:widowControl w:val="false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</w:tr>
      <w:tr>
        <w:trPr>
          <w:trHeight w:val="157" w:hRule="atLeast"/>
        </w:trPr>
        <w:tc>
          <w:tcPr>
            <w:tcW w:w="4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bCs/>
                <w:sz w:val="20"/>
                <w:szCs w:val="20"/>
                <w:shd w:fill="81D41A" w:val="clear"/>
              </w:rPr>
            </w:pPr>
            <w:r>
              <w:rPr>
                <w:bCs/>
                <w:sz w:val="20"/>
                <w:szCs w:val="20"/>
                <w:shd w:fill="81D41A" w:val="clear"/>
              </w:rPr>
            </w:r>
          </w:p>
        </w:tc>
        <w:tc>
          <w:tcPr>
            <w:tcW w:w="549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20"/>
                <w:szCs w:val="20"/>
                <w:shd w:fill="FFFFFF" w:val="clear"/>
              </w:rPr>
            </w:pPr>
            <w:r>
              <w:rPr>
                <w:bCs/>
                <w:color w:val="000000"/>
                <w:sz w:val="20"/>
                <w:szCs w:val="20"/>
                <w:shd w:fill="FFFFFF" w:val="clear"/>
              </w:rPr>
            </w:r>
          </w:p>
        </w:tc>
        <w:tc>
          <w:tcPr>
            <w:tcW w:w="92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Аналог должен соответствовать присоединительными и габаритным размерам указанных вводов</w:t>
            </w:r>
          </w:p>
        </w:tc>
      </w:tr>
      <w:tr>
        <w:trPr>
          <w:trHeight w:val="55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Номинальное/наибольшее рабочее линейное напряжение, не менее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110/135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19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Номинальный рабочий ток, не менее (А)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800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Максимальное фазное напряжение,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78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термической стойкости в течении 2 секунд, кА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20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9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динамической стойкости, кА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Испытательное одноминутное напряжение промышленной частоты 50 Гц, в сухом состоянии/под дождем не менее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265/230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D0D0D"/>
                <w:shd w:fill="FFFFFF" w:val="clear"/>
              </w:rPr>
            </w:pPr>
            <w:r>
              <w:rPr>
                <w:color w:val="0D0D0D"/>
                <w:shd w:fill="FFFFFF" w:val="clear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Напряжение грозового испытательного импульса, 1.2/50 мкс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Сечение проводника при Imax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400мм</w:t>
            </w:r>
            <w:r>
              <w:rPr>
                <w:rFonts w:eastAsia="DejaVu Sans;Verdana" w:cs="DejaVu Sans;Verdana" w:ascii="DejaVu Sans;Verdana" w:hAnsi="DejaVu Sans;Verdana"/>
                <w:color w:val="000000"/>
                <w:shd w:fill="FFFFFF" w:val="clear"/>
              </w:rPr>
              <w:t>²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1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hd w:fill="FFFFFF" w:val="clear"/>
              </w:rPr>
              <w:t>Уровень частичных разрядов при напряжении 2,0*Umax/</w:t>
            </w:r>
            <w:r>
              <w:rPr>
                <w:rFonts w:eastAsia="DejaVu Sans;Verdana" w:cs="DejaVu Sans;Verdana" w:ascii="DejaVu Sans;Verdana" w:hAnsi="DejaVu Sans;Verdana"/>
                <w:color w:val="000000"/>
                <w:shd w:fill="FFFFFF" w:val="clear"/>
              </w:rPr>
              <w:t>√</w:t>
            </w:r>
            <w:r>
              <w:rPr>
                <w:color w:val="000000"/>
                <w:shd w:fill="FFFFFF" w:val="clear"/>
              </w:rPr>
              <w:t>3, пКл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 xml:space="preserve">не более 2  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1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Испытательное напряжение тест-вывода, кВ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не менее 5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1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Испытательная консольная нагрузка, Н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не менее 3150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Сейсмические воздействия по шкале MSK-64, не менее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 баллов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Степень загрязнения внешней изоляции наружной части ввода по ГОСТ 9920-89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 xml:space="preserve">не менее </w:t>
            </w:r>
            <w:r>
              <w:rPr>
                <w:color w:val="000000"/>
                <w:shd w:fill="FFFFFF" w:val="clear"/>
                <w:lang w:val="en-US"/>
              </w:rPr>
              <w:t>IV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5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пути утечки, мм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3900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153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Разрядное расстояние,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1290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00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Температура окружающей среды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-60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...+55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С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33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Угол установки к вертикали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  <w:r>
              <w:rPr>
                <w:color w:val="000000"/>
                <w:shd w:fill="FFFFFF" w:val="clear"/>
              </w:rPr>
              <w:t>...90</w:t>
            </w:r>
            <w:r>
              <w:rPr>
                <w:rFonts w:cs="DejaVu Sans;Verdana" w:ascii="DejaVu Sans;Verdana" w:hAnsi="DejaVu Sans;Verdana"/>
                <w:color w:val="000000"/>
                <w:shd w:fill="FFFFFF" w:val="clear"/>
              </w:rPr>
              <w:t>°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5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внутренней изоляции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 xml:space="preserve">RIP   </w:t>
            </w:r>
          </w:p>
        </w:tc>
        <w:tc>
          <w:tcPr>
            <w:tcW w:w="443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внешней изоляции/цвет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фарфор/коричневый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Масса, кг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ввода,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2500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нижней части,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770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Расстояние под установку трансформаторов тока,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300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25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фланца,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290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26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под отверстия,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250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27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Толщина фланца,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28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отверстий в опорном фланце, мм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16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29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Количество отверстий в опорном фланце, шт.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8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30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Расстояние под установку трансформаторов тока, размеры фланцев, отверстий, присоединительные, габаритные размеры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в соответствии с чертежом №2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31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Наличие производства и сервисного центра на территории России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32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shd w:fill="FFFFFF" w:val="clear"/>
              </w:rPr>
              <w:t xml:space="preserve">Полный цикл производства </w:t>
            </w:r>
            <w:r>
              <w:rPr>
                <w:shd w:fill="FFFFFF" w:val="clear"/>
                <w:lang w:val="en-US"/>
              </w:rPr>
              <w:t>RIP</w:t>
            </w:r>
            <w:r>
              <w:rPr>
                <w:shd w:fill="FFFFFF" w:val="clear"/>
              </w:rPr>
              <w:t xml:space="preserve"> остова на территории РФ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33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Наличие действующего сертификата соответствия (декларации) или протоколы испытаний от аккредитованной в «Росаккредитация» лаборатории с соответствующей областью аккредитации на дату окончания подачи заявок или иные документы, подтверждающие соответствие требованиям, выданные юридически уполномоченными и компетентными органами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34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Участник должен представить сертификат соответствия, подтверждающий соответствие серийного выпуска вводов требованиям ГОСТ Р 55187-2012 с обязательным предоставлением протоколов сертификационных испытаний, на основании которых выдан сертификат соответствия.</w:t>
            </w:r>
          </w:p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Лаборатория с соответствующей областью аккредитации на дату, проводившая сертификационные испытания, должна присутствовать в реестре аккредитованных лиц федеральной службы аккредитации Росаккредитация https://fsa.gov.ru/ на момент испытаний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35</w:t>
            </w:r>
          </w:p>
        </w:tc>
        <w:tc>
          <w:tcPr>
            <w:tcW w:w="5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Поставляемое оборудование должно быть аттестовано в ПАО «Россети» и на момент поставки оборудования должно быть действующее положительное заключение аттестационной комиссии (ЗАК) ПАО «Россети».</w:t>
            </w:r>
          </w:p>
          <w:p>
            <w:pPr>
              <w:pStyle w:val="Normal"/>
              <w:snapToGrid w:val="false"/>
              <w:rPr>
                <w:shd w:fill="FFFFFF" w:val="clear"/>
              </w:rPr>
            </w:pPr>
            <w:r>
              <w:rPr>
                <w:shd w:fill="FFFFFF" w:val="clear"/>
              </w:rPr>
              <w:t>Аттестованная продукция - это оборудование, материалы и системы, имеющие положительное заключение аттестационной комиссии ПАО "Россети", выданное по итогам процедуры проверки качества (аттестации) продукции.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Обязательно</w:t>
            </w:r>
          </w:p>
        </w:tc>
        <w:tc>
          <w:tcPr>
            <w:tcW w:w="4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</w:tbl>
    <w:p>
      <w:pPr>
        <w:pStyle w:val="Normal"/>
        <w:suppressAutoHyphens w:val="true"/>
        <w:autoSpaceDE w:val="true"/>
        <w:spacing w:before="0" w:after="160"/>
        <w:ind w:left="708" w:right="593" w:hanging="0"/>
        <w:rPr>
          <w:b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bookmarkStart w:id="0" w:name="_Hlk203386049"/>
      <w:bookmarkEnd w:id="0"/>
      <w:r>
        <w:rPr>
          <w:rFonts w:eastAsia="Calibri"/>
          <w:b/>
          <w:bCs/>
          <w:sz w:val="22"/>
          <w:szCs w:val="22"/>
        </w:rPr>
        <w:t>Приложение № 3 Требования к продукции.</w:t>
      </w:r>
    </w:p>
    <w:p>
      <w:pPr>
        <w:pStyle w:val="Normal"/>
        <w:jc w:val="center"/>
        <w:rPr>
          <w:b/>
          <w:sz w:val="22"/>
          <w:szCs w:val="22"/>
        </w:rPr>
      </w:pPr>
      <w:bookmarkStart w:id="1" w:name="_Hlk203386049"/>
      <w:bookmarkEnd w:id="1"/>
      <w:r>
        <w:rPr>
          <w:b/>
          <w:bCs/>
          <w:sz w:val="24"/>
          <w:szCs w:val="24"/>
        </w:rPr>
        <w:t xml:space="preserve">                                 </w:t>
      </w:r>
      <w:r>
        <w:rPr>
          <w:rFonts w:eastAsia="Calibri"/>
          <w:b/>
          <w:bCs/>
          <w:sz w:val="24"/>
          <w:szCs w:val="24"/>
        </w:rPr>
        <w:t>Таблица 3. Высоковольтные вводы 110 кВ</w:t>
      </w:r>
    </w:p>
    <w:tbl>
      <w:tblPr>
        <w:tblW w:w="15207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8"/>
        <w:gridCol w:w="5921"/>
        <w:gridCol w:w="4496"/>
        <w:gridCol w:w="4332"/>
      </w:tblGrid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Требование Заказчика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Предложение Участника</w:t>
            </w:r>
          </w:p>
        </w:tc>
      </w:tr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 xml:space="preserve">Технические характеристики 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Высоковольтный ввод 110 кВ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Высоковольтный ввод 110 кВ</w:t>
            </w:r>
          </w:p>
        </w:tc>
      </w:tr>
      <w:tr>
        <w:trPr>
          <w:trHeight w:val="364" w:hRule="atLeast"/>
        </w:trPr>
        <w:tc>
          <w:tcPr>
            <w:tcW w:w="4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59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Марка ввода, заводской чертеж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Default"/>
              <w:widowControl w:val="false"/>
              <w:jc w:val="center"/>
              <w:rPr>
                <w:rFonts w:eastAsia="Times New Roman"/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  <w:t xml:space="preserve">ГНВ </w:t>
            </w:r>
            <w:r>
              <w:rPr>
                <w:sz w:val="20"/>
                <w:szCs w:val="20"/>
                <w:shd w:fill="FFFFFF" w:val="clear"/>
                <w:lang w:val="en-US"/>
              </w:rPr>
              <w:t>III</w:t>
            </w:r>
            <w:r>
              <w:rPr>
                <w:sz w:val="20"/>
                <w:szCs w:val="20"/>
                <w:shd w:fill="FFFFFF" w:val="clear"/>
              </w:rPr>
              <w:t>-60-126/2000 О1</w:t>
            </w:r>
          </w:p>
          <w:p>
            <w:pPr>
              <w:pStyle w:val="Default"/>
              <w:widowControl w:val="false"/>
              <w:jc w:val="center"/>
              <w:rPr/>
            </w:pPr>
            <w:r>
              <w:rPr>
                <w:rFonts w:eastAsia="Times New Roman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shd w:fill="FFFFFF" w:val="clear"/>
              </w:rPr>
              <w:t>черт ИВУЕ 686382.132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Default"/>
              <w:widowControl w:val="false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</w:tr>
      <w:tr>
        <w:trPr>
          <w:trHeight w:val="157" w:hRule="atLeast"/>
        </w:trPr>
        <w:tc>
          <w:tcPr>
            <w:tcW w:w="4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592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20"/>
                <w:szCs w:val="20"/>
                <w:shd w:fill="FFFFFF" w:val="clear"/>
              </w:rPr>
            </w:pPr>
            <w:r>
              <w:rPr>
                <w:bCs/>
                <w:color w:val="000000"/>
                <w:sz w:val="20"/>
                <w:szCs w:val="20"/>
                <w:shd w:fill="FFFFFF" w:val="clear"/>
              </w:rPr>
            </w:r>
          </w:p>
        </w:tc>
        <w:tc>
          <w:tcPr>
            <w:tcW w:w="88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Аналог должен соответствовать присоединительными и габаритным размерам указанных вводов</w:t>
            </w:r>
          </w:p>
        </w:tc>
      </w:tr>
      <w:tr>
        <w:trPr>
          <w:trHeight w:val="55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Номинальное/наибольшее рабочее линейное напряжение, не менее кВ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110/126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19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Номинальный рабочий ток, не менее (А)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2000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Максимальное фазное напряжение, кВ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73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термической стойкости в течении 3 секунд, кА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50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9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Ток динамической стойкости, кА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125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5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Напряжение грозового испытательного импульса, 1.2/50 мкс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550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61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Уровень частичных разрядов при напряжении, пКл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не более 3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46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Испытательная консольная нагрузка, Н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4000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Сейсмические воздействия по шкале MSK-64, не менее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Степень загрязнения внешней изоляции наружной части ввода по ГОСТ 9920-89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IV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пути утечки, мм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не менее 3150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Разрядное расстояние,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980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Температура окружающей среды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-60…+55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Угол установки к вертикали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60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Материал внутреннего сердечника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Медь, М1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внутренней изоляции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RIN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Тип внешней изоляции/цвет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 xml:space="preserve">Фарфор 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Масса, кг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220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ввода,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2665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 нижней части,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1110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нижней части,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168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Расстояние под установку трансформаторов тока,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500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25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фланца,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550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26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под отверстия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486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27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Диаметр отверстий, мм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30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28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Количество отверстий на фланце, шт.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9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29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Расстояние под установку трансформаторов тока, размеры фланцев, отверстий, присоединительные, габаритные размеры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в соответствии с чертежом №3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30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Наличие производства и сервисного центра на территории России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31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Полный цикл производства RIP остова на территории РФ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Наличие действующего сертификата соответствия (декларации) или протоколы испытаний от аккредитованной в «Росаккредитация» лаборатории с соответствующей областью аккредитации на дату окончания подачи заявок или иные документы, подтверждающие соответствие требованиям, выданные юридически уполномоченными и компетентными органами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33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Участник должен представить сертификат соответствия, подтверждающий соответствие серийного выпуска вводов требованиям ГОСТ Р 55187-2012 с обязательным предоставлением протоколов сертификационных испытаний, на основании которых выдан сертификат соответствия.</w:t>
            </w:r>
          </w:p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Лаборатория с соответствующей областью аккредитации на дату, проводившая сертификационные испытания, должна присутствовать в реестре аккредитованных лиц федеральной службы аккредитации Росаккредитация https://fsa.gov.ru/ на момент испытаний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Поставляемое оборудование должно быть аттестовано в ПАО «Россети» и на момент поставки оборудования должно быть действующее положительное заключение аттестационной комиссии (ЗАК) ПАО «Россети».</w:t>
            </w:r>
          </w:p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Аттестованная продукция - это оборудование, материалы и системы, имеющие положительное заключение аттестационной комиссии ПАО "Россети", выданное по итогам процедуры проверки качества (аттестации) продукции.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</w:tbl>
    <w:p>
      <w:pPr>
        <w:pStyle w:val="Normal"/>
        <w:suppressAutoHyphens w:val="true"/>
        <w:autoSpaceDE w:val="true"/>
        <w:spacing w:before="0" w:after="160"/>
        <w:ind w:left="708" w:right="593" w:hanging="0"/>
        <w:jc w:val="center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bookmarkStart w:id="2" w:name="_Hlk203386049_Копия_1"/>
      <w:bookmarkEnd w:id="2"/>
      <w:r>
        <w:rPr>
          <w:rFonts w:eastAsia="Calibri"/>
          <w:b/>
          <w:bCs/>
          <w:sz w:val="22"/>
          <w:szCs w:val="22"/>
        </w:rPr>
        <w:t>Приложение № 4 Требования к продукции.</w:t>
      </w:r>
    </w:p>
    <w:p>
      <w:pPr>
        <w:pStyle w:val="Normal"/>
        <w:jc w:val="center"/>
        <w:rPr>
          <w:b/>
          <w:sz w:val="22"/>
          <w:szCs w:val="22"/>
        </w:rPr>
      </w:pPr>
      <w:bookmarkStart w:id="3" w:name="_Hlk203386049_Копия_1"/>
      <w:bookmarkEnd w:id="3"/>
      <w:r>
        <w:rPr>
          <w:b/>
          <w:bCs/>
          <w:sz w:val="24"/>
          <w:szCs w:val="24"/>
        </w:rPr>
        <w:t xml:space="preserve">                                 </w:t>
      </w:r>
      <w:r>
        <w:rPr>
          <w:rFonts w:eastAsia="Calibri"/>
          <w:b/>
          <w:bCs/>
          <w:sz w:val="24"/>
          <w:szCs w:val="24"/>
        </w:rPr>
        <w:t xml:space="preserve">Таблица </w:t>
      </w:r>
      <w:r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</w:rPr>
        <w:t>. Высоковольтные вводы 35кВ</w:t>
      </w:r>
    </w:p>
    <w:tbl>
      <w:tblPr>
        <w:tblW w:w="15207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8"/>
        <w:gridCol w:w="5921"/>
        <w:gridCol w:w="4496"/>
        <w:gridCol w:w="4332"/>
      </w:tblGrid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Требование Заказчика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>Предложение Участника</w:t>
            </w:r>
          </w:p>
        </w:tc>
      </w:tr>
      <w:tr>
        <w:trPr>
          <w:trHeight w:val="29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  <w:t xml:space="preserve">Технические характеристики 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Высоковольтный ввод</w:t>
            </w:r>
            <w:r>
              <w:rPr>
                <w:color w:val="000000"/>
                <w:shd w:fill="FFFFFF" w:val="clear"/>
                <w:lang w:val="en-US"/>
              </w:rPr>
              <w:t xml:space="preserve"> 35 </w:t>
            </w:r>
            <w:r>
              <w:rPr>
                <w:color w:val="000000"/>
                <w:shd w:fill="FFFFFF" w:val="clear"/>
              </w:rPr>
              <w:t>кВ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hd w:fill="FFFFFF" w:val="clear"/>
              </w:rPr>
              <w:t>Высоковольтный ввод</w:t>
            </w:r>
            <w:r>
              <w:rPr>
                <w:color w:val="000000"/>
                <w:shd w:fill="FFFFFF" w:val="clear"/>
                <w:lang w:val="en-US"/>
              </w:rPr>
              <w:t xml:space="preserve"> 35 </w:t>
            </w:r>
            <w:r>
              <w:rPr>
                <w:color w:val="000000"/>
                <w:shd w:fill="FFFFFF" w:val="clear"/>
              </w:rPr>
              <w:t>кВ</w:t>
            </w:r>
          </w:p>
        </w:tc>
      </w:tr>
      <w:tr>
        <w:trPr>
          <w:trHeight w:val="364" w:hRule="atLeast"/>
        </w:trPr>
        <w:tc>
          <w:tcPr>
            <w:tcW w:w="4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59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Default"/>
              <w:widowControl w:val="false"/>
              <w:jc w:val="center"/>
              <w:rPr>
                <w:rFonts w:eastAsia="Times New Roman"/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  <w:t xml:space="preserve">ГКВ </w:t>
            </w:r>
            <w:r>
              <w:rPr>
                <w:sz w:val="20"/>
                <w:szCs w:val="20"/>
                <w:shd w:fill="FFFFFF" w:val="clear"/>
                <w:lang w:val="en-US"/>
              </w:rPr>
              <w:t>IV</w:t>
            </w:r>
            <w:r>
              <w:rPr>
                <w:sz w:val="20"/>
                <w:szCs w:val="20"/>
                <w:shd w:fill="FFFFFF" w:val="clear"/>
              </w:rPr>
              <w:t>-60-</w:t>
            </w:r>
            <w:r>
              <w:rPr>
                <w:sz w:val="20"/>
                <w:szCs w:val="20"/>
                <w:shd w:fill="FFFFFF" w:val="clear"/>
                <w:lang w:val="en-US"/>
              </w:rPr>
              <w:t>40,5</w:t>
            </w:r>
            <w:r>
              <w:rPr>
                <w:sz w:val="20"/>
                <w:szCs w:val="20"/>
                <w:shd w:fill="FFFFFF" w:val="clear"/>
              </w:rPr>
              <w:t>/</w:t>
            </w:r>
            <w:r>
              <w:rPr>
                <w:sz w:val="20"/>
                <w:szCs w:val="20"/>
                <w:shd w:fill="FFFFFF" w:val="clear"/>
                <w:lang w:val="en-US"/>
              </w:rPr>
              <w:t>1</w:t>
            </w:r>
            <w:r>
              <w:rPr>
                <w:sz w:val="20"/>
                <w:szCs w:val="20"/>
                <w:shd w:fill="FFFFFF" w:val="clear"/>
              </w:rPr>
              <w:t>000 О1</w:t>
            </w:r>
          </w:p>
          <w:p>
            <w:pPr>
              <w:pStyle w:val="Default"/>
              <w:widowControl w:val="false"/>
              <w:jc w:val="center"/>
              <w:rPr/>
            </w:pPr>
            <w:r>
              <w:rPr>
                <w:rFonts w:eastAsia="Times New Roman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shd w:fill="FFFFFF" w:val="clear"/>
              </w:rPr>
              <w:t xml:space="preserve">черт ИВУЕ </w:t>
            </w:r>
            <w:r>
              <w:rPr>
                <w:rFonts w:eastAsia="Times New Roman"/>
                <w:sz w:val="20"/>
                <w:szCs w:val="20"/>
                <w:shd w:fill="FFFFFF" w:val="clear"/>
                <w:lang w:val="en-US"/>
              </w:rPr>
              <w:t>686351.330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Default"/>
              <w:widowControl w:val="false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</w:tr>
      <w:tr>
        <w:trPr>
          <w:trHeight w:val="157" w:hRule="atLeast"/>
        </w:trPr>
        <w:tc>
          <w:tcPr>
            <w:tcW w:w="4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bCs/>
                <w:sz w:val="20"/>
                <w:szCs w:val="20"/>
                <w:shd w:fill="FFFFFF" w:val="clear"/>
              </w:rPr>
            </w:pPr>
            <w:r>
              <w:rPr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592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rPr>
                <w:bCs/>
                <w:color w:val="000000"/>
                <w:sz w:val="20"/>
                <w:szCs w:val="20"/>
                <w:shd w:fill="FFFFFF" w:val="clear"/>
              </w:rPr>
            </w:pPr>
            <w:r>
              <w:rPr>
                <w:bCs/>
                <w:color w:val="000000"/>
                <w:sz w:val="20"/>
                <w:szCs w:val="20"/>
                <w:shd w:fill="FFFFFF" w:val="clear"/>
              </w:rPr>
            </w:r>
          </w:p>
        </w:tc>
        <w:tc>
          <w:tcPr>
            <w:tcW w:w="88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Аналог должен соответствовать присоединительными и габаритным размерам указанных вводов</w:t>
            </w:r>
          </w:p>
        </w:tc>
      </w:tr>
      <w:tr>
        <w:trPr>
          <w:trHeight w:val="55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Номинальное/наибольшее рабочее напряжение сети, кВ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color w:val="000000"/>
                <w:shd w:fill="FFFFFF" w:val="clear"/>
                <w:lang w:val="en-US"/>
              </w:rPr>
              <w:t>35</w:t>
            </w:r>
            <w:r>
              <w:rPr>
                <w:color w:val="000000"/>
                <w:shd w:fill="FFFFFF" w:val="clear"/>
              </w:rPr>
              <w:t>/</w:t>
            </w:r>
            <w:r>
              <w:rPr>
                <w:color w:val="000000"/>
                <w:shd w:fill="FFFFFF" w:val="clear"/>
                <w:lang w:val="en-US"/>
              </w:rPr>
              <w:t>40,5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195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Номинальный рабочий ток, не менее (А)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color w:val="000000"/>
                <w:shd w:fill="FFFFFF" w:val="clear"/>
                <w:lang w:val="en-US"/>
              </w:rPr>
              <w:t>1</w:t>
            </w:r>
            <w:r>
              <w:rPr>
                <w:color w:val="000000"/>
                <w:shd w:fill="FFFFFF" w:val="clear"/>
              </w:rPr>
              <w:t>000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Ток термической стойкости в течении 2 секунд, не менее кА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25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72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Ток динамической стойкости, не менее кА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62,5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97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Испытательное напряжение одноминутное 50 Гц, не менее кВ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95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Испытательное напряжение полного грозового импульса, не менее кВ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190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50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Интенсивность частичных разрядов, не более пКл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  <w:lang w:val="en-US"/>
              </w:rPr>
            </w:pPr>
            <w:r>
              <w:rPr>
                <w:color w:val="000000"/>
                <w:shd w:fill="FFFFFF" w:val="clear"/>
                <w:lang w:val="en-US"/>
              </w:rPr>
              <w:t>10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71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Испытательная консольная нагрузка, не менее Н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1250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274" w:hRule="atLeast"/>
        </w:trPr>
        <w:tc>
          <w:tcPr>
            <w:tcW w:w="458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921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Сейсмические воздействия по шкале MSK-64, не менее</w:t>
            </w:r>
          </w:p>
        </w:tc>
        <w:tc>
          <w:tcPr>
            <w:tcW w:w="4496" w:type="dxa"/>
            <w:tcBorders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shd w:fill="FFFFFF" w:val="clear"/>
                <w:lang w:val="en-US"/>
              </w:rPr>
              <w:t xml:space="preserve">9 </w:t>
            </w:r>
            <w:r>
              <w:rPr>
                <w:shd w:fill="FFFFFF" w:val="clear"/>
                <w:lang w:val="ru-RU"/>
              </w:rPr>
              <w:t>баллов</w:t>
            </w:r>
          </w:p>
        </w:tc>
        <w:tc>
          <w:tcPr>
            <w:tcW w:w="433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61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Тип внутренней изоляции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jc w:val="center"/>
              <w:rPr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  <w:t xml:space="preserve">Твердая RIP / RIN 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>
          <w:trHeight w:val="346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Тип внешней изоляции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фарфор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3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Дополнительные требования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widowControl/>
              <w:autoSpaceDE w:val="true"/>
              <w:jc w:val="center"/>
              <w:rPr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Сопротивление токоведущей цепи вводов для масляных выключателей на постоянном токе при температуре 20°С не должно быть более 70 мкОм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318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rFonts w:cs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color w:val="000000"/>
                <w:sz w:val="20"/>
                <w:szCs w:val="20"/>
                <w:shd w:fill="FFFFFF" w:val="clear"/>
              </w:rPr>
              <w:t>Размер нижнего контактного стержня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длина-48мм, диаметр-21 мм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Наличие производства и сервисного центра на территории России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Полный цикл производства RIP остова на территории РФ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Наличие действующего сертификата соответствия (декларации) или протоколы испытаний от аккредитованной в «Росаккредитация» лаборатории с соответствующей областью аккредитации на дату окончания подачи заявок или иные документы, подтверждающие соответствие требованиям, выданные юридически уполномоченными и компетентными органами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Участник должен представить сертификат соответствия, подтверждающий соответствие серийного выпуска вводов требованиям ГОСТ Р 55187-2012 с обязательным предоставлением протоколов сертификационных испытаний, на основании которых выдан сертификат соответствия.</w:t>
            </w:r>
          </w:p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Лаборатория с соответствующей областью аккредитации на дату, проводившая сертификационные испытания, должна присутствовать в реестре аккредитованных лиц федеральной службы аккредитации Росаккредитация https://fsa.gov.ru/ на момент испытаний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Поставляемое оборудование должно быть аттестовано в ПАО «Россети» и на момент поставки оборудования должно быть действующее положительное заключение аттестационной комиссии (ЗАК) ПАО «Россети».</w:t>
            </w:r>
          </w:p>
          <w:p>
            <w:pPr>
              <w:pStyle w:val="Normal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Аттестованная продукция - это оборудование, материалы и системы, имеющие положительное заключение аттестационной комиссии ПАО "Россети", выданное по итогам процедуры проверки качества (аттестации) продукции.</w:t>
            </w:r>
          </w:p>
        </w:tc>
        <w:tc>
          <w:tcPr>
            <w:tcW w:w="44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  <w:t>Обязательно</w:t>
            </w:r>
          </w:p>
        </w:tc>
        <w:tc>
          <w:tcPr>
            <w:tcW w:w="4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</w:tr>
    </w:tbl>
    <w:p>
      <w:pPr>
        <w:pStyle w:val="Normal"/>
        <w:suppressAutoHyphens w:val="true"/>
        <w:autoSpaceDE w:val="true"/>
        <w:spacing w:before="0" w:after="160"/>
        <w:ind w:left="708" w:right="593" w:hanging="0"/>
        <w:jc w:val="center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center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suppressAutoHyphens w:val="true"/>
        <w:autoSpaceDE w:val="true"/>
        <w:spacing w:before="0" w:after="160"/>
        <w:ind w:left="708" w:right="593" w:hanging="0"/>
        <w:jc w:val="right"/>
        <w:rPr>
          <w:b/>
          <w:sz w:val="22"/>
          <w:szCs w:val="22"/>
        </w:rPr>
      </w:pPr>
      <w:r>
        <w:rPr/>
      </w:r>
    </w:p>
    <w:p>
      <w:pPr>
        <w:pStyle w:val="Normal"/>
        <w:jc w:val="right"/>
        <w:rPr/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Приложение № 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>5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 Требования к продукции.</w:t>
      </w:r>
    </w:p>
    <w:p>
      <w:pPr>
        <w:pStyle w:val="Normal"/>
        <w:jc w:val="right"/>
        <w:rPr/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Таблица 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>5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>. Высоковольтные ввода  35– 110 кВ</w:t>
      </w:r>
    </w:p>
    <w:tbl>
      <w:tblPr>
        <w:tblW w:w="151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58"/>
        <w:gridCol w:w="5155"/>
        <w:gridCol w:w="2886"/>
        <w:gridCol w:w="2439"/>
        <w:gridCol w:w="2100"/>
        <w:gridCol w:w="2099"/>
      </w:tblGrid>
      <w:tr>
        <w:trPr>
          <w:trHeight w:val="298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Требование Заказчика</w:t>
            </w:r>
          </w:p>
        </w:tc>
        <w:tc>
          <w:tcPr>
            <w:tcW w:w="4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Предложение Участника</w:t>
            </w:r>
          </w:p>
        </w:tc>
      </w:tr>
      <w:tr>
        <w:trPr>
          <w:trHeight w:val="298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5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Выключательный ввод 110 кВ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Выключательный ввод 35 кВ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Выключательный ввод 110 кВ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Выключательный ввод 35 кВ</w:t>
            </w:r>
          </w:p>
        </w:tc>
      </w:tr>
      <w:tr>
        <w:trPr>
          <w:trHeight w:val="654" w:hRule="atLeast"/>
        </w:trPr>
        <w:tc>
          <w:tcPr>
            <w:tcW w:w="4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5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Марка ввода, заводской чертеж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before="0" w:after="160"/>
              <w:jc w:val="left"/>
              <w:rPr>
                <w:rFonts w:ascii="Arial Unicode MS" w:hAnsi="Arial Unicode M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6"/>
                <w:u w:val="none"/>
                <w:em w:val="none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BRIB-90-110-550/2000 KH 1.9.008-Y 135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кВ 2000А 550х2882мм 1138мм, BRIB-90-110-550/2000 KH 1.9.008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BRIB-90-35-195/1000 KH 1.9.009 40.5кВ 1000А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</w:tr>
      <w:tr>
        <w:trPr>
          <w:trHeight w:val="157" w:hRule="atLeast"/>
        </w:trPr>
        <w:tc>
          <w:tcPr>
            <w:tcW w:w="4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15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524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Аналог должен соответствовать присоединительными и габаритным размерам указанных вводов</w:t>
            </w:r>
          </w:p>
        </w:tc>
      </w:tr>
      <w:tr>
        <w:trPr>
          <w:trHeight w:val="555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Номинальное/наибольшее рабочее напряжение сети, не менее кВ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110/135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35/40,5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364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Номинальный рабочий ток, не менее (А)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Ток термической стойкости в течении 3  секунд, не менее кА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46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Ток динамической стойкости, не менее кА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62,5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Испытательное напряжение одноминутное 50 Гц, в сухом состоянии, не менее кВ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265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Испытательное напряжение полного грозового импульса, не менее кВ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Интенсивность частичных разрядов, не более пКл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Испытательная консольная нагрузка, не менее Н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1250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Сейсмические воздействия по шкале MSK-64, не менее</w:t>
            </w:r>
          </w:p>
        </w:tc>
        <w:tc>
          <w:tcPr>
            <w:tcW w:w="28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 баллов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 баллов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367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Тип внутренней изоляции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Твердая RIP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Твердая RIP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9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Тип внешней изоляции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фарфор</w:t>
            </w:r>
          </w:p>
        </w:tc>
        <w:tc>
          <w:tcPr>
            <w:tcW w:w="2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фарфор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5" w:hRule="atLeast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Сопротивление токоведущей цепи вводов на постоянном токе при температуре 20°С не должно быть более 70 мкОм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65" w:hRule="atLeast"/>
        </w:trPr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15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крепления ошиновки укомплектовать верхний контакт ввода 35 кВ гайками М30х1,5.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2шт.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2шт.</w:t>
            </w:r>
          </w:p>
        </w:tc>
        <w:tc>
          <w:tcPr>
            <w:tcW w:w="21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footnotePr>
        <w:numFmt w:val="decimal"/>
      </w:footnotePr>
      <w:type w:val="nextPage"/>
      <w:pgSz w:orient="landscape" w:w="16838" w:h="11906"/>
      <w:pgMar w:left="851" w:right="678" w:gutter="0" w:header="709" w:top="765" w:footer="194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Calibr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cc"/>
    <w:family w:val="swiss"/>
    <w:pitch w:val="variable"/>
  </w:font>
  <w:font w:name="Calibri">
    <w:charset w:val="cc"/>
    <w:family w:val="roman"/>
    <w:pitch w:val="variable"/>
  </w:font>
  <w:font w:name="Times New Roman">
    <w:charset w:val="01"/>
    <w:family w:val="roman"/>
    <w:pitch w:val="variable"/>
  </w:font>
  <w:font w:name="DejaVu Sans">
    <w:altName w:val="Verdana"/>
    <w:charset w:val="01"/>
    <w:family w:val="swiss"/>
    <w:pitch w:val="default"/>
  </w:font>
  <w:font w:name="Arial Unicode M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color w:val="FF0000"/>
      </w:rPr>
    </w:pPr>
    <w:r>
      <w:rPr>
        <w:i/>
        <w:iCs/>
        <w:color w:val="FF0000"/>
      </w:rPr>
      <w:tab/>
    </w:r>
  </w:p>
  <w:p>
    <w:pPr>
      <w:pStyle w:val="Footer"/>
      <w:ind w:left="0" w:right="360" w:hanging="0"/>
      <w:rPr>
        <w:color w:val="FF0000"/>
      </w:rPr>
    </w:pPr>
    <w:r>
      <w:rPr>
        <w:color w:val="FF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color w:val="FF0000"/>
      </w:rPr>
    </w:pPr>
    <w:r>
      <w:rPr>
        <w:i/>
        <w:iCs/>
        <w:color w:val="FF0000"/>
      </w:rPr>
      <w:tab/>
    </w:r>
  </w:p>
  <w:p>
    <w:pPr>
      <w:pStyle w:val="Footer"/>
      <w:ind w:left="0" w:right="360" w:hanging="0"/>
      <w:rPr>
        <w:color w:val="FF0000"/>
      </w:rPr>
    </w:pPr>
    <w:r>
      <w:rPr>
        <w:color w:val="FF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hd w:fill="FFFFFF" w:val="clear"/>
        <w:rPr/>
      </w:pPr>
      <w:r>
        <w:rPr>
          <w:rStyle w:val="Style5"/>
        </w:rPr>
        <w:t>*</w:t>
      </w:r>
      <w:r>
        <w:rPr>
          <w:rStyle w:val="Style5"/>
          <w:color w:val="FF0000"/>
        </w:rPr>
        <w:tab/>
      </w:r>
      <w:r>
        <w:rPr>
          <w:iCs/>
          <w:color w:val="FF0000"/>
        </w:rPr>
        <w:t xml:space="preserve">Указанные в настоящем ТТ ссылки на марку (тип) продукции носят описательный, а не обязательный характер. </w:t>
      </w:r>
    </w:p>
    <w:p>
      <w:pPr>
        <w:pStyle w:val="FootnoteText"/>
        <w:shd w:fill="FFFFFF" w:val="clear"/>
        <w:rPr>
          <w:iCs/>
          <w:color w:val="FF0000"/>
        </w:rPr>
      </w:pPr>
      <w:r>
        <w:rPr>
          <w:bCs/>
          <w:iCs/>
          <w:color w:val="FF0000"/>
        </w:rPr>
        <w:tab/>
        <w:t>Параметрами эквивалентности являются технические характеристики продукции, указанные в приложении № 1 к настоящим техническим требованиям.</w:t>
      </w:r>
    </w:p>
    <w:p>
      <w:pPr>
        <w:pStyle w:val="FootnoteText"/>
        <w:shd w:fill="FFFFFF" w:val="clear"/>
        <w:rPr>
          <w:iCs/>
          <w:color w:val="FF0000"/>
        </w:rPr>
      </w:pPr>
      <w:r>
        <w:rPr>
          <w:iCs/>
          <w:color w:val="FF0000"/>
        </w:rPr>
        <w:tab/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</w:footnote>
  <w:footnote w:id="3">
    <w:p>
      <w:pPr>
        <w:pStyle w:val="FootnoteText"/>
        <w:rPr/>
      </w:pPr>
      <w:r>
        <w:rPr>
          <w:rStyle w:val="Style5"/>
        </w:rPr>
        <w:footnoteRef/>
      </w:r>
      <w:r>
        <w:rPr>
          <w:i/>
          <w:iCs/>
          <w:color w:val="FF0000"/>
        </w:rPr>
        <w:tab/>
        <w:t>Допускается предложение продукции, изготовленной в соответствии с ТУ, при этом ТУ должно быть разработано на основе ГОСТ, продукция, изготавливаемая в соответствии с ТУ должна соответствовать требованиям, предъявляемым ГОСТ</w:t>
      </w:r>
      <w:r>
        <w:rPr>
          <w:iCs/>
          <w:color w:val="FF0000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708"/>
        </w:tabs>
        <w:ind w:left="720" w:hanging="360"/>
      </w:pPr>
      <w:rPr>
        <w:sz w:val="22"/>
        <w:b/>
        <w:szCs w:val="22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40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80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1800"/>
      </w:pPr>
      <w:rPr>
        <w:b w:val="false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6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4"/>
      <w:numFmt w:val="decimal"/>
      <w:lvlText w:val="8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8.4.%3."/>
      <w:lvlJc w:val="left"/>
      <w:pPr>
        <w:tabs>
          <w:tab w:val="num" w:pos="851"/>
        </w:tabs>
        <w:ind w:left="851" w:hanging="851"/>
      </w:pPr>
      <w:rPr>
        <w:sz w:val="24"/>
        <w:i w:val="false"/>
        <w:b w:val="false"/>
        <w:szCs w:val="28"/>
        <w:rFonts w:ascii="Verdana" w:hAnsi="Verdana" w:cs="Verdana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2448"/>
        </w:tabs>
        <w:ind w:left="244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fals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tabs>
        <w:tab w:val="clear" w:pos="708"/>
        <w:tab w:val="left" w:pos="1134" w:leader="none"/>
      </w:tabs>
      <w:suppressAutoHyphens w:val="true"/>
      <w:autoSpaceDE w:val="true"/>
      <w:spacing w:before="240" w:after="120"/>
      <w:ind w:left="1134" w:right="0" w:hanging="567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 w:val="true"/>
      <w:widowControl/>
      <w:numPr>
        <w:ilvl w:val="2"/>
        <w:numId w:val="1"/>
      </w:numPr>
      <w:autoSpaceDE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b/>
      <w:color w:val="000000"/>
      <w:sz w:val="22"/>
      <w:szCs w:val="22"/>
    </w:rPr>
  </w:style>
  <w:style w:type="character" w:styleId="WW8Num3z1">
    <w:name w:val="WW8Num3z1"/>
    <w:qFormat/>
    <w:rPr>
      <w:b w:val="false"/>
    </w:rPr>
  </w:style>
  <w:style w:type="character" w:styleId="WW8Num5z0">
    <w:name w:val="WW8Num5z0"/>
    <w:qFormat/>
    <w:rPr/>
  </w:style>
  <w:style w:type="character" w:styleId="WW8Num6z2">
    <w:name w:val="WW8Num6z2"/>
    <w:qFormat/>
    <w:rPr>
      <w:rFonts w:ascii="Verdana" w:hAnsi="Verdana" w:cs="Verdana"/>
      <w:b w:val="false"/>
      <w:i w:val="false"/>
      <w:sz w:val="24"/>
      <w:szCs w:val="28"/>
    </w:rPr>
  </w:style>
  <w:style w:type="character" w:styleId="WW8Num7z0">
    <w:name w:val="WW8Num7z0"/>
    <w:qFormat/>
    <w:rPr>
      <w:rFonts w:ascii="Times New Roman" w:hAnsi="Times New Roman" w:cs="Times New Roman"/>
      <w:b/>
      <w:i w:val="false"/>
      <w:color w:val="000000"/>
    </w:rPr>
  </w:style>
  <w:style w:type="character" w:styleId="WW8Num7z1">
    <w:name w:val="WW8Num7z1"/>
    <w:qFormat/>
    <w:rPr>
      <w:b w:val="false"/>
    </w:rPr>
  </w:style>
  <w:style w:type="character" w:styleId="WW8Num7z2">
    <w:name w:val="WW8Num7z2"/>
    <w:qFormat/>
    <w:rPr/>
  </w:style>
  <w:style w:type="character" w:styleId="Style4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8z0">
    <w:name w:val="WW8Num8z0"/>
    <w:qFormat/>
    <w:rPr>
      <w:rFonts w:ascii="Times New Roman" w:hAnsi="Times New Roman" w:cs="Times New Roman"/>
      <w:b/>
      <w:i w:val="false"/>
      <w:color w:val="000000"/>
    </w:rPr>
  </w:style>
  <w:style w:type="character" w:styleId="WW8Num8z1">
    <w:name w:val="WW8Num8z1"/>
    <w:qFormat/>
    <w:rPr>
      <w:b w:val="false"/>
    </w:rPr>
  </w:style>
  <w:style w:type="character" w:styleId="WW8Num8z2">
    <w:name w:val="WW8Num8z2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2z1">
    <w:name w:val="WW8Num2z1"/>
    <w:qFormat/>
    <w:rPr>
      <w:b w:val="false"/>
    </w:rPr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b/>
      <w:i w:val="false"/>
    </w:rPr>
  </w:style>
  <w:style w:type="character" w:styleId="WW8Num10z1">
    <w:name w:val="WW8Num10z1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>
      <w:rFonts w:ascii="Verdana" w:hAnsi="Verdana" w:cs="Verdana"/>
      <w:b w:val="false"/>
      <w:i w:val="false"/>
      <w:sz w:val="24"/>
      <w:szCs w:val="28"/>
    </w:rPr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Times New Roman" w:hAnsi="Times New Roman" w:eastAsia="Times New Roman" w:cs="Times New Roman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Symbol" w:hAnsi="Symbol" w:cs="Symbol"/>
      <w:sz w:val="20"/>
    </w:rPr>
  </w:style>
  <w:style w:type="character" w:styleId="WW8Num17z1">
    <w:name w:val="WW8Num17z1"/>
    <w:qFormat/>
    <w:rPr>
      <w:rFonts w:ascii="Courier New" w:hAnsi="Courier New" w:cs="Courier New"/>
      <w:sz w:val="20"/>
    </w:rPr>
  </w:style>
  <w:style w:type="character" w:styleId="WW8Num17z2">
    <w:name w:val="WW8Num17z2"/>
    <w:qFormat/>
    <w:rPr>
      <w:rFonts w:ascii="Wingdings" w:hAnsi="Wingdings" w:cs="Wingdings"/>
      <w:sz w:val="20"/>
    </w:rPr>
  </w:style>
  <w:style w:type="character" w:styleId="WW8Num18z0">
    <w:name w:val="WW8Num18z0"/>
    <w:qFormat/>
    <w:rPr>
      <w:rFonts w:ascii="Times New Roman" w:hAnsi="Times New Roman" w:cs="Times New Roman"/>
      <w:b/>
      <w:i w:val="false"/>
      <w:color w:val="000000"/>
    </w:rPr>
  </w:style>
  <w:style w:type="character" w:styleId="WW8Num18z1">
    <w:name w:val="WW8Num18z1"/>
    <w:qFormat/>
    <w:rPr>
      <w:b w:val="false"/>
    </w:rPr>
  </w:style>
  <w:style w:type="character" w:styleId="WW8Num18z2">
    <w:name w:val="WW8Num18z2"/>
    <w:qFormat/>
    <w:rPr/>
  </w:style>
  <w:style w:type="character" w:styleId="1">
    <w:name w:val="Основной шрифт абзаца1"/>
    <w:qFormat/>
    <w:rPr/>
  </w:style>
  <w:style w:type="character" w:styleId="My">
    <w:name w:val="my Знак"/>
    <w:qFormat/>
    <w:rPr>
      <w:b/>
      <w:sz w:val="28"/>
      <w:szCs w:val="28"/>
      <w:lang w:val="ru-RU" w:bidi="ar-SA"/>
    </w:rPr>
  </w:style>
  <w:style w:type="character" w:styleId="S0">
    <w:name w:val="s0"/>
    <w:qFormat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2"/>
      <w:szCs w:val="22"/>
      <w:u w:val="none"/>
    </w:rPr>
  </w:style>
  <w:style w:type="character" w:styleId="Style5">
    <w:name w:val="Символ сноски"/>
    <w:qFormat/>
    <w:rPr>
      <w:vertAlign w:val="superscript"/>
    </w:rPr>
  </w:style>
  <w:style w:type="character" w:styleId="PageNumber">
    <w:name w:val="Page Number"/>
    <w:basedOn w:val="1"/>
    <w:rPr/>
  </w:style>
  <w:style w:type="character" w:styleId="Style6">
    <w:name w:val="Основной текст с отступом Знак"/>
    <w:qFormat/>
    <w:rPr>
      <w:lang w:val="ru-RU" w:bidi="ar-SA"/>
    </w:rPr>
  </w:style>
  <w:style w:type="character" w:styleId="Style7">
    <w:name w:val="комментарий"/>
    <w:qFormat/>
    <w:rPr>
      <w:b/>
      <w:i/>
      <w:shd w:fill="FFFF99" w:val="clear"/>
    </w:rPr>
  </w:style>
  <w:style w:type="character" w:styleId="11">
    <w:name w:val="Пункт Знак1"/>
    <w:qFormat/>
    <w:rPr>
      <w:sz w:val="28"/>
      <w:lang w:val="ru-RU" w:bidi="ar-SA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12">
    <w:name w:val="Знак примечания1"/>
    <w:qFormat/>
    <w:rPr>
      <w:sz w:val="16"/>
      <w:szCs w:val="16"/>
    </w:rPr>
  </w:style>
  <w:style w:type="character" w:styleId="6">
    <w:name w:val="Заголовок 6 Знак"/>
    <w:qFormat/>
    <w:rPr>
      <w:b/>
      <w:bCs/>
      <w:sz w:val="22"/>
      <w:szCs w:val="22"/>
    </w:rPr>
  </w:style>
  <w:style w:type="character" w:styleId="Style8">
    <w:name w:val="Нижний колонтитул Знак"/>
    <w:qFormat/>
    <w:rPr/>
  </w:style>
  <w:style w:type="character" w:styleId="Style9">
    <w:name w:val="Текст концевой сноски Знак"/>
    <w:basedOn w:val="1"/>
    <w:qFormat/>
    <w:rPr/>
  </w:style>
  <w:style w:type="character" w:styleId="Style10">
    <w:name w:val="Символы концевой сноски"/>
    <w:qFormat/>
    <w:rPr>
      <w:vertAlign w:val="superscript"/>
    </w:rPr>
  </w:style>
  <w:style w:type="character" w:styleId="Style11">
    <w:name w:val="Текст сноски Знак"/>
    <w:qFormat/>
    <w:rPr/>
  </w:style>
  <w:style w:type="character" w:styleId="Style12">
    <w:name w:val="Абзац списка Знак"/>
    <w:qFormat/>
    <w:rPr>
      <w:rFonts w:ascii="Calibri" w:hAnsi="Calibri" w:eastAsia="Calibri" w:cs="Calibri"/>
      <w:sz w:val="22"/>
      <w:szCs w:val="22"/>
    </w:rPr>
  </w:style>
  <w:style w:type="character" w:styleId="FootnoteReference1">
    <w:name w:val="Footnote Reference1"/>
    <w:qFormat/>
    <w:rPr>
      <w:vertAlign w:val="superscript"/>
    </w:rPr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2">
    <w:name w:val="Footnote Reference2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FootnoteReference3">
    <w:name w:val="Footnote Reference3"/>
    <w:qFormat/>
    <w:rPr>
      <w:vertAlign w:val="superscript"/>
    </w:rPr>
  </w:style>
  <w:style w:type="character" w:styleId="EndnoteReference3">
    <w:name w:val="Endnote Reference3"/>
    <w:qFormat/>
    <w:rPr>
      <w:vertAlign w:val="superscript"/>
    </w:rPr>
  </w:style>
  <w:style w:type="character" w:styleId="13">
    <w:name w:val="Знак сноски1"/>
    <w:qFormat/>
    <w:rPr>
      <w:vertAlign w:val="superscript"/>
    </w:rPr>
  </w:style>
  <w:style w:type="character" w:styleId="14">
    <w:name w:val="Знак концевой сноски1"/>
    <w:qFormat/>
    <w:rPr>
      <w:vertAlign w:val="superscript"/>
    </w:rPr>
  </w:style>
  <w:style w:type="character" w:styleId="FootnoteReference4">
    <w:name w:val="Footnote Reference4"/>
    <w:qFormat/>
    <w:rPr>
      <w:vertAlign w:val="superscript"/>
    </w:rPr>
  </w:style>
  <w:style w:type="character" w:styleId="EndnoteReference4">
    <w:name w:val="Endnote Reference4"/>
    <w:qFormat/>
    <w:rPr>
      <w:vertAlign w:val="superscript"/>
    </w:rPr>
  </w:style>
  <w:style w:type="character" w:styleId="FootnoteReference5">
    <w:name w:val="Footnote Reference5"/>
    <w:qFormat/>
    <w:rPr>
      <w:vertAlign w:val="superscript"/>
    </w:rPr>
  </w:style>
  <w:style w:type="character" w:styleId="EndnoteReference5">
    <w:name w:val="Endnote Reference5"/>
    <w:qFormat/>
    <w:rPr>
      <w:vertAlign w:val="superscript"/>
    </w:rPr>
  </w:style>
  <w:style w:type="character" w:styleId="FootnoteReference6">
    <w:name w:val="Footnote Reference6"/>
    <w:qFormat/>
    <w:rPr>
      <w:vertAlign w:val="superscript"/>
    </w:rPr>
  </w:style>
  <w:style w:type="character" w:styleId="EndnoteReference6">
    <w:name w:val="Endnote Reference6"/>
    <w:qFormat/>
    <w:rPr>
      <w:vertAlign w:val="superscript"/>
    </w:rPr>
  </w:style>
  <w:style w:type="character" w:styleId="Style14">
    <w:name w:val="Знак сноски"/>
    <w:qFormat/>
    <w:rPr>
      <w:vertAlign w:val="superscript"/>
    </w:rPr>
  </w:style>
  <w:style w:type="character" w:styleId="Style15">
    <w:name w:val="Знак концевой сноски"/>
    <w:qFormat/>
    <w:rPr>
      <w:vertAlign w:val="superscript"/>
    </w:rPr>
  </w:style>
  <w:style w:type="character" w:styleId="FootnoteReference7">
    <w:name w:val="Footnote Reference7"/>
    <w:qFormat/>
    <w:rPr>
      <w:vertAlign w:val="superscript"/>
    </w:rPr>
  </w:style>
  <w:style w:type="character" w:styleId="EndnoteReference7">
    <w:name w:val="Endnote Reference7"/>
    <w:qFormat/>
    <w:rPr>
      <w:vertAlign w:val="superscript"/>
    </w:rPr>
  </w:style>
  <w:style w:type="character" w:styleId="FootnoteReference8">
    <w:name w:val="Footnote Reference8"/>
    <w:qFormat/>
    <w:rPr>
      <w:vertAlign w:val="superscript"/>
    </w:rPr>
  </w:style>
  <w:style w:type="character" w:styleId="EndnoteReference8">
    <w:name w:val="Endnote Reference8"/>
    <w:qFormat/>
    <w:rPr>
      <w:vertAlign w:val="superscript"/>
    </w:rPr>
  </w:style>
  <w:style w:type="character" w:styleId="FootnoteReference9">
    <w:name w:val="Footnote Reference9"/>
    <w:qFormat/>
    <w:rPr>
      <w:vertAlign w:val="superscript"/>
    </w:rPr>
  </w:style>
  <w:style w:type="character" w:styleId="EndnoteReference9">
    <w:name w:val="Endnote Reference9"/>
    <w:qFormat/>
    <w:rPr>
      <w:vertAlign w:val="superscript"/>
    </w:rPr>
  </w:style>
  <w:style w:type="character" w:styleId="FootnoteReference10">
    <w:name w:val="Footnote Reference10"/>
    <w:qFormat/>
    <w:rPr>
      <w:vertAlign w:val="superscript"/>
    </w:rPr>
  </w:style>
  <w:style w:type="character" w:styleId="EndnoteReference10">
    <w:name w:val="Endnote Reference10"/>
    <w:qFormat/>
    <w:rPr>
      <w:vertAlign w:val="superscript"/>
    </w:rPr>
  </w:style>
  <w:style w:type="character" w:styleId="DefaultParagraphFont">
    <w:name w:val="Default Paragraph Font"/>
    <w:qFormat/>
    <w:rPr/>
  </w:style>
  <w:style w:type="character" w:styleId="FootnoteReference11">
    <w:name w:val="Footnote Reference11"/>
    <w:qFormat/>
    <w:rPr>
      <w:vertAlign w:val="superscript"/>
    </w:rPr>
  </w:style>
  <w:style w:type="character" w:styleId="EndnoteReference11">
    <w:name w:val="Endnote Reference11"/>
    <w:qFormat/>
    <w:rPr>
      <w:vertAlign w:val="superscript"/>
    </w:rPr>
  </w:style>
  <w:style w:type="character" w:styleId="FootnoteReference12">
    <w:name w:val="Footnote Reference12"/>
    <w:qFormat/>
    <w:rPr>
      <w:vertAlign w:val="superscript"/>
    </w:rPr>
  </w:style>
  <w:style w:type="character" w:styleId="EndnoteReference12">
    <w:name w:val="Endnote Reference12"/>
    <w:qFormat/>
    <w:rPr>
      <w:vertAlign w:val="superscript"/>
    </w:rPr>
  </w:style>
  <w:style w:type="character" w:styleId="FootnoteReference13">
    <w:name w:val="Footnote Reference13"/>
    <w:qFormat/>
    <w:rPr>
      <w:vertAlign w:val="superscript"/>
    </w:rPr>
  </w:style>
  <w:style w:type="character" w:styleId="EndnoteReference13">
    <w:name w:val="Endnote Reference13"/>
    <w:qFormat/>
    <w:rPr>
      <w:vertAlign w:val="superscript"/>
    </w:rPr>
  </w:style>
  <w:style w:type="character" w:styleId="FootnoteReference14">
    <w:name w:val="Footnote Reference14"/>
    <w:qFormat/>
    <w:rPr>
      <w:vertAlign w:val="superscript"/>
    </w:rPr>
  </w:style>
  <w:style w:type="character" w:styleId="EndnoteReference14">
    <w:name w:val="Endnote Reference14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2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WenQuanYi Zen Hei Sharp" w:cs="Lohit Devanagari;Calibri"/>
      <w:sz w:val="28"/>
      <w:szCs w:val="28"/>
    </w:rPr>
  </w:style>
  <w:style w:type="paragraph" w:styleId="Style18">
    <w:name w:val="Название объекта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Lohit Devanagari;Calibri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15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16">
    <w:name w:val="Название объекта1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17">
    <w:name w:val="Указатель1"/>
    <w:basedOn w:val="Normal"/>
    <w:qFormat/>
    <w:pPr>
      <w:suppressLineNumbers/>
    </w:pPr>
    <w:rPr/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Lohit Devanagari;Calib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Пункт Знак"/>
    <w:basedOn w:val="Normal"/>
    <w:qFormat/>
    <w:pPr>
      <w:widowControl/>
      <w:numPr>
        <w:ilvl w:val="0"/>
        <w:numId w:val="6"/>
      </w:numPr>
      <w:tabs>
        <w:tab w:val="clear" w:pos="708"/>
        <w:tab w:val="left" w:pos="851" w:leader="none"/>
        <w:tab w:val="left" w:pos="1134" w:leader="none"/>
      </w:tabs>
      <w:autoSpaceDE w:val="true"/>
      <w:snapToGrid w:val="false"/>
      <w:spacing w:lineRule="auto" w:line="360"/>
      <w:jc w:val="both"/>
    </w:pPr>
    <w:rPr>
      <w:sz w:val="28"/>
    </w:rPr>
  </w:style>
  <w:style w:type="paragraph" w:styleId="Style20">
    <w:name w:val="Подпункт"/>
    <w:basedOn w:val="Style19"/>
    <w:qFormat/>
    <w:pPr>
      <w:numPr>
        <w:ilvl w:val="0"/>
        <w:numId w:val="6"/>
      </w:numPr>
      <w:tabs>
        <w:tab w:val="clear" w:pos="1134"/>
        <w:tab w:val="left" w:pos="851" w:leader="none"/>
      </w:tabs>
    </w:pPr>
    <w:rPr/>
  </w:style>
  <w:style w:type="paragraph" w:styleId="Style21">
    <w:name w:val="Подподпункт"/>
    <w:basedOn w:val="Style20"/>
    <w:qFormat/>
    <w:pPr>
      <w:numPr>
        <w:ilvl w:val="0"/>
        <w:numId w:val="6"/>
      </w:numPr>
      <w:tabs>
        <w:tab w:val="left" w:pos="851" w:leader="none"/>
        <w:tab w:val="left" w:pos="1134" w:leader="none"/>
        <w:tab w:val="left" w:pos="1418" w:leader="none"/>
      </w:tabs>
      <w:snapToGrid w:val="true"/>
    </w:pPr>
    <w:rPr/>
  </w:style>
  <w:style w:type="paragraph" w:styleId="Style22">
    <w:name w:val="Подподподпункт"/>
    <w:basedOn w:val="Normal"/>
    <w:qFormat/>
    <w:pPr>
      <w:widowControl/>
      <w:tabs>
        <w:tab w:val="clear" w:pos="708"/>
        <w:tab w:val="left" w:pos="567" w:leader="none"/>
        <w:tab w:val="left" w:pos="1134" w:leader="none"/>
        <w:tab w:val="left" w:pos="1701" w:leader="none"/>
      </w:tabs>
      <w:autoSpaceDE w:val="true"/>
      <w:snapToGrid w:val="false"/>
      <w:spacing w:lineRule="auto" w:line="360"/>
      <w:ind w:left="567" w:right="0" w:hanging="279"/>
      <w:jc w:val="both"/>
    </w:pPr>
    <w:rPr>
      <w:sz w:val="28"/>
    </w:rPr>
  </w:style>
  <w:style w:type="paragraph" w:styleId="18">
    <w:name w:val="Пункт1"/>
    <w:basedOn w:val="Normal"/>
    <w:qFormat/>
    <w:pPr>
      <w:widowControl/>
      <w:tabs>
        <w:tab w:val="clear" w:pos="708"/>
        <w:tab w:val="left" w:pos="567" w:leader="none"/>
      </w:tabs>
      <w:autoSpaceDE w:val="true"/>
      <w:snapToGrid w:val="false"/>
      <w:spacing w:lineRule="auto" w:line="360" w:before="240" w:after="0"/>
      <w:ind w:left="567" w:right="0" w:hanging="279"/>
      <w:jc w:val="center"/>
    </w:pPr>
    <w:rPr>
      <w:rFonts w:ascii="Arial" w:hAnsi="Arial" w:cs="Arial"/>
      <w:b/>
      <w:sz w:val="28"/>
      <w:szCs w:val="28"/>
    </w:rPr>
  </w:style>
  <w:style w:type="paragraph" w:styleId="My1">
    <w:name w:val="my"/>
    <w:basedOn w:val="Heading1"/>
    <w:qFormat/>
    <w:pPr>
      <w:keepLines/>
      <w:widowControl/>
      <w:numPr>
        <w:ilvl w:val="0"/>
        <w:numId w:val="0"/>
      </w:numPr>
      <w:suppressAutoHyphens w:val="true"/>
      <w:autoSpaceDE w:val="true"/>
      <w:spacing w:before="360" w:after="120"/>
      <w:ind w:left="0" w:right="0" w:hanging="0"/>
      <w:jc w:val="center"/>
      <w:outlineLvl w:val="9"/>
    </w:pPr>
    <w:rPr>
      <w:rFonts w:ascii="Times New Roman" w:hAnsi="Times New Roman" w:cs="Times New Roman"/>
      <w:bCs w:val="false"/>
      <w:kern w:val="2"/>
      <w:sz w:val="28"/>
      <w:szCs w:val="28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Style23">
    <w:name w:val="Пункт"/>
    <w:basedOn w:val="BodyText"/>
    <w:qFormat/>
    <w:pPr>
      <w:tabs>
        <w:tab w:val="clear" w:pos="708"/>
        <w:tab w:val="left" w:pos="1985" w:leader="none"/>
      </w:tabs>
      <w:autoSpaceDE w:val="true"/>
      <w:spacing w:lineRule="auto" w:line="360" w:before="0" w:after="0"/>
      <w:ind w:left="1985" w:right="0" w:hanging="851"/>
      <w:jc w:val="both"/>
    </w:pPr>
    <w:rPr>
      <w:sz w:val="28"/>
    </w:rPr>
  </w:style>
  <w:style w:type="paragraph" w:styleId="Style24">
    <w:name w:val="Пункт б/н"/>
    <w:basedOn w:val="Normal"/>
    <w:qFormat/>
    <w:pPr>
      <w:widowControl/>
      <w:tabs>
        <w:tab w:val="clear" w:pos="708"/>
        <w:tab w:val="left" w:pos="1134" w:leader="none"/>
      </w:tabs>
      <w:autoSpaceDE w:val="true"/>
      <w:spacing w:lineRule="auto" w:line="360"/>
      <w:ind w:left="0" w:right="0" w:firstLine="567"/>
      <w:jc w:val="both"/>
    </w:pPr>
    <w:rPr>
      <w:sz w:val="28"/>
    </w:rPr>
  </w:style>
  <w:style w:type="paragraph" w:styleId="19">
    <w:name w:val="Текст1"/>
    <w:basedOn w:val="Normal"/>
    <w:qFormat/>
    <w:pPr>
      <w:widowControl/>
      <w:autoSpaceDE w:val="true"/>
      <w:ind w:left="0" w:right="0" w:firstLine="709"/>
      <w:jc w:val="both"/>
    </w:pPr>
    <w:rPr>
      <w:rFonts w:cs="Courier New"/>
    </w:rPr>
  </w:style>
  <w:style w:type="paragraph" w:styleId="FootnoteText">
    <w:name w:val="Footnote Text"/>
    <w:basedOn w:val="Normal"/>
    <w:pPr>
      <w:widowControl/>
      <w:autoSpaceDE w:val="true"/>
      <w:ind w:left="0" w:right="0" w:firstLine="567"/>
      <w:jc w:val="both"/>
    </w:pPr>
    <w:rPr/>
  </w:style>
  <w:style w:type="paragraph" w:styleId="Style25">
    <w:name w:val="Обычный (веб)"/>
    <w:basedOn w:val="Normal"/>
    <w:qFormat/>
    <w:pPr>
      <w:widowControl/>
      <w:autoSpaceDE w:val="true"/>
      <w:spacing w:before="0" w:after="150"/>
    </w:pPr>
    <w:rPr>
      <w:sz w:val="24"/>
      <w:szCs w:val="24"/>
    </w:rPr>
  </w:style>
  <w:style w:type="paragraph" w:styleId="22">
    <w:name w:val="Пункт_2"/>
    <w:basedOn w:val="Normal"/>
    <w:qFormat/>
    <w:pPr>
      <w:widowControl/>
      <w:tabs>
        <w:tab w:val="clear" w:pos="708"/>
        <w:tab w:val="left" w:pos="1134" w:leader="none"/>
      </w:tabs>
      <w:autoSpaceDE w:val="true"/>
      <w:spacing w:lineRule="auto" w:line="360"/>
      <w:ind w:left="1134" w:right="0" w:hanging="1133"/>
      <w:jc w:val="both"/>
    </w:pPr>
    <w:rPr>
      <w:sz w:val="28"/>
    </w:rPr>
  </w:style>
  <w:style w:type="paragraph" w:styleId="3">
    <w:name w:val="Пункт_3"/>
    <w:basedOn w:val="22"/>
    <w:qFormat/>
    <w:pPr>
      <w:tabs>
        <w:tab w:val="clear" w:pos="1134"/>
        <w:tab w:val="left" w:pos="1694" w:leader="none"/>
      </w:tabs>
      <w:ind w:left="1694" w:right="0" w:hanging="1133"/>
    </w:pPr>
    <w:rPr/>
  </w:style>
  <w:style w:type="paragraph" w:styleId="4">
    <w:name w:val="Пункт_4"/>
    <w:basedOn w:val="3"/>
    <w:qFormat/>
    <w:pPr>
      <w:tabs>
        <w:tab w:val="clear" w:pos="1694"/>
        <w:tab w:val="left" w:pos="1134" w:leader="none"/>
      </w:tabs>
      <w:ind w:left="1134" w:right="0" w:hanging="1134"/>
    </w:pPr>
    <w:rPr/>
  </w:style>
  <w:style w:type="paragraph" w:styleId="5ABCD">
    <w:name w:val="Пункт_5_ABCD"/>
    <w:basedOn w:val="Normal"/>
    <w:qFormat/>
    <w:pPr>
      <w:widowControl/>
      <w:tabs>
        <w:tab w:val="clear" w:pos="708"/>
        <w:tab w:val="left" w:pos="1701" w:leader="none"/>
      </w:tabs>
      <w:autoSpaceDE w:val="true"/>
      <w:spacing w:lineRule="auto" w:line="360"/>
      <w:ind w:left="1701" w:right="0" w:hanging="567"/>
      <w:jc w:val="both"/>
    </w:pPr>
    <w:rPr>
      <w:sz w:val="28"/>
    </w:rPr>
  </w:style>
  <w:style w:type="paragraph" w:styleId="110">
    <w:name w:val="Пункт_1"/>
    <w:basedOn w:val="Normal"/>
    <w:qFormat/>
    <w:pPr>
      <w:keepNext w:val="true"/>
      <w:widowControl/>
      <w:tabs>
        <w:tab w:val="clear" w:pos="708"/>
        <w:tab w:val="left" w:pos="568" w:leader="none"/>
      </w:tabs>
      <w:autoSpaceDE w:val="true"/>
      <w:spacing w:before="480" w:after="240"/>
      <w:ind w:left="567" w:right="0" w:hanging="567"/>
      <w:jc w:val="center"/>
    </w:pPr>
    <w:rPr>
      <w:rFonts w:ascii="Arial" w:hAnsi="Arial" w:cs="Arial"/>
      <w:b/>
      <w:sz w:val="32"/>
      <w:szCs w:val="28"/>
    </w:rPr>
  </w:style>
  <w:style w:type="paragraph" w:styleId="Style26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pPr>
      <w:spacing w:before="0" w:after="120"/>
      <w:ind w:left="283" w:right="0" w:hanging="0"/>
    </w:pPr>
    <w:rPr/>
  </w:style>
  <w:style w:type="paragraph" w:styleId="111">
    <w:name w:val="Текст примечания1"/>
    <w:basedOn w:val="Normal"/>
    <w:qFormat/>
    <w:pPr/>
    <w:rPr/>
  </w:style>
  <w:style w:type="paragraph" w:styleId="Style27">
    <w:name w:val="Тема примечания"/>
    <w:basedOn w:val="111"/>
    <w:next w:val="111"/>
    <w:qFormat/>
    <w:pPr>
      <w:widowControl/>
      <w:autoSpaceDE w:val="true"/>
      <w:spacing w:lineRule="auto" w:line="360"/>
      <w:ind w:left="0" w:right="0" w:firstLine="567"/>
      <w:jc w:val="both"/>
    </w:pPr>
    <w:rPr>
      <w:b/>
      <w:bCs/>
    </w:rPr>
  </w:style>
  <w:style w:type="paragraph" w:styleId="31">
    <w:name w:val="заголовок 3"/>
    <w:basedOn w:val="Normal"/>
    <w:next w:val="Normal"/>
    <w:qFormat/>
    <w:pPr>
      <w:keepNext w:val="true"/>
      <w:widowControl/>
      <w:spacing w:lineRule="auto" w:line="360" w:before="120" w:after="0"/>
      <w:ind w:left="0" w:right="0" w:firstLine="720"/>
      <w:jc w:val="center"/>
    </w:pPr>
    <w:rPr>
      <w:szCs w:val="24"/>
    </w:rPr>
  </w:style>
  <w:style w:type="paragraph" w:styleId="Style28">
    <w:name w:val="Обычный+ без отступа"/>
    <w:basedOn w:val="Normal"/>
    <w:qFormat/>
    <w:pPr>
      <w:widowControl/>
      <w:numPr>
        <w:ilvl w:val="0"/>
        <w:numId w:val="2"/>
      </w:numPr>
      <w:spacing w:lineRule="auto" w:line="360" w:before="120" w:after="0"/>
      <w:ind w:left="0" w:right="0" w:hanging="0"/>
      <w:jc w:val="both"/>
    </w:pPr>
    <w:rPr>
      <w:rFonts w:eastAsia="MS Mincho;ＭＳ 明朝"/>
      <w:sz w:val="28"/>
      <w:szCs w:val="28"/>
    </w:rPr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pPr>
      <w:spacing w:before="120" w:after="0"/>
    </w:pPr>
    <w:rPr>
      <w:b/>
      <w:bCs/>
      <w:i/>
      <w:iCs/>
      <w:sz w:val="24"/>
      <w:szCs w:val="28"/>
    </w:rPr>
  </w:style>
  <w:style w:type="paragraph" w:styleId="TOC2">
    <w:name w:val="TOC 2"/>
    <w:basedOn w:val="Normal"/>
    <w:next w:val="Normal"/>
    <w:pPr>
      <w:spacing w:before="120" w:after="0"/>
      <w:ind w:left="200" w:right="0" w:hanging="0"/>
    </w:pPr>
    <w:rPr>
      <w:b/>
      <w:bCs/>
      <w:sz w:val="22"/>
      <w:szCs w:val="26"/>
    </w:rPr>
  </w:style>
  <w:style w:type="paragraph" w:styleId="TOC3">
    <w:name w:val="TOC 3"/>
    <w:basedOn w:val="Normal"/>
    <w:next w:val="Normal"/>
    <w:pPr>
      <w:ind w:left="400" w:right="0" w:hanging="0"/>
    </w:pPr>
    <w:rPr>
      <w:szCs w:val="24"/>
    </w:rPr>
  </w:style>
  <w:style w:type="paragraph" w:styleId="TOC4">
    <w:name w:val="TOC 4"/>
    <w:basedOn w:val="Normal"/>
    <w:next w:val="Normal"/>
    <w:pPr>
      <w:ind w:left="600" w:right="0" w:hanging="0"/>
    </w:pPr>
    <w:rPr>
      <w:szCs w:val="24"/>
    </w:rPr>
  </w:style>
  <w:style w:type="paragraph" w:styleId="TOC5">
    <w:name w:val="TOC 5"/>
    <w:basedOn w:val="Normal"/>
    <w:next w:val="Normal"/>
    <w:pPr>
      <w:ind w:left="800" w:right="0" w:hanging="0"/>
    </w:pPr>
    <w:rPr>
      <w:szCs w:val="24"/>
    </w:rPr>
  </w:style>
  <w:style w:type="paragraph" w:styleId="TOC6">
    <w:name w:val="TOC 6"/>
    <w:basedOn w:val="Normal"/>
    <w:next w:val="Normal"/>
    <w:pPr>
      <w:ind w:left="1000" w:right="0" w:hanging="0"/>
    </w:pPr>
    <w:rPr>
      <w:szCs w:val="24"/>
    </w:rPr>
  </w:style>
  <w:style w:type="paragraph" w:styleId="TOC7">
    <w:name w:val="TOC 7"/>
    <w:basedOn w:val="Normal"/>
    <w:next w:val="Normal"/>
    <w:pPr>
      <w:ind w:left="1200" w:right="0" w:hanging="0"/>
    </w:pPr>
    <w:rPr>
      <w:szCs w:val="24"/>
    </w:rPr>
  </w:style>
  <w:style w:type="paragraph" w:styleId="TOC8">
    <w:name w:val="TOC 8"/>
    <w:basedOn w:val="Normal"/>
    <w:next w:val="Normal"/>
    <w:pPr>
      <w:ind w:left="1400" w:right="0" w:hanging="0"/>
    </w:pPr>
    <w:rPr>
      <w:szCs w:val="24"/>
    </w:rPr>
  </w:style>
  <w:style w:type="paragraph" w:styleId="TOC9">
    <w:name w:val="TOC 9"/>
    <w:basedOn w:val="Normal"/>
    <w:next w:val="Normal"/>
    <w:pPr>
      <w:ind w:left="1600" w:right="0" w:hanging="0"/>
    </w:pPr>
    <w:rPr>
      <w:szCs w:val="24"/>
    </w:rPr>
  </w:style>
  <w:style w:type="paragraph" w:styleId="221">
    <w:name w:val="Основной текст 22"/>
    <w:basedOn w:val="Normal"/>
    <w:qFormat/>
    <w:pPr>
      <w:spacing w:lineRule="auto" w:line="480" w:before="0" w:after="120"/>
    </w:pPr>
    <w:rPr/>
  </w:style>
  <w:style w:type="paragraph" w:styleId="112">
    <w:name w:val="Нумерованный список1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0">
    <w:name w:val="Абзац списка"/>
    <w:basedOn w:val="Normal"/>
    <w:qFormat/>
    <w:pPr>
      <w:widowControl/>
      <w:autoSpaceDE w:val="true"/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HEADERTEXT">
    <w:name w:val=".HEADERTEXT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2B4279"/>
      <w:sz w:val="24"/>
      <w:szCs w:val="24"/>
      <w:lang w:val="ru-RU" w:eastAsia="zh-CN" w:bidi="ar-SA"/>
    </w:rPr>
  </w:style>
  <w:style w:type="paragraph" w:styleId="EndnoteText">
    <w:name w:val="Endnote Text"/>
    <w:basedOn w:val="Normal"/>
    <w:pPr/>
    <w:rPr/>
  </w:style>
  <w:style w:type="paragraph" w:styleId="113">
    <w:name w:val="Обычный1"/>
    <w:qFormat/>
    <w:pPr>
      <w:widowControl w:val="false"/>
      <w:suppressAutoHyphens w:val="true"/>
      <w:bidi w:val="0"/>
      <w:spacing w:lineRule="auto" w:line="420" w:before="460" w:after="0"/>
      <w:ind w:left="0" w:right="0" w:firstLine="720"/>
    </w:pPr>
    <w:rPr>
      <w:rFonts w:ascii="Arial" w:hAnsi="Arial" w:eastAsia="Arial" w:cs="Arial"/>
      <w:color w:val="auto"/>
      <w:sz w:val="28"/>
      <w:szCs w:val="20"/>
      <w:lang w:val="ru-RU" w:eastAsia="zh-CN" w:bidi="ar-SA"/>
    </w:rPr>
  </w:style>
  <w:style w:type="paragraph" w:styleId="211">
    <w:name w:val="Основной текст 21"/>
    <w:basedOn w:val="Normal"/>
    <w:qFormat/>
    <w:pPr>
      <w:widowControl/>
      <w:suppressAutoHyphens w:val="true"/>
      <w:autoSpaceDE w:val="true"/>
    </w:pPr>
    <w:rPr>
      <w:sz w:val="22"/>
    </w:rPr>
  </w:style>
  <w:style w:type="paragraph" w:styleId="Style31">
    <w:name w:val="Раздел положения"/>
    <w:basedOn w:val="Normal"/>
    <w:qFormat/>
    <w:pPr>
      <w:widowControl/>
      <w:numPr>
        <w:ilvl w:val="0"/>
        <w:numId w:val="5"/>
      </w:numPr>
      <w:autoSpaceDE w:val="true"/>
      <w:spacing w:before="80" w:after="80"/>
      <w:jc w:val="center"/>
    </w:pPr>
    <w:rPr>
      <w:b/>
      <w:sz w:val="32"/>
      <w:szCs w:val="32"/>
    </w:rPr>
  </w:style>
  <w:style w:type="paragraph" w:styleId="Style32">
    <w:name w:val="Подраздел раздела положения"/>
    <w:basedOn w:val="Normal"/>
    <w:qFormat/>
    <w:pPr>
      <w:widowControl/>
      <w:tabs>
        <w:tab w:val="clear" w:pos="708"/>
        <w:tab w:val="left" w:pos="360" w:leader="none"/>
      </w:tabs>
      <w:autoSpaceDE w:val="true"/>
      <w:spacing w:before="80" w:after="80"/>
      <w:ind w:left="360" w:right="0" w:hanging="360"/>
      <w:jc w:val="both"/>
    </w:pPr>
    <w:rPr>
      <w:sz w:val="28"/>
      <w:szCs w:val="28"/>
    </w:rPr>
  </w:style>
  <w:style w:type="paragraph" w:styleId="Style33">
    <w:name w:val="Таблица шапка"/>
    <w:basedOn w:val="Normal"/>
    <w:qFormat/>
    <w:pPr>
      <w:keepNext w:val="true"/>
      <w:widowControl/>
      <w:autoSpaceDE w:val="true"/>
      <w:spacing w:before="40" w:after="40"/>
      <w:ind w:left="57" w:right="57" w:hanging="0"/>
    </w:pPr>
    <w:rPr>
      <w:sz w:val="22"/>
      <w:szCs w:val="26"/>
    </w:rPr>
  </w:style>
  <w:style w:type="paragraph" w:styleId="Style34">
    <w:name w:val="Содержимое таблицы"/>
    <w:basedOn w:val="Normal"/>
    <w:qFormat/>
    <w:pPr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textAlignment w:val="baseline"/>
    </w:pPr>
    <w:rPr>
      <w:rFonts w:ascii="Times New Roman" w:hAnsi="Times New Roman" w:eastAsia="Times New Roman" w:cs="Times New Roman"/>
      <w:color w:val="auto"/>
      <w:kern w:val="2"/>
      <w:sz w:val="28"/>
      <w:szCs w:val="28"/>
      <w:lang w:val="ru-RU" w:eastAsia="zh-CN" w:bidi="ar-SA"/>
    </w:rPr>
  </w:style>
  <w:style w:type="paragraph" w:styleId="Default">
    <w:name w:val="Default"/>
    <w:qFormat/>
    <w:pPr>
      <w:widowControl/>
      <w:suppressAutoHyphens w:val="true"/>
      <w:bidi w:val="0"/>
    </w:pPr>
    <w:rPr>
      <w:rFonts w:ascii="Times New Roman" w:hAnsi="Times New Roman" w:eastAsia="Calibri" w:cs="Times New Roman"/>
      <w:color w:val="000000"/>
      <w:sz w:val="24"/>
      <w:szCs w:val="24"/>
      <w:lang w:val="ru-RU" w:eastAsia="zh-CN" w:bidi="ar-SA"/>
    </w:rPr>
  </w:style>
  <w:style w:type="paragraph" w:styleId="NormalTable">
    <w:name w:val="Normal Table"/>
    <w:qFormat/>
    <w:pPr>
      <w:widowControl/>
      <w:suppressAutoHyphens w:val="true"/>
      <w:bidi w:val="0"/>
      <w:jc w:val="left"/>
      <w:textAlignment w:val="auto"/>
    </w:pPr>
    <w:rPr>
      <w:rFonts w:ascii="Calibri" w:hAnsi="Calibri" w:eastAsia="Times New Roman" w:cs="Calibri"/>
      <w:color w:val="auto"/>
      <w:sz w:val="22"/>
      <w:szCs w:val="22"/>
      <w:lang w:val="ru-RU" w:eastAsia="en-US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416</TotalTime>
  <Application>AlterOffice/3.3.0.4$Linux_X86_64 LibreOffice_project/fa736b558560ebea8f92088bfd7720f4b3918f3f</Application>
  <AppVersion>15.0000</AppVersion>
  <Pages>12</Pages>
  <Words>2548</Words>
  <Characters>16894</Characters>
  <CharactersWithSpaces>19043</CharactersWithSpaces>
  <Paragraphs>608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2023-08-08T16:28:00Z</dcterms:created>
  <dc:creator>okzt</dc:creator>
  <dc:description/>
  <dc:language>ru-RU</dc:language>
  <cp:lastModifiedBy>veryutin_va</cp:lastModifiedBy>
  <cp:lastPrinted>2024-07-19T08:17:00Z</cp:lastPrinted>
  <dcterms:modified xsi:type="dcterms:W3CDTF">2026-10-06T15:50:49Z</dcterms:modified>
  <cp:revision>73</cp:revision>
  <dc:subject/>
  <dc:title>5</dc:title>
</cp:coreProperties>
</file>