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bookmarkStart w:id="0" w:name="_GoBack"/>
      <w:bookmarkEnd w:id="0"/>
      <w:r>
        <w:rPr>
          <w:b w:val="false"/>
        </w:rPr>
        <w:t>Приложение</w:t>
      </w:r>
    </w:p>
    <w:p>
      <w:pPr>
        <w:pStyle w:val="Normal"/>
        <w:shd w:val="clear" w:color="auto" w:fill="FFFFFF"/>
        <w:tabs>
          <w:tab w:val="clear" w:pos="709"/>
          <w:tab w:val="left" w:pos="6926" w:leader="none"/>
        </w:tabs>
        <w:jc w:val="right"/>
        <w:rPr>
          <w:bCs/>
          <w:sz w:val="24"/>
          <w:szCs w:val="24"/>
        </w:rPr>
      </w:pPr>
      <w:r>
        <w:rPr>
          <w:bCs/>
          <w:sz w:val="24"/>
          <w:szCs w:val="24"/>
        </w:rPr>
        <w:t>к приказу ПАО «РусГидро»</w:t>
      </w:r>
    </w:p>
    <w:p>
      <w:pPr>
        <w:pStyle w:val="Normal"/>
        <w:shd w:val="clear" w:color="auto" w:fill="FFFFFF"/>
        <w:tabs>
          <w:tab w:val="clear" w:pos="709"/>
          <w:tab w:val="left" w:pos="6926" w:leader="none"/>
        </w:tabs>
        <w:jc w:val="right"/>
        <w:rPr>
          <w:b/>
          <w:sz w:val="24"/>
          <w:szCs w:val="24"/>
        </w:rPr>
      </w:pPr>
      <w:r>
        <w:rPr>
          <w:sz w:val="24"/>
          <w:szCs w:val="24"/>
        </w:rPr>
        <w:t>от 02.07.2024 № 415</w:t>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bCs/>
          <w:color w:val="000000" w:themeColor="text1"/>
          <w:sz w:val="24"/>
          <w:szCs w:val="24"/>
        </w:rPr>
        <w:t xml:space="preserve">Акционерное общество «Транспортная компания РусГидро» (АО «ТК РусГидро») </w:t>
      </w:r>
      <w:r>
        <w:rPr>
          <w:b/>
          <w:color w:val="000000" w:themeColor="text1"/>
          <w:sz w:val="24"/>
          <w:szCs w:val="24"/>
        </w:rPr>
        <w:t xml:space="preserve">(далее – «Покупатель»), </w:t>
      </w:r>
      <w:r>
        <w:rPr>
          <w:b/>
          <w:color w:val="000000" w:themeColor="text1"/>
          <w:spacing w:val="4"/>
          <w:sz w:val="24"/>
          <w:szCs w:val="24"/>
          <w:lang w:eastAsia="en-US" w:bidi="en-US"/>
        </w:rPr>
        <w:t>в лице______________________</w:t>
      </w:r>
      <w:r>
        <w:rPr>
          <w:b/>
          <w:color w:val="000000" w:themeColor="text1"/>
          <w:sz w:val="24"/>
          <w:szCs w:val="24"/>
        </w:rPr>
        <w:t>, с одной стороны</w:t>
      </w:r>
      <w:r>
        <w:rPr>
          <w:spacing w:val="4"/>
          <w:sz w:val="24"/>
          <w:szCs w:val="24"/>
        </w:rPr>
        <w:t xml:space="preserve">,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w:t>
      </w:r>
      <w:r>
        <w:rPr>
          <w:sz w:val="24"/>
          <w:szCs w:val="24"/>
          <w:highlight w:val="lightGray"/>
          <w:lang w:eastAsia="en-US"/>
        </w:rPr>
        <w:t>8240</w:t>
      </w:r>
      <w:r>
        <w:rPr>
          <w:sz w:val="24"/>
          <w:szCs w:val="24"/>
          <w:highlight w:val="lightGray"/>
          <w:lang w:eastAsia="en-US"/>
        </w:rPr>
        <w:t>-ТПИР ОНМ-202</w:t>
      </w:r>
      <w:r>
        <w:rPr>
          <w:sz w:val="24"/>
          <w:szCs w:val="24"/>
          <w:highlight w:val="lightGray"/>
          <w:lang w:eastAsia="en-US"/>
        </w:rPr>
        <w:t>7</w:t>
      </w:r>
      <w:r>
        <w:rPr>
          <w:sz w:val="24"/>
          <w:szCs w:val="24"/>
          <w:highlight w:val="lightGray"/>
          <w:lang w:eastAsia="en-US"/>
        </w:rPr>
        <w:t>-ТК</w:t>
      </w:r>
      <w:r>
        <w:rPr>
          <w:rStyle w:val="Hyperlink"/>
          <w:rFonts w:eastAsia="Times New Roman" w:cs="Times New Roman"/>
          <w:b w:val="false"/>
          <w:i w:val="false"/>
          <w:caps w:val="false"/>
          <w:smallCaps w:val="false"/>
          <w:color w:val="000000"/>
          <w:spacing w:val="0"/>
          <w:kern w:val="0"/>
          <w:sz w:val="24"/>
          <w:szCs w:val="26"/>
          <w:highlight w:val="lightGray"/>
          <w:u w:val="none"/>
          <w:shd w:fill="auto" w:val="clear"/>
          <w:lang w:val="ru-RU" w:eastAsia="ru-RU" w:bidi="ar-SA"/>
        </w:rPr>
        <w:t xml:space="preserve"> </w:t>
      </w:r>
      <w:r>
        <w:rPr>
          <w:sz w:val="24"/>
          <w:szCs w:val="24"/>
          <w:highlight w:val="lightGray"/>
          <w:lang w:eastAsia="en-US"/>
        </w:rPr>
        <w:t xml:space="preserve">и на основании протокола __________ от «___» _________ г. №_______,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ListParagraph"/>
        <w:widowControl w:val="false"/>
        <w:tabs>
          <w:tab w:val="clear" w:pos="709"/>
          <w:tab w:val="left" w:pos="567" w:leader="none"/>
          <w:tab w:val="left" w:pos="1134" w:leader="none"/>
        </w:tabs>
        <w:suppressAutoHyphens w:val="true"/>
        <w:bidi w:val="0"/>
        <w:spacing w:before="0" w:after="0"/>
        <w:ind w:hanging="0" w:left="0"/>
        <w:contextualSpacing/>
        <w:jc w:val="both"/>
        <w:rPr>
          <w:b/>
          <w:lang w:eastAsia="en-US"/>
        </w:rPr>
      </w:pPr>
      <w:r>
        <w:rPr>
          <w:b/>
          <w:sz w:val="24"/>
          <w:szCs w:val="24"/>
          <w:lang w:eastAsia="en-US"/>
        </w:rPr>
        <w:tab/>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highlight w:val="none"/>
          <w:shd w:fill="auto" w:val="clear"/>
        </w:rPr>
      </w:pPr>
      <w:r>
        <w:rPr>
          <w:bCs/>
          <w:sz w:val="24"/>
          <w:szCs w:val="24"/>
          <w:shd w:fill="auto" w:val="clear"/>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shd w:fill="auto" w:val="clear"/>
          <w:lang w:eastAsia="en-US"/>
        </w:rPr>
        <w:t xml:space="preserve"> </w:t>
      </w:r>
      <w:r>
        <w:rPr>
          <w:rFonts w:eastAsia="Calibri"/>
          <w:bCs/>
          <w:sz w:val="24"/>
          <w:szCs w:val="24"/>
          <w:shd w:fill="auto" w:val="clear"/>
          <w:lang w:eastAsia="en-US"/>
        </w:rPr>
        <w:t>грузо</w:t>
      </w:r>
      <w:r>
        <w:rPr>
          <w:rFonts w:eastAsia="Calibri"/>
          <w:bCs/>
          <w:sz w:val="24"/>
          <w:szCs w:val="24"/>
          <w:shd w:fill="auto" w:val="clear"/>
          <w:lang w:eastAsia="en-US"/>
        </w:rPr>
        <w:t xml:space="preserve">пассажирские </w:t>
      </w:r>
      <w:r>
        <w:rPr>
          <w:b w:val="false"/>
          <w:bCs w:val="false"/>
          <w:i w:val="false"/>
          <w:iCs w:val="false"/>
          <w:sz w:val="24"/>
          <w:szCs w:val="24"/>
          <w:shd w:fill="auto" w:val="clear"/>
        </w:rPr>
        <w:t xml:space="preserve">автобусы для нужд АО </w:t>
      </w:r>
      <w:r>
        <w:rPr>
          <w:rFonts w:eastAsia="Times New Roman" w:cs="Times New Roman"/>
          <w:b w:val="false"/>
          <w:bCs w:val="false"/>
          <w:i w:val="false"/>
          <w:iCs w:val="false"/>
          <w:color w:val="000000"/>
          <w:kern w:val="0"/>
          <w:sz w:val="24"/>
          <w:szCs w:val="24"/>
          <w:shd w:fill="auto" w:val="clear"/>
          <w:lang w:val="ru-RU" w:eastAsia="ru-RU" w:bidi="ar-SA"/>
        </w:rPr>
        <w:t>«ТК Русгидро»</w:t>
      </w:r>
      <w:r>
        <w:rPr>
          <w:bCs/>
          <w:sz w:val="24"/>
          <w:szCs w:val="24"/>
          <w:shd w:fill="auto" w:val="clear"/>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Поставка Товара по Договору осуществляется для нужд АО «ТК  РусГидро».</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Место поставки Товара: Россия, Приморский край, г. Владивосток</w:t>
      </w:r>
      <w:r>
        <w:rPr>
          <w:sz w:val="24"/>
          <w:szCs w:val="24"/>
          <w:shd w:fill="auto" w:val="clear"/>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w:t>
      </w:r>
      <w:r>
        <w:rPr>
          <w:bCs/>
          <w:sz w:val="24"/>
          <w:szCs w:val="24"/>
          <w:shd w:fill="auto" w:val="clear"/>
        </w:rPr>
        <w:t>ок поставки Товара: не позднее «</w:t>
      </w:r>
      <w:r>
        <w:rPr>
          <w:bCs/>
          <w:sz w:val="24"/>
          <w:szCs w:val="24"/>
          <w:shd w:fill="auto" w:val="clear"/>
        </w:rPr>
        <w:t>30</w:t>
      </w:r>
      <w:r>
        <w:rPr>
          <w:bCs/>
          <w:sz w:val="24"/>
          <w:szCs w:val="24"/>
          <w:shd w:fill="auto" w:val="clear"/>
        </w:rPr>
        <w:t xml:space="preserve">» </w:t>
      </w:r>
      <w:r>
        <w:rPr>
          <w:bCs/>
          <w:sz w:val="24"/>
          <w:szCs w:val="24"/>
          <w:shd w:fill="auto" w:val="clear"/>
        </w:rPr>
        <w:t>сентября</w:t>
      </w:r>
      <w:r>
        <w:rPr>
          <w:bCs/>
          <w:sz w:val="24"/>
          <w:szCs w:val="24"/>
          <w:shd w:fill="auto" w:val="clear"/>
        </w:rPr>
        <w:t xml:space="preserve"> 202</w:t>
      </w:r>
      <w:r>
        <w:rPr>
          <w:bCs/>
          <w:sz w:val="24"/>
          <w:szCs w:val="24"/>
          <w:shd w:fill="auto" w:val="clear"/>
        </w:rPr>
        <w:t>7</w:t>
      </w:r>
      <w:r>
        <w:rPr>
          <w:bCs/>
          <w:sz w:val="24"/>
          <w:szCs w:val="24"/>
          <w:shd w:fill="auto" w:val="clear"/>
        </w:rPr>
        <w:t xml:space="preserve"> г.</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ListParagraph"/>
        <w:widowControl w:val="false"/>
        <w:numPr>
          <w:ilvl w:val="1"/>
          <w:numId w:val="2"/>
        </w:numPr>
        <w:suppressAutoHyphens w:val="true"/>
        <w:bidi w:val="0"/>
        <w:spacing w:before="0" w:after="0"/>
        <w:ind w:hanging="794" w:left="1474" w:right="0"/>
        <w:contextualSpacing/>
        <w:jc w:val="left"/>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w:t>
      </w:r>
      <w:r>
        <w:rPr>
          <w:rStyle w:val="FootnoteReference"/>
          <w:sz w:val="24"/>
        </w:rPr>
        <w:footnoteReference w:id="3"/>
      </w:r>
      <w:r>
        <w:rPr>
          <w:sz w:val="24"/>
        </w:rPr>
        <w:t xml:space="preserve"> выплачивается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w:t>
        <w:br/>
        <w:t>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2.4.1, 2.4.4 Договора.</w:t>
      </w:r>
    </w:p>
    <w:p>
      <w:pPr>
        <w:pStyle w:val="ListParagraph"/>
        <w:numPr>
          <w:ilvl w:val="2"/>
          <w:numId w:val="2"/>
        </w:numPr>
        <w:ind w:firstLine="709" w:left="0"/>
        <w:jc w:val="both"/>
        <w:rPr>
          <w:sz w:val="24"/>
        </w:rPr>
      </w:pPr>
      <w:r>
        <w:rPr>
          <w:sz w:val="24"/>
        </w:rPr>
        <w:t>Окончательный платеж в размере 70 (семидесяти) процентов от стоимости Товара</w:t>
      </w:r>
      <w:r>
        <w:rPr>
          <w:rStyle w:val="FootnoteReference"/>
          <w:sz w:val="24"/>
        </w:rPr>
        <w:footnoteReference w:id="4"/>
      </w:r>
      <w:r>
        <w:rPr>
          <w:sz w:val="24"/>
        </w:rPr>
        <w:t xml:space="preserve"> выплачивается Поставщику в течение </w:t>
      </w:r>
      <w:r>
        <w:rPr>
          <w:sz w:val="24"/>
          <w:highlight w:val="lightGray"/>
        </w:rPr>
        <w:t>45 (сорока пяти) календарных дней</w:t>
      </w:r>
      <w:r>
        <w:rPr>
          <w:rStyle w:val="FootnoteReference"/>
          <w:sz w:val="24"/>
          <w:highlight w:val="lightGray"/>
        </w:rPr>
        <w:footnoteReference w:id="5"/>
      </w:r>
      <w:r>
        <w:rPr>
          <w:sz w:val="24"/>
          <w:highlight w:val="lightGray"/>
        </w:rPr>
        <w:t xml:space="preserve"> / 7 (семи) рабочих дней</w:t>
      </w:r>
      <w:r>
        <w:rPr>
          <w:rStyle w:val="FootnoteReference"/>
          <w:sz w:val="24"/>
          <w:highlight w:val="lightGray"/>
        </w:rPr>
        <w:footnoteReference w:id="6"/>
      </w:r>
      <w:r>
        <w:rPr>
          <w:sz w:val="24"/>
        </w:rPr>
        <w:t xml:space="preserve"> с даты подписания Сторонами Накладной ТОРГ-12/УПД на основании счета, выставленного Поставщиком, и с учетом пункта 2.4.4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1"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1"/>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3" w:name="_Ref361396594"/>
      <w:r>
        <w:rPr>
          <w:sz w:val="24"/>
          <w:szCs w:val="24"/>
        </w:rPr>
        <w:t xml:space="preserve">Датой поставки Товара является дата подписания Сторонами Накладной </w:t>
        <w:br/>
        <w:t>ТОРГ-12/УПД.</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8"/>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shd w:val="clear" w:color="auto" w:fill="FFFFFF"/>
        <w:tabs>
          <w:tab w:val="clear" w:pos="709"/>
          <w:tab w:val="left" w:pos="1418" w:leader="none"/>
        </w:tabs>
        <w:ind w:firstLine="709" w:left="0"/>
        <w:jc w:val="both"/>
        <w:rPr>
          <w:bCs/>
        </w:rPr>
      </w:pPr>
      <w:r>
        <w:rPr>
          <w:bCs/>
          <w:color w:val="000000"/>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bCs/>
          <w:sz w:val="24"/>
          <w:szCs w:val="24"/>
          <w:shd w:fill="FFFF00" w:val="clear"/>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9"/>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2.4.1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10"/>
      </w:r>
      <w:r>
        <w:rPr>
          <w:sz w:val="24"/>
          <w:szCs w:val="24"/>
          <w:highlight w:val="lightGray"/>
        </w:rPr>
        <w:t>.</w:t>
      </w:r>
    </w:p>
    <w:p>
      <w:pPr>
        <w:pStyle w:val="ListParagraph"/>
        <w:widowControl/>
        <w:numPr>
          <w:ilvl w:val="1"/>
          <w:numId w:val="2"/>
        </w:numPr>
        <w:shd w:val="clear" w:color="auto" w:fill="FFFFFF"/>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color w:val="000000" w:themeColor="text1"/>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5"/>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5"/>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5"/>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5"/>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5"/>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5"/>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5"/>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5"/>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5"/>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5"/>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5"/>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5"/>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5"/>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11"/>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2"/>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3"/>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10"/>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4"/>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5"/>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1"/>
    </w:p>
    <w:p>
      <w:pPr>
        <w:pStyle w:val="Normal"/>
        <w:widowControl w:val="false"/>
        <w:suppressAutoHyphens w:val="true"/>
        <w:bidi w:val="0"/>
        <w:spacing w:before="0" w:after="0"/>
        <w:ind w:firstLine="709"/>
        <w:jc w:val="both"/>
        <w:rPr>
          <w:bCs/>
          <w:sz w:val="24"/>
          <w:szCs w:val="24"/>
          <w:highlight w:val="lightGray"/>
        </w:rPr>
      </w:pPr>
      <w:r>
        <w:rPr>
          <w:bCs/>
          <w:sz w:val="24"/>
          <w:szCs w:val="24"/>
          <w:highlight w:val="lightGray"/>
        </w:rPr>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68"/>
        <w:gridCol w:w="160"/>
        <w:gridCol w:w="4626"/>
        <w:gridCol w:w="336"/>
      </w:tblGrid>
      <w:tr>
        <w:trPr/>
        <w:tc>
          <w:tcPr>
            <w:tcW w:w="4928" w:type="dxa"/>
            <w:gridSpan w:val="2"/>
            <w:tcBorders/>
          </w:tcPr>
          <w:p>
            <w:pPr>
              <w:pStyle w:val="Normal"/>
              <w:rPr>
                <w:sz w:val="24"/>
                <w:szCs w:val="24"/>
              </w:rPr>
            </w:pPr>
            <w:r>
              <w:rPr/>
              <w:t>ПОКУПАТЕЛЬ:</w:t>
            </w:r>
          </w:p>
        </w:tc>
        <w:tc>
          <w:tcPr>
            <w:tcW w:w="4962" w:type="dxa"/>
            <w:gridSpan w:val="2"/>
            <w:tcBorders/>
          </w:tcPr>
          <w:p>
            <w:pPr>
              <w:pStyle w:val="Normal"/>
              <w:rPr>
                <w:sz w:val="24"/>
                <w:szCs w:val="24"/>
              </w:rPr>
            </w:pPr>
            <w:r>
              <w:rPr/>
              <w:t>ПОСТАВЩИК:</w:t>
            </w:r>
          </w:p>
        </w:tc>
      </w:tr>
      <w:tr>
        <w:trPr/>
        <w:tc>
          <w:tcPr>
            <w:tcW w:w="4928" w:type="dxa"/>
            <w:gridSpan w:val="2"/>
            <w:tcBorders/>
          </w:tcPr>
          <w:p>
            <w:pPr>
              <w:pStyle w:val="Normal"/>
              <w:bidi w:val="0"/>
              <w:rPr>
                <w:b/>
                <w:bCs/>
                <w:sz w:val="24"/>
                <w:szCs w:val="24"/>
              </w:rPr>
            </w:pPr>
            <w:r>
              <w:rPr>
                <w:b/>
                <w:bCs/>
                <w:sz w:val="24"/>
                <w:szCs w:val="24"/>
              </w:rPr>
              <w:t>Акционерное общество «Транспортная компания РусГидро»</w:t>
            </w:r>
          </w:p>
          <w:p>
            <w:pPr>
              <w:pStyle w:val="Normal"/>
              <w:bidi w:val="0"/>
              <w:rPr>
                <w:sz w:val="24"/>
                <w:szCs w:val="24"/>
              </w:rPr>
            </w:pPr>
            <w:r>
              <w:rPr>
                <w:sz w:val="24"/>
                <w:szCs w:val="24"/>
              </w:rPr>
              <w:t>АО «ТК РусГидро»</w:t>
            </w:r>
          </w:p>
          <w:p>
            <w:pPr>
              <w:pStyle w:val="Normal"/>
              <w:bidi w:val="0"/>
              <w:rPr>
                <w:sz w:val="24"/>
                <w:szCs w:val="24"/>
              </w:rPr>
            </w:pPr>
            <w:r>
              <w:rPr>
                <w:sz w:val="24"/>
                <w:szCs w:val="24"/>
              </w:rPr>
              <w:t>Юридический адрес: 655619, Республика Хакасия, город Саяногорск, рабочий поселок Черемушки, стр.101</w:t>
            </w:r>
          </w:p>
          <w:p>
            <w:pPr>
              <w:pStyle w:val="Normal"/>
              <w:bidi w:val="0"/>
              <w:rPr>
                <w:sz w:val="24"/>
                <w:szCs w:val="24"/>
              </w:rPr>
            </w:pPr>
            <w:r>
              <w:rPr>
                <w:sz w:val="24"/>
                <w:szCs w:val="24"/>
              </w:rPr>
              <w:t>Почтовый адрес: 690003, Россия, Приморский край., г. Владивосток, ул. Станюковича д. 1</w:t>
            </w:r>
          </w:p>
          <w:p>
            <w:pPr>
              <w:pStyle w:val="Normal"/>
              <w:bidi w:val="0"/>
              <w:rPr>
                <w:sz w:val="24"/>
                <w:szCs w:val="24"/>
              </w:rPr>
            </w:pPr>
            <w:r>
              <w:rPr>
                <w:sz w:val="24"/>
                <w:szCs w:val="24"/>
              </w:rPr>
              <w:t>ИНН 1902018248</w:t>
            </w:r>
          </w:p>
          <w:p>
            <w:pPr>
              <w:pStyle w:val="Normal"/>
              <w:bidi w:val="0"/>
              <w:rPr>
                <w:sz w:val="24"/>
                <w:szCs w:val="24"/>
              </w:rPr>
            </w:pPr>
            <w:r>
              <w:rPr>
                <w:sz w:val="24"/>
                <w:szCs w:val="24"/>
              </w:rPr>
              <w:t>КПП 190201001</w:t>
            </w:r>
          </w:p>
          <w:p>
            <w:pPr>
              <w:pStyle w:val="Normal"/>
              <w:bidi w:val="0"/>
              <w:rPr>
                <w:sz w:val="24"/>
                <w:szCs w:val="24"/>
              </w:rPr>
            </w:pPr>
            <w:r>
              <w:rPr>
                <w:sz w:val="24"/>
                <w:szCs w:val="24"/>
              </w:rPr>
              <w:t>ОГРН 1031900676356</w:t>
            </w:r>
          </w:p>
          <w:p>
            <w:pPr>
              <w:pStyle w:val="Normal"/>
              <w:bidi w:val="0"/>
              <w:rPr>
                <w:sz w:val="24"/>
                <w:szCs w:val="24"/>
              </w:rPr>
            </w:pPr>
            <w:r>
              <w:rPr>
                <w:sz w:val="24"/>
                <w:szCs w:val="24"/>
              </w:rPr>
              <w:t>ОКПО 42213224</w:t>
            </w:r>
          </w:p>
          <w:p>
            <w:pPr>
              <w:pStyle w:val="Normal"/>
              <w:widowControl w:val="false"/>
              <w:jc w:val="left"/>
              <w:rPr>
                <w:sz w:val="24"/>
                <w:szCs w:val="24"/>
              </w:rPr>
            </w:pPr>
            <w:r>
              <w:rPr>
                <w:sz w:val="24"/>
                <w:szCs w:val="24"/>
                <w:lang w:val="ru-RU"/>
              </w:rPr>
              <w:t>р/с 40702810795000000002</w:t>
            </w:r>
          </w:p>
          <w:p>
            <w:pPr>
              <w:pStyle w:val="Normal"/>
              <w:widowControl w:val="false"/>
              <w:jc w:val="left"/>
              <w:rPr>
                <w:sz w:val="24"/>
                <w:szCs w:val="24"/>
              </w:rPr>
            </w:pPr>
            <w:r>
              <w:rPr>
                <w:sz w:val="24"/>
                <w:szCs w:val="24"/>
                <w:lang w:val="ru-RU"/>
              </w:rPr>
              <w:t>в «Газпромбанк» (Акционерное общество)</w:t>
            </w:r>
          </w:p>
          <w:p>
            <w:pPr>
              <w:pStyle w:val="Normal"/>
              <w:widowControl w:val="false"/>
              <w:jc w:val="left"/>
              <w:rPr>
                <w:sz w:val="24"/>
                <w:szCs w:val="24"/>
              </w:rPr>
            </w:pPr>
            <w:r>
              <w:rPr>
                <w:sz w:val="24"/>
                <w:szCs w:val="24"/>
                <w:lang w:val="ru-RU"/>
              </w:rPr>
              <w:t>ГПБ (АО) г. Москва</w:t>
            </w:r>
          </w:p>
          <w:p>
            <w:pPr>
              <w:pStyle w:val="Normal"/>
              <w:widowControl w:val="false"/>
              <w:jc w:val="left"/>
              <w:rPr>
                <w:sz w:val="24"/>
                <w:szCs w:val="24"/>
              </w:rPr>
            </w:pPr>
            <w:r>
              <w:rPr>
                <w:sz w:val="24"/>
                <w:szCs w:val="24"/>
                <w:lang w:val="ru-RU"/>
              </w:rPr>
              <w:t>к/с 30101810200000000823</w:t>
            </w:r>
          </w:p>
          <w:p>
            <w:pPr>
              <w:pStyle w:val="Normal"/>
              <w:widowControl w:val="false"/>
              <w:jc w:val="left"/>
              <w:rPr>
                <w:sz w:val="24"/>
                <w:szCs w:val="24"/>
              </w:rPr>
            </w:pPr>
            <w:r>
              <w:rPr>
                <w:sz w:val="24"/>
                <w:szCs w:val="24"/>
                <w:lang w:val="ru-RU"/>
              </w:rPr>
              <w:t>БИК 044525823</w:t>
            </w:r>
          </w:p>
        </w:tc>
        <w:tc>
          <w:tcPr>
            <w:tcW w:w="4962" w:type="dxa"/>
            <w:gridSpan w:val="2"/>
            <w:tcBorders/>
          </w:tcPr>
          <w:p>
            <w:pPr>
              <w:pStyle w:val="Normal"/>
              <w:rPr>
                <w:sz w:val="24"/>
                <w:szCs w:val="24"/>
              </w:rPr>
            </w:pPr>
            <w:r>
              <w:rPr>
                <w:sz w:val="24"/>
                <w:szCs w:val="24"/>
              </w:rPr>
            </w:r>
          </w:p>
        </w:tc>
      </w:tr>
      <w:tr>
        <w:trPr/>
        <w:tc>
          <w:tcPr>
            <w:tcW w:w="4768" w:type="dxa"/>
            <w:tcBorders/>
          </w:tcPr>
          <w:p>
            <w:pPr>
              <w:pStyle w:val="Normal"/>
              <w:rPr>
                <w:sz w:val="24"/>
                <w:szCs w:val="24"/>
                <w:highlight w:val="lightGray"/>
              </w:rPr>
            </w:pPr>
            <w:r>
              <w:rPr/>
              <w:t>_______________ / _______________</w:t>
            </w:r>
          </w:p>
          <w:p>
            <w:pPr>
              <w:pStyle w:val="Normal"/>
              <w:rPr>
                <w:sz w:val="24"/>
                <w:szCs w:val="24"/>
                <w:highlight w:val="lightGray"/>
              </w:rPr>
            </w:pPr>
            <w:r>
              <w:rPr>
                <w:sz w:val="24"/>
                <w:szCs w:val="24"/>
                <w:highlight w:val="lightGray"/>
              </w:rPr>
            </w:r>
          </w:p>
        </w:tc>
        <w:tc>
          <w:tcPr>
            <w:tcW w:w="4786" w:type="dxa"/>
            <w:gridSpan w:val="2"/>
            <w:tcBorders/>
          </w:tcPr>
          <w:p>
            <w:pPr>
              <w:pStyle w:val="Normal"/>
              <w:rPr>
                <w:sz w:val="24"/>
                <w:szCs w:val="24"/>
              </w:rPr>
            </w:pPr>
            <w:r>
              <w:rPr/>
              <w:t>_______________ / _______________</w:t>
            </w:r>
          </w:p>
        </w:tc>
        <w:tc>
          <w:tcPr>
            <w:tcW w:w="33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16384"/>
        </w:sectPr>
      </w:pPr>
    </w:p>
    <w:p>
      <w:pPr>
        <w:pStyle w:val="Normal"/>
        <w:ind w:hanging="0" w:left="5103" w:right="96"/>
        <w:rPr>
          <w:sz w:val="22"/>
          <w:szCs w:val="22"/>
        </w:rPr>
      </w:pPr>
      <w:r>
        <w:rPr>
          <w:sz w:val="22"/>
          <w:szCs w:val="22"/>
        </w:rPr>
        <w:t>Приложение № 1</w:t>
      </w:r>
    </w:p>
    <w:p>
      <w:pPr>
        <w:pStyle w:val="Normal"/>
        <w:ind w:hanging="0" w:left="5103" w:right="96"/>
        <w:rPr>
          <w:sz w:val="22"/>
          <w:szCs w:val="22"/>
        </w:rPr>
      </w:pPr>
      <w:r>
        <w:rPr>
          <w:sz w:val="22"/>
          <w:szCs w:val="22"/>
        </w:rPr>
        <w:t>к Договору поставки</w:t>
      </w:r>
    </w:p>
    <w:p>
      <w:pPr>
        <w:pStyle w:val="Normal"/>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6"/>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7"/>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ind w:hanging="0" w:left="-737" w:right="680"/>
        <w:jc w:val="both"/>
        <w:rPr>
          <w:i/>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left="-737" w:right="680"/>
        <w:jc w:val="both"/>
        <w:rPr>
          <w:i/>
          <w:i/>
          <w:iCs/>
        </w:rPr>
      </w:pPr>
      <w:r>
        <w:rPr>
          <w:i/>
          <w:iCs/>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ind w:firstLine="5103" w:right="96"/>
        <w:rPr>
          <w:sz w:val="22"/>
          <w:szCs w:val="22"/>
        </w:rPr>
      </w:pPr>
      <w:r>
        <w:rPr>
          <w:sz w:val="22"/>
          <w:szCs w:val="22"/>
        </w:rPr>
        <w:t>Приложение № 2</w:t>
      </w:r>
    </w:p>
    <w:p>
      <w:pPr>
        <w:pStyle w:val="Normal"/>
        <w:ind w:firstLine="5103" w:right="96"/>
        <w:rPr>
          <w:sz w:val="22"/>
          <w:szCs w:val="22"/>
        </w:rPr>
      </w:pPr>
      <w:r>
        <w:rPr>
          <w:sz w:val="22"/>
          <w:szCs w:val="22"/>
        </w:rPr>
        <w:t xml:space="preserve">к Договору поставки </w:t>
      </w:r>
    </w:p>
    <w:p>
      <w:pPr>
        <w:pStyle w:val="Normal"/>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ind w:firstLine="5529" w:right="96"/>
        <w:rPr>
          <w:sz w:val="22"/>
          <w:szCs w:val="22"/>
        </w:rPr>
      </w:pPr>
      <w:r>
        <w:rPr>
          <w:sz w:val="22"/>
          <w:szCs w:val="22"/>
        </w:rPr>
        <w:t>Приложение № 3</w:t>
      </w:r>
    </w:p>
    <w:p>
      <w:pPr>
        <w:pStyle w:val="Normal"/>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8"/>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lang w:val="en-GB"/>
        </w:rPr>
        <w:footnoteReference w:id="19"/>
      </w:r>
      <w:r>
        <w:rPr>
          <w:sz w:val="24"/>
          <w:szCs w:val="24"/>
        </w:rPr>
        <w:t>, а также соответствовать следующим критериям:</w:t>
      </w:r>
    </w:p>
    <w:p>
      <w:pPr>
        <w:pStyle w:val="Normal"/>
        <w:widowControl/>
        <w:numPr>
          <w:ilvl w:val="1"/>
          <w:numId w:val="13"/>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3"/>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3"/>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8">
        <w:r>
          <w:rPr>
            <w:rStyle w:val="Hyperlink"/>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pPr>
        <w:pStyle w:val="Normal"/>
        <w:widowControl/>
        <w:numPr>
          <w:ilvl w:val="1"/>
          <w:numId w:val="13"/>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lang w:val="en-GB"/>
        </w:rPr>
        <w:footnoteReference w:id="20"/>
      </w:r>
      <w:r>
        <w:rPr>
          <w:sz w:val="24"/>
          <w:szCs w:val="24"/>
        </w:rPr>
        <w:t xml:space="preserve">. </w:t>
      </w:r>
    </w:p>
    <w:p>
      <w:pPr>
        <w:pStyle w:val="Normal"/>
        <w:widowControl/>
        <w:numPr>
          <w:ilvl w:val="1"/>
          <w:numId w:val="13"/>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lang w:val="en-GB"/>
        </w:rPr>
        <w:footnoteReference w:id="21"/>
      </w:r>
      <w:r>
        <w:rPr>
          <w:sz w:val="24"/>
          <w:szCs w:val="24"/>
        </w:rPr>
        <w:t>.</w:t>
      </w:r>
    </w:p>
    <w:p>
      <w:pPr>
        <w:pStyle w:val="Normal"/>
        <w:widowControl/>
        <w:numPr>
          <w:ilvl w:val="1"/>
          <w:numId w:val="13"/>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3"/>
        </w:numPr>
        <w:tabs>
          <w:tab w:val="clear" w:pos="709"/>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3"/>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lang w:val="en-GB"/>
        </w:rPr>
        <w:footnoteReference w:id="22"/>
      </w:r>
      <w:r>
        <w:rPr>
          <w:sz w:val="24"/>
          <w:szCs w:val="24"/>
        </w:rPr>
        <w:t>.</w:t>
      </w:r>
    </w:p>
    <w:p>
      <w:pPr>
        <w:pStyle w:val="Normal"/>
        <w:widowControl/>
        <w:numPr>
          <w:ilvl w:val="1"/>
          <w:numId w:val="13"/>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4"/>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4"/>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4"/>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4"/>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4"/>
        </w:numPr>
        <w:tabs>
          <w:tab w:val="clear" w:pos="709"/>
          <w:tab w:val="left" w:pos="1134" w:leader="none"/>
        </w:tabs>
        <w:ind w:firstLine="709" w:left="0"/>
        <w:rPr>
          <w:sz w:val="24"/>
          <w:szCs w:val="24"/>
        </w:rPr>
      </w:pPr>
      <w:r>
        <w:rPr>
          <w:sz w:val="24"/>
          <w:szCs w:val="24"/>
          <w:lang w:val="en-GB"/>
        </w:rPr>
        <w:t>Нерезидентов Российской Федерации.</w:t>
      </w:r>
    </w:p>
    <w:p>
      <w:pPr>
        <w:pStyle w:val="Normal"/>
        <w:widowControl/>
        <w:numPr>
          <w:ilvl w:val="1"/>
          <w:numId w:val="13"/>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ind w:hanging="0" w:right="-108"/>
              <w:rPr>
                <w:color w:val="000000"/>
                <w:sz w:val="24"/>
                <w:szCs w:val="24"/>
              </w:rPr>
            </w:pPr>
            <w:r>
              <w:rPr>
                <w:b/>
                <w:i/>
                <w:color w:val="000000"/>
                <w:sz w:val="24"/>
                <w:szCs w:val="24"/>
              </w:rPr>
              <w:t>Lim</w:t>
            </w:r>
            <w:r>
              <w:rPr>
                <w:b/>
                <w:i/>
                <w:color w:val="000000"/>
                <w:sz w:val="24"/>
                <w:szCs w:val="24"/>
                <w:vertAlign w:val="subscript"/>
                <w:lang w:val="en-US"/>
              </w:rPr>
              <w:t>Ai</w:t>
            </w:r>
          </w:p>
        </w:tc>
        <w:tc>
          <w:tcPr>
            <w:tcW w:w="280" w:type="dxa"/>
            <w:tcBorders/>
            <w:shd w:color="auto" w:fill="auto" w:val="clear"/>
          </w:tcPr>
          <w:p>
            <w:pPr>
              <w:pStyle w:val="Normal"/>
              <w:widowControl w:val="false"/>
              <w:ind w:hanging="317" w:left="317" w:right="-108"/>
              <w:rPr>
                <w:color w:val="000000"/>
                <w:sz w:val="24"/>
                <w:szCs w:val="24"/>
              </w:rPr>
            </w:pPr>
            <w:r>
              <w:rPr>
                <w:sz w:val="24"/>
                <w:szCs w:val="24"/>
              </w:rPr>
              <w:t>-</w:t>
            </w:r>
          </w:p>
        </w:tc>
        <w:tc>
          <w:tcPr>
            <w:tcW w:w="8509" w:type="dxa"/>
            <w:tcBorders/>
            <w:shd w:color="auto" w:fill="auto" w:val="clear"/>
          </w:tcPr>
          <w:p>
            <w:pPr>
              <w:pStyle w:val="Normal"/>
              <w:widowControl w:val="false"/>
              <w:ind w:firstLine="567" w:left="-75" w:right="-108"/>
              <w:rPr>
                <w:color w:val="000000"/>
                <w:sz w:val="24"/>
                <w:szCs w:val="24"/>
              </w:rPr>
            </w:pPr>
            <w:r>
              <w:rPr>
                <w:sz w:val="24"/>
                <w:szCs w:val="24"/>
              </w:rPr>
              <w:t>Лимит риска для i-ой кредитной организации</w:t>
            </w:r>
            <w:r>
              <w:rPr>
                <w:rStyle w:val="FootnoteReference"/>
                <w:sz w:val="24"/>
                <w:szCs w:val="24"/>
              </w:rPr>
              <w:footnoteReference w:id="23"/>
            </w:r>
            <w:r>
              <w:rPr>
                <w:sz w:val="24"/>
                <w:szCs w:val="24"/>
              </w:rPr>
              <w:t>.</w:t>
            </w:r>
          </w:p>
        </w:tc>
      </w:tr>
      <w:tr>
        <w:trPr>
          <w:trHeight w:val="280" w:hRule="atLeast"/>
        </w:trPr>
        <w:tc>
          <w:tcPr>
            <w:tcW w:w="817" w:type="dxa"/>
            <w:tcBorders/>
            <w:shd w:color="auto" w:fill="auto" w:val="clear"/>
          </w:tcPr>
          <w:p>
            <w:pPr>
              <w:pStyle w:val="Normal"/>
              <w:widowControl w:val="false"/>
              <w:ind w:hanging="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ind w:firstLine="567" w:right="-108"/>
              <w:rPr>
                <w:color w:val="000000"/>
                <w:sz w:val="24"/>
                <w:szCs w:val="24"/>
              </w:rPr>
            </w:pPr>
            <w:r>
              <w:rPr>
                <w:color w:val="000000"/>
                <w:sz w:val="24"/>
                <w:szCs w:val="24"/>
              </w:rPr>
            </w:r>
          </w:p>
        </w:tc>
        <w:tc>
          <w:tcPr>
            <w:tcW w:w="280" w:type="dxa"/>
            <w:tcBorders/>
            <w:shd w:color="auto" w:fill="auto" w:val="clear"/>
          </w:tcPr>
          <w:p>
            <w:pPr>
              <w:pStyle w:val="Normal"/>
              <w:widowControl w:val="false"/>
              <w:ind w:hanging="0" w:right="-108"/>
              <w:rPr>
                <w:color w:val="000000"/>
                <w:sz w:val="24"/>
                <w:szCs w:val="24"/>
              </w:rPr>
            </w:pPr>
            <w:r>
              <w:rPr>
                <w:sz w:val="24"/>
                <w:szCs w:val="24"/>
              </w:rPr>
              <w:t>-</w:t>
            </w:r>
          </w:p>
        </w:tc>
        <w:tc>
          <w:tcPr>
            <w:tcW w:w="8509" w:type="dxa"/>
            <w:tcBorders/>
            <w:shd w:color="auto" w:fill="auto" w:val="clear"/>
          </w:tcPr>
          <w:p>
            <w:pPr>
              <w:pStyle w:val="Normal"/>
              <w:widowControl w:val="false"/>
              <w:ind w:firstLine="567" w:left="-75" w:right="-108"/>
              <w:rPr>
                <w:color w:val="000000"/>
                <w:sz w:val="24"/>
                <w:szCs w:val="24"/>
              </w:rPr>
            </w:pPr>
            <w:r>
              <w:rPr>
                <w:sz w:val="24"/>
                <w:szCs w:val="24"/>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ind w:hanging="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ind w:hanging="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ind w:hanging="0" w:left="680"/>
              <w:jc w:val="both"/>
              <w:rPr/>
            </w:pPr>
            <w:r>
              <w:rPr>
                <w:sz w:val="24"/>
                <w:szCs w:val="24"/>
              </w:rPr>
              <w:t>рейтинговый коэффициент</w:t>
            </w:r>
            <w:r>
              <w:rPr>
                <w:rStyle w:val="FootnoteReference"/>
                <w:sz w:val="24"/>
                <w:szCs w:val="24"/>
              </w:rPr>
              <w:footnoteReference w:id="24"/>
            </w:r>
            <w:r>
              <w:rPr>
                <w:sz w:val="24"/>
                <w:szCs w:val="24"/>
              </w:rPr>
              <w:t xml:space="preserve"> для i-ой кредитной организации, равный:</w:t>
            </w:r>
          </w:p>
          <w:p>
            <w:pPr>
              <w:pStyle w:val="Normal"/>
              <w:widowControl w:val="false"/>
              <w:tabs>
                <w:tab w:val="left" w:pos="709" w:leader="none"/>
                <w:tab w:val="left" w:pos="851" w:leader="none"/>
              </w:tabs>
              <w:ind w:firstLine="709" w:right="-108"/>
              <w:jc w:val="both"/>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tabs>
                <w:tab w:val="left" w:pos="709" w:leader="none"/>
                <w:tab w:val="left" w:pos="851" w:leader="none"/>
              </w:tabs>
              <w:ind w:firstLine="709" w:right="-108"/>
              <w:jc w:val="both"/>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pPr>
              <w:pStyle w:val="Normal"/>
              <w:widowControl w:val="false"/>
              <w:tabs>
                <w:tab w:val="clear" w:pos="709"/>
                <w:tab w:val="left" w:pos="7130" w:leader="none"/>
              </w:tabs>
              <w:ind w:firstLine="567" w:right="-108"/>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_______________ / _______________</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_______________ / _______________</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ind w:firstLine="6237" w:right="96"/>
        <w:rPr>
          <w:sz w:val="24"/>
          <w:szCs w:val="24"/>
        </w:rPr>
      </w:pPr>
      <w:r>
        <w:rPr>
          <w:sz w:val="24"/>
          <w:szCs w:val="24"/>
        </w:rPr>
      </w:r>
    </w:p>
    <w:p>
      <w:pPr>
        <w:pStyle w:val="Normal"/>
        <w:widowControl w:val="false"/>
        <w:suppressAutoHyphens w:val="true"/>
        <w:bidi w:val="0"/>
        <w:spacing w:before="0" w:after="0"/>
        <w:jc w:val="left"/>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bl>
    <w:p>
      <w:pPr>
        <w:pStyle w:val="Normal"/>
        <w:widowControl w:val="false"/>
        <w:numPr>
          <w:ilvl w:val="0"/>
          <w:numId w:val="0"/>
        </w:numPr>
        <w:suppressAutoHyphens w:val="true"/>
        <w:bidi w:val="0"/>
        <w:spacing w:before="0" w:after="0"/>
        <w:ind w:hanging="0"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suppressAutoHyphens w:val="true"/>
              <w:bidi w:val="0"/>
              <w:spacing w:lineRule="auto" w:line="360" w:before="0" w:after="0"/>
              <w:jc w:val="left"/>
              <w:rPr>
                <w:sz w:val="24"/>
                <w:szCs w:val="24"/>
              </w:rPr>
            </w:pPr>
            <w:r>
              <w:rPr>
                <w:sz w:val="24"/>
                <w:szCs w:val="24"/>
              </w:rPr>
            </w:r>
          </w:p>
        </w:tc>
        <w:tc>
          <w:tcPr>
            <w:tcW w:w="4819" w:type="dxa"/>
            <w:tcBorders/>
            <w:shd w:color="auto" w:fill="auto" w:val="clear"/>
          </w:tcPr>
          <w:p>
            <w:pPr>
              <w:pStyle w:val="Normal"/>
              <w:widowControl w:val="false"/>
              <w:suppressAutoHyphens w:val="true"/>
              <w:bidi w:val="0"/>
              <w:spacing w:lineRule="auto" w:line="360" w:before="0" w:after="0"/>
              <w:ind w:firstLine="33"/>
              <w:jc w:val="left"/>
              <w:rPr>
                <w:b/>
                <w:sz w:val="24"/>
                <w:szCs w:val="24"/>
              </w:rPr>
            </w:pPr>
            <w:r>
              <w:rPr>
                <w:b/>
                <w:sz w:val="24"/>
                <w:szCs w:val="24"/>
              </w:rPr>
            </w:r>
          </w:p>
        </w:tc>
      </w:tr>
    </w:tbl>
    <w:p>
      <w:pPr>
        <w:pStyle w:val="Normal"/>
        <w:widowControl w:val="false"/>
        <w:suppressAutoHyphens w:val="true"/>
        <w:bidi w:val="0"/>
        <w:spacing w:lineRule="auto" w:line="240" w:before="0" w:after="0"/>
        <w:ind w:hanging="0" w:left="0"/>
        <w:jc w:val="both"/>
        <w:rPr>
          <w:bCs/>
        </w:rPr>
      </w:pPr>
      <w:r>
        <w:rPr>
          <w:bCs/>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suppressAutoHyphens w:val="true"/>
              <w:bidi w:val="0"/>
              <w:spacing w:lineRule="auto" w:line="360" w:before="0" w:after="0"/>
              <w:jc w:val="left"/>
              <w:rPr>
                <w:sz w:val="24"/>
                <w:szCs w:val="24"/>
              </w:rPr>
            </w:pPr>
            <w:r>
              <w:rPr>
                <w:sz w:val="24"/>
                <w:szCs w:val="24"/>
              </w:rPr>
            </w:r>
          </w:p>
        </w:tc>
        <w:tc>
          <w:tcPr>
            <w:tcW w:w="4819" w:type="dxa"/>
            <w:tcBorders/>
            <w:shd w:color="auto" w:fill="auto" w:val="clear"/>
          </w:tcPr>
          <w:p>
            <w:pPr>
              <w:pStyle w:val="Normal"/>
              <w:widowControl w:val="false"/>
              <w:suppressAutoHyphens w:val="true"/>
              <w:bidi w:val="0"/>
              <w:spacing w:lineRule="auto" w:line="360" w:before="0" w:after="0"/>
              <w:ind w:firstLine="33"/>
              <w:jc w:val="left"/>
              <w:rPr>
                <w:b/>
                <w:sz w:val="24"/>
                <w:szCs w:val="24"/>
              </w:rPr>
            </w:pPr>
            <w:r>
              <w:rPr>
                <w:b/>
                <w:sz w:val="24"/>
                <w:szCs w:val="24"/>
              </w:rPr>
            </w:r>
          </w:p>
        </w:tc>
      </w:tr>
    </w:tbl>
    <w:p>
      <w:pPr>
        <w:pStyle w:val="ListParagraph"/>
        <w:widowControl/>
        <w:suppressAutoHyphens w:val="true"/>
        <w:bidi w:val="0"/>
        <w:spacing w:before="120" w:after="20"/>
        <w:ind w:firstLine="709" w:left="720"/>
        <w:contextualSpacing/>
        <w:jc w:val="both"/>
        <w:rPr>
          <w:sz w:val="24"/>
          <w:szCs w:val="24"/>
        </w:rPr>
      </w:pPr>
      <w:r>
        <w:rPr>
          <w:sz w:val="24"/>
          <w:szCs w:val="24"/>
        </w:rPr>
      </w:r>
    </w:p>
    <w:tbl>
      <w:tblPr>
        <w:tblW w:w="10120"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5240"/>
        <w:gridCol w:w="4879"/>
      </w:tblGrid>
      <w:tr>
        <w:trPr>
          <w:trHeight w:val="282" w:hRule="atLeast"/>
        </w:trPr>
        <w:tc>
          <w:tcPr>
            <w:tcW w:w="5240" w:type="dxa"/>
            <w:tcBorders/>
          </w:tcPr>
          <w:p>
            <w:pPr>
              <w:pStyle w:val="Normal"/>
              <w:widowControl w:val="false"/>
              <w:suppressAutoHyphens w:val="true"/>
              <w:bidi w:val="0"/>
              <w:spacing w:before="0" w:after="0"/>
              <w:jc w:val="left"/>
              <w:rPr>
                <w:b/>
                <w:sz w:val="24"/>
                <w:szCs w:val="24"/>
                <w:lang w:val="en-GB"/>
              </w:rPr>
            </w:pPr>
            <w:r>
              <w:rPr>
                <w:b/>
                <w:sz w:val="24"/>
                <w:szCs w:val="24"/>
                <w:lang w:val="en-GB"/>
              </w:rPr>
            </w:r>
          </w:p>
        </w:tc>
        <w:tc>
          <w:tcPr>
            <w:tcW w:w="4879" w:type="dxa"/>
            <w:tcBorders/>
          </w:tcPr>
          <w:p>
            <w:pPr>
              <w:pStyle w:val="Normal"/>
              <w:widowControl w:val="false"/>
              <w:suppressAutoHyphens w:val="true"/>
              <w:bidi w:val="0"/>
              <w:spacing w:before="0" w:after="0"/>
              <w:jc w:val="left"/>
              <w:rPr>
                <w:b/>
                <w:sz w:val="24"/>
                <w:szCs w:val="24"/>
                <w:lang w:val="en-GB"/>
              </w:rPr>
            </w:pPr>
            <w:r>
              <w:rPr>
                <w:b/>
                <w:sz w:val="24"/>
                <w:szCs w:val="24"/>
                <w:lang w:val="en-GB"/>
              </w:rPr>
            </w:r>
          </w:p>
        </w:tc>
      </w:tr>
      <w:tr>
        <w:trPr>
          <w:trHeight w:val="611" w:hRule="atLeast"/>
        </w:trPr>
        <w:tc>
          <w:tcPr>
            <w:tcW w:w="5240" w:type="dxa"/>
            <w:tcBorders/>
          </w:tcPr>
          <w:p>
            <w:pPr>
              <w:pStyle w:val="Normal"/>
              <w:widowControl w:val="false"/>
              <w:rPr>
                <w:sz w:val="22"/>
                <w:szCs w:val="22"/>
                <w:lang w:val="en-GB"/>
              </w:rPr>
            </w:pPr>
            <w:r>
              <w:rPr>
                <w:sz w:val="22"/>
                <w:szCs w:val="22"/>
                <w:lang w:val="en-GB"/>
              </w:rPr>
            </w:r>
          </w:p>
        </w:tc>
        <w:tc>
          <w:tcPr>
            <w:tcW w:w="4879" w:type="dxa"/>
            <w:tcBorders/>
          </w:tcPr>
          <w:p>
            <w:pPr>
              <w:pStyle w:val="Normal"/>
              <w:widowControl w:val="false"/>
              <w:rPr>
                <w:sz w:val="22"/>
                <w:szCs w:val="22"/>
                <w:lang w:val="en-GB"/>
              </w:rPr>
            </w:pPr>
            <w:r>
              <w:rPr>
                <w:sz w:val="22"/>
                <w:szCs w:val="22"/>
                <w:lang w:val="en-GB"/>
              </w:rPr>
            </w:r>
          </w:p>
        </w:tc>
      </w:tr>
    </w:tbl>
    <w:p>
      <w:pPr>
        <w:pStyle w:val="Normal"/>
        <w:widowControl/>
        <w:spacing w:before="120" w:after="20"/>
        <w:jc w:val="both"/>
        <w:rPr>
          <w:sz w:val="24"/>
          <w:szCs w:val="24"/>
        </w:rPr>
      </w:pPr>
      <w:r>
        <w:rPr>
          <w:sz w:val="24"/>
          <w:szCs w:val="24"/>
        </w:rPr>
      </w:r>
    </w:p>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567" w:top="1134" w:footer="314"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 xml:space="preserve">Условие о размере авансового платежа в размере не менее 50 (пятидесяти) процентов от стоимости Товара предусматривается в  договорах, заключаемых в соответствии с Федеральным законом от 18.07.2011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17.07.2015 № 719 </w:t>
        <w:br/>
        <w:t>«О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Договора).</w:t>
      </w:r>
    </w:p>
  </w:footnote>
  <w:footnote w:id="4">
    <w:p>
      <w:pPr>
        <w:pStyle w:val="FootnoteText"/>
        <w:jc w:val="both"/>
        <w:rPr/>
      </w:pPr>
      <w:r>
        <w:rPr>
          <w:rStyle w:val="Style14"/>
        </w:rPr>
        <w:footnoteRef/>
      </w:r>
      <w:r>
        <w:rPr/>
        <w:t xml:space="preserve"> </w:t>
      </w:r>
      <w:r>
        <w:rPr/>
        <w:t>Указывается меньший размер платежей в случае применения ссылки к пункту 2.5.2 Договора о закупке кранового оборудования.</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6">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9">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10">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11">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2">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3">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4">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5">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6">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7">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_Копия_1_"/>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8">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9">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20">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21">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2">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3">
    <w:p>
      <w:pPr>
        <w:pStyle w:val="FootnoteText"/>
        <w:jc w:val="both"/>
        <w:rPr/>
      </w:pPr>
      <w:r>
        <w:rPr>
          <w:rStyle w:val="Style14"/>
        </w:rPr>
        <w:footnoteRef/>
      </w:r>
      <w:r>
        <w:rPr/>
        <w:t xml:space="preserve"> </w:t>
      </w:r>
      <w:r>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4">
    <w:p>
      <w:pPr>
        <w:pStyle w:val="FootnoteText"/>
        <w:jc w:val="both"/>
        <w:rPr/>
      </w:pPr>
      <w:r>
        <w:rPr>
          <w:rStyle w:val="Style14"/>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3">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4">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5">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1">
    <w:name w:val="line number1"/>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LineNumber">
    <w:name w:val="Line Number"/>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E826B49-C07D-45A4-A662-4AC480D90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Application>AlterOffice/2026.2.0.0$Linux_X86_64 LibreOffice_project/bc4ef1adf80b36c7a6365f8ed6cbf29021361edd</Application>
  <AppVersion>15.0000</AppVersion>
  <DocSecurity>4</DocSecurity>
  <Pages>25</Pages>
  <Words>9453</Words>
  <Characters>67704</Characters>
  <CharactersWithSpaces>76900</CharactersWithSpaces>
  <Paragraphs>386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2026-08-14T00:03:00Z</dcterms:created>
  <dc:creator>tsypilev_ag</dc:creator>
  <dc:description/>
  <dc:language>ru-RU</dc:language>
  <cp:lastModifiedBy>kovalchukvv@corp.gidroogk.com</cp:lastModifiedBy>
  <cp:lastPrinted>2018-05-22T09:46:00Z</cp:lastPrinted>
  <dcterms:modified xsi:type="dcterms:W3CDTF">2026-10-07T14:55:26Z</dcterms:modified>
  <cp:revision>17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