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spacing w:before="0"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_______________2026г.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sz w:val="24"/>
          <w:szCs w:val="24"/>
        </w:rPr>
      </w:pPr>
      <w:bookmarkStart w:id="0" w:name="_Toc124846883"/>
      <w:bookmarkStart w:id="1" w:name="_Toc124591877"/>
      <w:bookmarkStart w:id="2" w:name="_Toc124592000"/>
      <w:r>
        <w:rPr>
          <w:b/>
          <w:sz w:val="24"/>
          <w:szCs w:val="24"/>
        </w:rPr>
        <w:t>ТЕХНИЧЕСКИЕ ТРЕБОВАНИЯ</w:t>
      </w:r>
      <w:bookmarkEnd w:id="0"/>
      <w:bookmarkEnd w:id="1"/>
      <w:bookmarkEnd w:id="2"/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ОКПД 2 27.90.1 Поставка электротехнической продукции 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нужд Воткинского филиала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/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" w:cs="Times New Roman" w:eastAsiaTheme="minorEastAsia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  <w:rFonts w:eastAsia="Calibri" w:cs="Times New Roman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  <w:rFonts w:eastAsia="Calibri" w:cs="Times New Roman"/>
            </w:rPr>
            <w:fldChar w:fldCharType="separate"/>
          </w:r>
          <w:hyperlink w:anchor="_Toc150939782">
            <w:r>
              <w:rPr>
                <w:webHidden/>
                <w:rStyle w:val="Style15"/>
                <w:rFonts w:eastAsia="Calibri" w:cs="Times New Roman"/>
                <w:vanish w:val="false"/>
              </w:rPr>
              <w:t>1.</w:t>
            </w:r>
            <w:r>
              <w:rPr>
                <w:rStyle w:val="Style15"/>
                <w:rFonts w:eastAsia="" w:cs="Times New Roman" w:eastAsiaTheme="minorEastAsia"/>
                <w:b w:val="false"/>
                <w:bCs w:val="false"/>
              </w:rPr>
              <w:tab/>
            </w:r>
            <w:r>
              <w:rPr>
                <w:rStyle w:val="Style15"/>
                <w:rFonts w:eastAsia="Calibri" w:cs="Times New Roman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150939783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150939784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" w:cs="Times New Roman" w:eastAsiaTheme="minorEastAsia"/>
              <w:b w:val="false"/>
              <w:bCs w:val="false"/>
            </w:rPr>
          </w:pPr>
          <w:hyperlink w:anchor="_Toc150939785">
            <w:r>
              <w:rPr>
                <w:webHidden/>
                <w:rStyle w:val="Style15"/>
                <w:rFonts w:eastAsia="Calibri" w:cs="Times New Roman"/>
                <w:vanish w:val="false"/>
              </w:rPr>
              <w:t>2.</w:t>
            </w:r>
            <w:r>
              <w:rPr>
                <w:rStyle w:val="Style15"/>
                <w:rFonts w:eastAsia="" w:cs="Times New Roman" w:eastAsiaTheme="minorEastAsia"/>
                <w:b w:val="false"/>
                <w:bCs w:val="false"/>
              </w:rPr>
              <w:tab/>
            </w:r>
            <w:r>
              <w:rPr>
                <w:rStyle w:val="Style15"/>
                <w:rFonts w:eastAsia="Calibri" w:cs="Times New Roman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150939786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150939787">
            <w:r>
              <w:rPr>
                <w:webHidden/>
                <w:rStyle w:val="Style15"/>
                <w:rFonts w:eastAsia="Calibri" w:cs="Times New Roman"/>
                <w:vanish w:val="false"/>
                <w:sz w:val="24"/>
                <w:szCs w:val="24"/>
              </w:rPr>
              <w:t>2.1.1.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" w:cs="Times New Roman" w:eastAsiaTheme="minorEastAsia"/>
              <w:b w:val="false"/>
              <w:bCs w:val="false"/>
            </w:rPr>
          </w:pPr>
          <w:hyperlink w:anchor="_Toc150939788">
            <w:r>
              <w:rPr>
                <w:webHidden/>
                <w:rStyle w:val="Style15"/>
                <w:rFonts w:eastAsia="Calibri" w:cs="Times New Roman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150939789">
            <w:r>
              <w:rPr>
                <w:webHidden/>
                <w:rStyle w:val="Style15"/>
                <w:rFonts w:eastAsia="Calibri" w:cs="Times New Roman"/>
                <w:vanish w:val="false"/>
                <w:sz w:val="24"/>
                <w:szCs w:val="24"/>
              </w:rPr>
              <w:t>2.1.2.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Требования к срокам поставки продукции и оказания сопутствующих услуг</w:t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</w:r>
          </w:hyperlink>
          <w:r>
            <w:rPr>
              <w:rFonts w:eastAsia="" w:cs="Times New Roman" w:eastAsiaTheme="minorEastAsia"/>
              <w:sz w:val="24"/>
              <w:szCs w:val="24"/>
            </w:rPr>
            <w:t>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" w:cs="Times New Roman" w:eastAsiaTheme="minorEastAsia"/>
              <w:b w:val="false"/>
              <w:bCs w:val="false"/>
            </w:rPr>
          </w:pPr>
          <w:hyperlink w:anchor="_Toc150939790">
            <w:r>
              <w:rPr>
                <w:webHidden/>
                <w:rStyle w:val="Style15"/>
                <w:rFonts w:eastAsia="Calibri" w:cs="Times New Roman"/>
                <w:vanish w:val="false"/>
              </w:rPr>
              <w:t>Таблица 2.1 Требования по срокам поставки продукции</w:t>
            </w:r>
            <w:r>
              <w:rPr>
                <w:rStyle w:val="Style15"/>
                <w:rFonts w:cs="Times New Roman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eastAsia="" w:cs="Times New Roman" w:eastAsiaTheme="minorEastAsia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150939791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Требования к качеству продукции</w:t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" w:cs="Times New Roman" w:eastAsiaTheme="minorEastAsia"/>
              <w:b w:val="false"/>
              <w:bCs w:val="false"/>
            </w:rPr>
          </w:pPr>
          <w:hyperlink w:anchor="_Toc150939792">
            <w:r>
              <w:rPr>
                <w:webHidden/>
                <w:rStyle w:val="Style15"/>
                <w:rFonts w:eastAsia="Calibri" w:cs="Times New Roman"/>
                <w:vanish w:val="false"/>
              </w:rPr>
              <w:t>Таблица 3. Требования к продукции</w:t>
            </w:r>
            <w:r>
              <w:rPr>
                <w:rStyle w:val="Style15"/>
                <w:rFonts w:cs="Times New Roman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eastAsia="" w:cs="Times New Roman" w:eastAsiaTheme="minorEastAsia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" w:cs="Times New Roman" w:eastAsiaTheme="minorEastAsia"/>
              <w:b w:val="false"/>
              <w:bCs w:val="false"/>
            </w:rPr>
          </w:pPr>
          <w:hyperlink w:anchor="_Toc150939793">
            <w:r>
              <w:rPr>
                <w:webHidden/>
                <w:rStyle w:val="Style15"/>
                <w:rFonts w:eastAsia="Calibri" w:cs="Times New Roman"/>
                <w:vanish w:val="false"/>
              </w:rPr>
              <w:t>3.</w:t>
            </w:r>
            <w:r>
              <w:rPr>
                <w:rStyle w:val="Style15"/>
                <w:rFonts w:eastAsia="" w:cs="Times New Roman" w:eastAsiaTheme="minorEastAsia"/>
                <w:b w:val="false"/>
                <w:bCs w:val="false"/>
              </w:rPr>
              <w:tab/>
            </w:r>
            <w:r>
              <w:rPr>
                <w:rStyle w:val="Style15"/>
                <w:rFonts w:eastAsia="Calibri" w:cs="Times New Roman"/>
              </w:rPr>
              <w:t>Требования к документации по ценообразованию на этапе закупки</w:t>
            </w:r>
            <w:r>
              <w:rPr>
                <w:rStyle w:val="Style15"/>
                <w:rFonts w:cs="Times New Roman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eastAsia="" w:cs="Times New Roman" w:eastAsiaTheme="minorEastAsia"/>
                <w:lang w:val="en-US"/>
              </w:rPr>
              <w:t>10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5"/>
              <w:rFonts w:eastAsia="" w:cs="Times New Roman"/>
              <w:lang w:val="en-US"/>
            </w:rPr>
            <w:fldChar w:fldCharType="end"/>
          </w:r>
        </w:p>
      </w:sdtContent>
    </w:sdt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19"/>
        </w:numPr>
        <w:rPr>
          <w:sz w:val="24"/>
          <w:szCs w:val="24"/>
        </w:rPr>
      </w:pPr>
      <w:bookmarkStart w:id="3" w:name="_Toc124846884"/>
      <w:r>
        <w:rPr>
          <w:iCs/>
          <w:sz w:val="24"/>
          <w:szCs w:val="24"/>
        </w:rPr>
        <w:t>Общие</w:t>
      </w:r>
      <w:r>
        <w:rPr>
          <w:sz w:val="24"/>
          <w:szCs w:val="24"/>
        </w:rPr>
        <w:t xml:space="preserve"> сведения</w:t>
      </w:r>
      <w:bookmarkEnd w:id="3"/>
    </w:p>
    <w:p>
      <w:pPr>
        <w:pStyle w:val="Heading4"/>
        <w:numPr>
          <w:ilvl w:val="1"/>
          <w:numId w:val="20"/>
        </w:numPr>
        <w:ind w:left="709" w:hanging="709"/>
        <w:rPr/>
      </w:pPr>
      <w:bookmarkStart w:id="4" w:name="_Toc75446568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Heading4"/>
        <w:numPr>
          <w:ilvl w:val="0"/>
        </w:numPr>
        <w:tabs>
          <w:tab w:val="clear" w:pos="0"/>
        </w:tabs>
        <w:ind w:left="0" w:hanging="0"/>
        <w:rPr>
          <w:rFonts w:eastAsia="Times New Roman"/>
          <w:b w:val="false"/>
          <w:bCs w:val="false"/>
          <w:lang w:val="ru-RU" w:eastAsia="ru-RU"/>
        </w:rPr>
      </w:pPr>
      <w:bookmarkStart w:id="6" w:name="_Toc75446569"/>
      <w:r>
        <w:rPr>
          <w:rFonts w:eastAsia="Times New Roman"/>
          <w:b w:val="false"/>
          <w:bCs w:val="false"/>
          <w:lang w:val="ru-RU" w:eastAsia="ru-RU"/>
        </w:rPr>
        <w:t>ОКПД 2 27.90.1 Поставка электротехнической продукции для нужд Воткинского филиала</w:t>
      </w:r>
    </w:p>
    <w:p>
      <w:pPr>
        <w:pStyle w:val="Heading4"/>
        <w:numPr>
          <w:ilvl w:val="1"/>
          <w:numId w:val="21"/>
        </w:numPr>
        <w:ind w:left="709" w:hanging="709"/>
        <w:rPr/>
      </w:pPr>
      <w:bookmarkStart w:id="7" w:name="_Toc46743507"/>
      <w:r>
        <w:rPr/>
        <w:t xml:space="preserve">Цель </w:t>
      </w:r>
      <w:bookmarkEnd w:id="7"/>
      <w:r>
        <w:rPr/>
        <w:t xml:space="preserve">использования закупаемой продукции </w:t>
      </w:r>
      <w:bookmarkEnd w:id="6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Договора №1180-267-2023 от 02.11.23г. «Капитальный и текущий ремонт оборудования, зданий, сооружений филиала ПАО «РусГидро» – «Камская ГЭС»» (РЗ № 454153 Текущий ремонт помещения для размещения спец. транспорта МОГ). Электротехническая продукция предназначена для обеспечения или восстановления работоспособности объектов на филиале ПАО «РусГидро» – «Камская ГЭС» в 2026 году.</w:t>
      </w:r>
    </w:p>
    <w:p>
      <w:pPr>
        <w:pStyle w:val="Heading1"/>
        <w:numPr>
          <w:ilvl w:val="0"/>
          <w:numId w:val="22"/>
        </w:numPr>
        <w:ind w:left="709" w:hanging="709"/>
        <w:rPr>
          <w:caps/>
          <w:sz w:val="24"/>
          <w:szCs w:val="24"/>
          <w:lang w:val="ru-RU"/>
        </w:rPr>
      </w:pPr>
      <w:r>
        <w:rPr>
          <w:sz w:val="24"/>
          <w:szCs w:val="24"/>
        </w:rPr>
        <w:t>Требования к продукции</w:t>
      </w:r>
    </w:p>
    <w:p>
      <w:pPr>
        <w:pStyle w:val="Heading4"/>
        <w:numPr>
          <w:ilvl w:val="1"/>
          <w:numId w:val="23"/>
        </w:numPr>
        <w:ind w:left="709" w:hanging="709"/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24"/>
        </w:numPr>
        <w:ind w:left="709" w:hanging="709"/>
        <w:rPr/>
      </w:pPr>
      <w:bookmarkStart w:id="9" w:name="_Toc124846886"/>
      <w:bookmarkStart w:id="10" w:name="_Toc75446575"/>
      <w:r>
        <w:rPr/>
        <w:t>Перечень и объем закупаемой продукции</w:t>
      </w:r>
      <w:bookmarkEnd w:id="9"/>
      <w:bookmarkEnd w:id="10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11" w:name="_Toc124591881"/>
      <w:bookmarkStart w:id="12" w:name="_Toc124846887"/>
      <w:bookmarkStart w:id="13" w:name="_Toc75446576"/>
      <w:bookmarkStart w:id="14" w:name="_Toc124591777"/>
      <w:bookmarkStart w:id="15" w:name="_Toc51339695"/>
      <w:r>
        <w:rPr>
          <w:sz w:val="24"/>
          <w:szCs w:val="24"/>
        </w:rPr>
        <w:t xml:space="preserve">Таблица 1.1 Перечень </w:t>
      </w:r>
      <w:bookmarkEnd w:id="15"/>
      <w:r>
        <w:rPr>
          <w:sz w:val="24"/>
          <w:szCs w:val="24"/>
        </w:rPr>
        <w:t>и объем закупаемой продукции</w:t>
      </w:r>
      <w:bookmarkEnd w:id="11"/>
      <w:bookmarkEnd w:id="12"/>
      <w:bookmarkEnd w:id="13"/>
      <w:bookmarkEnd w:id="14"/>
    </w:p>
    <w:tbl>
      <w:tblPr>
        <w:tblW w:w="967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90"/>
        <w:gridCol w:w="6812"/>
        <w:gridCol w:w="1131"/>
        <w:gridCol w:w="1136"/>
      </w:tblGrid>
      <w:tr>
        <w:trPr>
          <w:trHeight w:val="641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6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Кол-во 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распределительный ЩМПп IP65 УХЛ1 пластиковый 700х500х250мм навесной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распределительный ЩМПп IP65 УХЛ1 пластиковый 800х600х260мм навесной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DIN-рейка перфорированная Rexant 12-8030 300х7.5х35мм оцинкованная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Шина нулевая N IEK ШНК 4х7 3L+PEN YND10-4-07-100 100А 4х7групп в корпусе (кросс-модуль) латунь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Шина N нулевая EKF PROxima sn0-63-10-d 100А 10отв. 6х9мм на DIN-изоляторе латунная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Шина соединительная PIN (штырь) DEKraft ШС101-3-63 32034DEK 3Р 63А 1000мм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светодиодный Световые технологии Acorn LED 40 5000К 40Вт промышленный 36 VAC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Выключатель автоматический Systeme Electric City9 Set 50А C 3P 4.5кА 400В C9F34350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Выключатель автоматический Systeme Electric City9 Set AC 32А C 3P 6кА 400В C9F36332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Выключатель автоматический Systeme Electric City9 Set AC 25А C 3P 6кА 400В C9F36325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Выключатель автоматический Systeme Electric City9 Set AC 16А C 1P 6кА 230В IP20 УХЛ4 C9F36116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Шина PE земля IEK 6х9-12-ЖЗ TF-NN10-12-KL-K52 на DIN-изоляторе латунная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Пускатель EKF ctrp-r-25-400v-led ПМЛ-2230 400В 25А 3P IP65 (РТЛ 17-25А)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с понижающим трансформатором ЯТП-0.4 ОС0000011745 ФКУ ИК-1 220/36В (выключатель автоматический-3шт) IP31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Выключатель-разъединитель Schneider Electric SystemePact SD630 SSD06303LF0400 400А 3 полюса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гофрированная полиамид 6 23мм DKC PA612329F2 с протяжкой черная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400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трубчатых электронагревателей ТЭНБ-3кВт G2 1/2" сталь нержавеющая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>
        <w:trPr>
          <w:trHeight w:val="163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Колпак защитный G2 1/2"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</w:tbl>
    <w:p>
      <w:pPr>
        <w:pStyle w:val="Heading3"/>
        <w:numPr>
          <w:ilvl w:val="2"/>
          <w:numId w:val="25"/>
        </w:numPr>
        <w:ind w:left="709" w:hanging="709"/>
        <w:rPr/>
      </w:pPr>
      <w:bookmarkStart w:id="17" w:name="_Toc124846888"/>
      <w:bookmarkStart w:id="18" w:name="_Toc51339696"/>
      <w:r>
        <w:rPr/>
        <w:t xml:space="preserve">Требования </w:t>
      </w:r>
      <w:bookmarkEnd w:id="18"/>
      <w:r>
        <w:rPr/>
        <w:t>к срокам поставки продукции</w:t>
      </w:r>
      <w:bookmarkEnd w:id="17"/>
      <w:r>
        <w:rPr/>
        <w:t xml:space="preserve"> </w:t>
      </w:r>
      <w:bookmarkEnd w:id="16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9" w:name="_Toc124591779"/>
      <w:bookmarkStart w:id="20" w:name="_Toc124846889"/>
      <w:bookmarkStart w:id="21" w:name="_Toc124591883"/>
      <w:bookmarkStart w:id="22" w:name="_Toc75446579"/>
      <w:bookmarkStart w:id="23" w:name="_Toc51339697"/>
      <w:bookmarkStart w:id="24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5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5"/>
      <w:r>
        <w:rPr>
          <w:sz w:val="24"/>
          <w:szCs w:val="24"/>
          <w:lang w:val="ru-RU"/>
        </w:rPr>
        <w:t>поставки продукции</w:t>
      </w:r>
      <w:bookmarkEnd w:id="19"/>
      <w:bookmarkEnd w:id="20"/>
      <w:bookmarkEnd w:id="21"/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6"/>
        <w:gridCol w:w="3687"/>
        <w:gridCol w:w="2555"/>
        <w:gridCol w:w="2832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30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92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6"/>
              </w:numPr>
              <w:jc w:val="center"/>
              <w:rPr/>
            </w:pPr>
            <w:r>
              <w:rPr/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2 27.90.1 Поставка электротехнической продукции 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нужд Воткинского филиала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45 календарных дней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0" w:gutter="0" w:header="708" w:top="1134" w:footer="0" w:bottom="1134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spacing w:lineRule="auto" w:line="360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  <w:tab/>
        <w:t>Требования к качеству продукции.</w:t>
      </w:r>
    </w:p>
    <w:p>
      <w:pPr>
        <w:pStyle w:val="Normal"/>
        <w:spacing w:lineRule="auto" w:line="360"/>
        <w:rPr>
          <w:b/>
          <w:sz w:val="24"/>
          <w:szCs w:val="24"/>
        </w:rPr>
      </w:pPr>
      <w:bookmarkStart w:id="26" w:name="_Toc75446582"/>
      <w:r>
        <w:rPr>
          <w:b/>
          <w:sz w:val="24"/>
          <w:szCs w:val="24"/>
        </w:rPr>
        <w:t>Таблица 3 Требования к продукции</w:t>
      </w:r>
      <w:bookmarkEnd w:id="26"/>
      <w:r>
        <w:rPr>
          <w:b/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ОКПД 2 27.90.1 Поставка электротехнической продукции для нужд Воткинского филиала</w:t>
      </w:r>
    </w:p>
    <w:tbl>
      <w:tblPr>
        <w:tblStyle w:val="affff9"/>
        <w:tblW w:w="1462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39"/>
        <w:gridCol w:w="720"/>
        <w:gridCol w:w="822"/>
        <w:gridCol w:w="250"/>
        <w:gridCol w:w="5477"/>
        <w:gridCol w:w="6520"/>
      </w:tblGrid>
      <w:tr>
        <w:trPr>
          <w:trHeight w:val="276" w:hRule="atLeast"/>
        </w:trPr>
        <w:tc>
          <w:tcPr>
            <w:tcW w:w="8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92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8" w:right="-144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1997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997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9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199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789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3" w:hRule="atLeast"/>
        </w:trPr>
        <w:tc>
          <w:tcPr>
            <w:tcW w:w="8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  <w:bookmarkStart w:id="27" w:name="_GoBack"/>
            <w:bookmarkStart w:id="28" w:name="_GoBack"/>
            <w:bookmarkEnd w:id="28"/>
          </w:p>
        </w:tc>
        <w:tc>
          <w:tcPr>
            <w:tcW w:w="7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654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продукции</w:t>
            </w:r>
          </w:p>
        </w:tc>
        <w:tc>
          <w:tcPr>
            <w:tcW w:w="65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заказчика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Корпус распределительный ЩМПп IP65 УХЛ1 пластиковый 700х500х250мм навесной</w:t>
            </w:r>
          </w:p>
        </w:tc>
        <w:tc>
          <w:tcPr>
            <w:tcW w:w="652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Модель: ЩМПп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Размер: 700х500х250мм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монтажа: навесной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Степень защиты: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Материал: пластик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Корпус распределительный ЩМПп IP65 УХЛ1 пластиковый 800х600х260мм навесной</w:t>
            </w:r>
          </w:p>
        </w:tc>
        <w:tc>
          <w:tcPr>
            <w:tcW w:w="652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Модель: ЩМПп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Размер: 800х600х260мм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монтажа: навесной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Степень защиты: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Материал: пластик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DIN-рейка перфорированная Rexant 12-8030 300х7.5х35мм оцинкованная</w:t>
            </w:r>
          </w:p>
        </w:tc>
        <w:tc>
          <w:tcPr>
            <w:tcW w:w="652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Производитель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: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Rexant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Артикул: 12-8030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Шина нулевая N IEK ШНК 4х7 3L+PEN YND10-4-07-100 100А 4х7групп в корпусе (кросс-модуль) латунь</w:t>
            </w:r>
          </w:p>
        </w:tc>
        <w:tc>
          <w:tcPr>
            <w:tcW w:w="652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Производитель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: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IEK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Артикул: YND10-4-07-100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Шина N нулевая EKF PROxima sn0-63-10-d 100А 10отв. 6х9мм на DIN-изоляторе латунная</w:t>
            </w:r>
          </w:p>
        </w:tc>
        <w:tc>
          <w:tcPr>
            <w:tcW w:w="652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Производитель: EKF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Артикул: sn0-63-10-d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Шина соединительная PIN (штырь) DEKraft ШС101-3-63 32034DEK 3Р 63А 1000мм</w:t>
            </w:r>
          </w:p>
        </w:tc>
        <w:tc>
          <w:tcPr>
            <w:tcW w:w="652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Производитель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: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DEKraft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Артикул: 32034DEK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Светильник светодиодный Световые технологии Acorn LED 40 5000К 40Вт промышленный 36 VAC</w:t>
            </w:r>
          </w:p>
        </w:tc>
        <w:tc>
          <w:tcPr>
            <w:tcW w:w="652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Производитель: Световые технологии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Модель: Acorn LED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Мощность: 40Вт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Световой поток: 4000лм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Цветовая температура: 5000К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Степень защиты: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Напряжение: 36В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 Systeme Electric City9 Set 50А C 3P 4.5кА 400В C9F34350</w:t>
            </w:r>
          </w:p>
        </w:tc>
        <w:tc>
          <w:tcPr>
            <w:tcW w:w="652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Производитель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: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Systeme Electric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Артикул: C9F34350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 Systeme Electric City9 Set AC 32А C 3P 6кА 400В C9F36332</w:t>
            </w:r>
          </w:p>
        </w:tc>
        <w:tc>
          <w:tcPr>
            <w:tcW w:w="652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Производитель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: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Systeme Electric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Артикул: C9F36332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 Systeme Electric City9 Set AC 25А C 3P 6кА 400В C9F36325</w:t>
            </w:r>
          </w:p>
        </w:tc>
        <w:tc>
          <w:tcPr>
            <w:tcW w:w="652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Производитель: Systeme Electric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Артикул: C9F36325</w:t>
            </w:r>
          </w:p>
        </w:tc>
      </w:tr>
      <w:tr>
        <w:trPr>
          <w:trHeight w:val="23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 Systeme Electric City9 Set AC 16А C 1P 6кА 230В IP20 УХЛ4 C9F36116</w:t>
            </w:r>
          </w:p>
        </w:tc>
        <w:tc>
          <w:tcPr>
            <w:tcW w:w="65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Производитель: Systeme Electric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Артикул: C9F36116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Шина PE земля IEK 6х9-12-ЖЗ TF-NN10-12-KL-K52 на DIN-изоляторе латунная</w:t>
            </w:r>
          </w:p>
        </w:tc>
        <w:tc>
          <w:tcPr>
            <w:tcW w:w="65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Производитель: IEK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Артикул: TF-NN10-12-KL-K52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Пускатель EKF ctrp-r-25-400v-led ПМЛ-2230 400В 25А 3P IP65 (РТЛ 17-25А)</w:t>
            </w:r>
          </w:p>
        </w:tc>
        <w:tc>
          <w:tcPr>
            <w:tcW w:w="65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Производитель: EKF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Артикул: ctrp-r-25-400v-led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Ящик с понижающим трансформатором ЯТП-0.4 ОС0000011745 ФКУ ИК-1 220/36В (выключатель автоматический-3шт) IP31</w:t>
            </w:r>
          </w:p>
        </w:tc>
        <w:tc>
          <w:tcPr>
            <w:tcW w:w="65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Производитель: ФКУ ИК-1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Артикул: ОС0000011745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Выключатель-разъединитель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Systeme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Electric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SystemePact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SD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630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SSD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06303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LF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0400 400А 3 полюса</w:t>
            </w:r>
          </w:p>
        </w:tc>
        <w:tc>
          <w:tcPr>
            <w:tcW w:w="65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Производитель: Systeme Electric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Артикул: SSD06303LF0400</w:t>
            </w:r>
          </w:p>
        </w:tc>
      </w:tr>
      <w:tr>
        <w:trPr>
          <w:trHeight w:val="23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Труба гофрированная полиамид 6 23мм DKC PA612329F2 с протяжкой черная</w:t>
            </w:r>
          </w:p>
        </w:tc>
        <w:tc>
          <w:tcPr>
            <w:tcW w:w="65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Производитель: DKC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Артикул: PA612329F2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Блок трубчатых электронагревателей ТЭНБ-3кВт G2 1/2" сталь нержавеющая</w:t>
            </w:r>
          </w:p>
        </w:tc>
        <w:tc>
          <w:tcPr>
            <w:tcW w:w="65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Модель: ТЭНБ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Мощность: 3кВт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Фланец: G2 1/2"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Метериал: сталь нержавеющая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Среда применения: вода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Напряжение: 220/380В</w:t>
            </w:r>
          </w:p>
        </w:tc>
      </w:tr>
      <w:tr>
        <w:trPr>
          <w:trHeight w:val="20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</w:r>
          </w:p>
        </w:tc>
        <w:tc>
          <w:tcPr>
            <w:tcW w:w="654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Колпак защитный к ТЭНБ-3кВт G2 1/2"</w:t>
            </w:r>
          </w:p>
        </w:tc>
        <w:tc>
          <w:tcPr>
            <w:tcW w:w="65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Материал: пластик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Резьба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: G2 1/2"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789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44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1199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Воткинский филиал АО «Гидроремонт-ВКК» ПУ в г. Пермь 614030, Пермский край, г. Пермь, территория филиала ПАО «РусГидро» - «Камская ГЭС».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продукции осуществляется только в рабочие дни: понедельник - четверг с 8-30 до 10-30 и с 12-30 до 15-30, пятница с 8-30 до 10-30 и с 12-30 до 14-30 по местному времени.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44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таре и упаковке</w:t>
            </w:r>
          </w:p>
        </w:tc>
        <w:tc>
          <w:tcPr>
            <w:tcW w:w="1199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789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1199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789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2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 продукцией</w:t>
            </w:r>
          </w:p>
        </w:tc>
        <w:tc>
          <w:tcPr>
            <w:tcW w:w="1199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сертификаты качества;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паспорта качества;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руководства по применению и эксплуатации;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упаковочные листы, упаковочные ярлыки;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товарно-транспортную накладную формы №1-Т;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товарную накладную унифицированной формы ТОРГ-12 в 2 экз.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789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789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доставка, для оформления пропуска на территорию предоставляется не позднее 10-00  рабочего дня, предшествующего дню поставки.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789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5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требования</w:t>
            </w:r>
          </w:p>
        </w:tc>
        <w:tc>
          <w:tcPr>
            <w:tcW w:w="122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продукции каждой номенклатурной позиции, должен соответствовать (принадлежать) одной производимой партии продукции.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lineRule="auto" w:line="276" w:before="0" w:after="200"/>
        <w:ind w:left="360" w:hanging="0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3.Требования к документации по ценообразованию на этапе закупки.</w:t>
      </w:r>
    </w:p>
    <w:p>
      <w:pPr>
        <w:pStyle w:val="ListParagraph"/>
        <w:spacing w:lineRule="auto" w:line="276" w:before="0" w:after="200"/>
        <w:contextualSpacing/>
        <w:rPr>
          <w:lang w:eastAsia="en-US"/>
        </w:rPr>
      </w:pPr>
      <w:r>
        <w:rPr>
          <w:lang w:eastAsia="en-US"/>
        </w:rPr>
        <w:t>3.1.</w:t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ListParagraph"/>
        <w:spacing w:lineRule="auto" w:line="276" w:before="0" w:after="200"/>
        <w:contextualSpacing/>
        <w:rPr>
          <w:lang w:eastAsia="en-US"/>
        </w:rPr>
      </w:pPr>
      <w:r>
        <w:rPr>
          <w:lang w:eastAsia="en-US"/>
        </w:rPr>
        <w:t>3.2.</w:t>
        <w:tab/>
        <w:t>Дополнительные документы по ценообразованию в состав заявки не включаются.</w:t>
      </w:r>
    </w:p>
    <w:p>
      <w:pPr>
        <w:pStyle w:val="ListParagraph"/>
        <w:rPr>
          <w:bCs/>
          <w:lang w:eastAsia="ar-SA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3" w:hanging="432"/>
      </w:pPr>
      <w:rPr>
        <w:sz w:val="24"/>
        <w:b w:val="false"/>
        <w:szCs w:val="24"/>
        <w:bCs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0"/>
    <w:lvlOverride w:ilvl="0">
      <w:startOverride w:val="1"/>
    </w:lvlOverride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7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363e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5066da"/>
    <w:pPr>
      <w:keepNext w:val="true"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5066da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Текст Знак"/>
    <w:basedOn w:val="DefaultParagraphFont"/>
    <w:link w:val="PlainText"/>
    <w:uiPriority w:val="99"/>
    <w:semiHidden/>
    <w:qFormat/>
    <w:rsid w:val="007b286f"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character" w:styleId="Style15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andard" w:customStyle="1">
    <w:name w:val="Standard"/>
    <w:qFormat/>
    <w:rsid w:val="002a3b60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ru-RU" w:bidi="ar-SA"/>
    </w:rPr>
  </w:style>
  <w:style w:type="paragraph" w:styleId="Default" w:customStyle="1">
    <w:name w:val="Default"/>
    <w:qFormat/>
    <w:rsid w:val="0072001c"/>
    <w:pPr>
      <w:widowControl/>
      <w:suppressAutoHyphens w:val="true"/>
      <w:bidi w:val="0"/>
      <w:spacing w:before="0" w:after="0"/>
      <w:jc w:val="left"/>
    </w:pPr>
    <w:rPr>
      <w:rFonts w:eastAsia="MS Mincho" w:ascii="Times New Roman" w:hAnsi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PlainText">
    <w:name w:val="Plain Text"/>
    <w:basedOn w:val="Normal"/>
    <w:link w:val="Style14"/>
    <w:uiPriority w:val="99"/>
    <w:semiHidden/>
    <w:unhideWhenUsed/>
    <w:qFormat/>
    <w:rsid w:val="007b286f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609BA-CAF7-457B-A29C-04D7DE992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AlterOffice/3.4.0.9$Linux_X86_64 LibreOffice_project/b8daf9e823b1a5463a2f48435ddc2e8696e7d4fc</Application>
  <AppVersion>15.0000</AppVersion>
  <Pages>8</Pages>
  <Words>1215</Words>
  <Characters>7942</Characters>
  <CharactersWithSpaces>8894</CharactersWithSpaces>
  <Paragraphs>267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2026-10-06T11:38:00Z</dcterms:created>
  <dc:creator>Быстров Олег Геннадьевич</dc:creator>
  <dc:description/>
  <dc:language>ru-RU</dc:language>
  <cp:lastModifiedBy>mastrikovaes@corp.gidroogk.com</cp:lastModifiedBy>
  <cp:lastPrinted>2023-01-14T04:55:00Z</cp:lastPrinted>
  <dcterms:modified xsi:type="dcterms:W3CDTF">2026-10-07T10:28:08Z</dcterms:modified>
  <cp:revision>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