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2"/>
        <w:numPr>
          <w:ilvl w:val="0"/>
          <w:numId w:val="0"/>
        </w:numPr>
        <w:tabs>
          <w:tab w:val="clear" w:pos="708"/>
          <w:tab w:val="left" w:pos="1418" w:leader="none"/>
        </w:tabs>
        <w:spacing w:lineRule="auto" w:line="240" w:before="0" w:after="0"/>
        <w:ind w:left="288" w:hanging="0"/>
        <w:rPr>
          <w:rFonts w:ascii="Calibri" w:hAnsi="Calibri" w:asciiTheme="minorHAnsi" w:hAnsiTheme="minorHAnsi"/>
          <w:sz w:val="24"/>
          <w:szCs w:val="24"/>
        </w:rPr>
      </w:pPr>
      <w:r>
        <w:rPr>
          <w:rFonts w:ascii="Calibri" w:hAnsi="Calibri" w:asciiTheme="minorHAnsi" w:hAnsiTheme="minorHAnsi"/>
          <w:sz w:val="24"/>
          <w:szCs w:val="24"/>
        </w:rPr>
        <w:t xml:space="preserve">Обоснование указания на конкретный товарный знак (производителя) </w:t>
      </w:r>
    </w:p>
    <w:p>
      <w:pPr>
        <w:pStyle w:val="12"/>
        <w:numPr>
          <w:ilvl w:val="0"/>
          <w:numId w:val="0"/>
        </w:numPr>
        <w:tabs>
          <w:tab w:val="clear" w:pos="708"/>
          <w:tab w:val="left" w:pos="1418" w:leader="none"/>
        </w:tabs>
        <w:spacing w:lineRule="auto" w:line="240" w:before="0" w:after="0"/>
        <w:ind w:left="288" w:hanging="0"/>
        <w:rPr>
          <w:rFonts w:ascii="Calibri" w:hAnsi="Calibri" w:asciiTheme="minorHAnsi" w:hAnsiTheme="minorHAnsi"/>
          <w:sz w:val="24"/>
          <w:szCs w:val="24"/>
        </w:rPr>
      </w:pPr>
      <w:r>
        <w:rPr>
          <w:rFonts w:ascii="Calibri" w:hAnsi="Calibri" w:asciiTheme="minorHAnsi" w:hAnsiTheme="minorHAnsi"/>
          <w:sz w:val="24"/>
          <w:szCs w:val="24"/>
        </w:rPr>
        <w:t>без применения слов «или эквивалент»</w:t>
      </w:r>
    </w:p>
    <w:p>
      <w:pPr>
        <w:pStyle w:val="12"/>
        <w:numPr>
          <w:ilvl w:val="0"/>
          <w:numId w:val="0"/>
        </w:numPr>
        <w:tabs>
          <w:tab w:val="clear" w:pos="708"/>
          <w:tab w:val="left" w:pos="1418" w:leader="none"/>
        </w:tabs>
        <w:spacing w:lineRule="auto" w:line="240" w:before="0" w:after="0"/>
        <w:ind w:left="288" w:hanging="0"/>
        <w:jc w:val="both"/>
        <w:rPr>
          <w:rFonts w:ascii="Calibri" w:hAnsi="Calibri" w:asciiTheme="minorHAnsi" w:hAnsiTheme="minorHAnsi"/>
          <w:b w:val="false"/>
          <w:sz w:val="24"/>
          <w:szCs w:val="24"/>
        </w:rPr>
      </w:pPr>
      <w:r>
        <w:rPr>
          <w:rFonts w:ascii="Calibri" w:hAnsi="Calibri" w:asciiTheme="minorHAnsi" w:hAnsiTheme="minorHAnsi"/>
          <w:b w:val="false"/>
          <w:sz w:val="24"/>
          <w:szCs w:val="24"/>
        </w:rPr>
        <w:tab/>
      </w:r>
    </w:p>
    <w:p>
      <w:pPr>
        <w:pStyle w:val="12"/>
        <w:numPr>
          <w:ilvl w:val="0"/>
          <w:numId w:val="0"/>
        </w:numPr>
        <w:tabs>
          <w:tab w:val="clear" w:pos="708"/>
          <w:tab w:val="left" w:pos="1418" w:leader="none"/>
        </w:tabs>
        <w:spacing w:lineRule="auto" w:line="240" w:before="0" w:after="0"/>
        <w:ind w:left="288" w:hanging="0"/>
        <w:jc w:val="both"/>
        <w:rPr>
          <w:rFonts w:ascii="Calibri" w:hAnsi="Calibri" w:asciiTheme="minorHAnsi" w:hAnsiTheme="minorHAnsi"/>
          <w:b w:val="false"/>
          <w:sz w:val="24"/>
          <w:szCs w:val="24"/>
        </w:rPr>
      </w:pPr>
      <w:r>
        <w:rPr>
          <w:rFonts w:asciiTheme="minorHAnsi" w:hAnsiTheme="minorHAnsi" w:ascii="Calibri" w:hAnsi="Calibri"/>
          <w:b w:val="false"/>
          <w:sz w:val="24"/>
          <w:szCs w:val="24"/>
        </w:rPr>
      </w:r>
    </w:p>
    <w:p>
      <w:pPr>
        <w:pStyle w:val="12"/>
        <w:numPr>
          <w:ilvl w:val="0"/>
          <w:numId w:val="0"/>
        </w:numPr>
        <w:tabs>
          <w:tab w:val="clear" w:pos="708"/>
          <w:tab w:val="left" w:pos="1418" w:leader="none"/>
        </w:tabs>
        <w:spacing w:lineRule="auto" w:line="240" w:before="0" w:after="0"/>
        <w:ind w:left="288" w:hanging="0"/>
        <w:jc w:val="both"/>
        <w:rPr>
          <w:rFonts w:ascii="Calibri" w:hAnsi="Calibri" w:asciiTheme="minorHAnsi" w:hAnsiTheme="minorHAnsi"/>
          <w:b w:val="false"/>
          <w:sz w:val="24"/>
          <w:szCs w:val="24"/>
        </w:rPr>
      </w:pPr>
      <w:bookmarkStart w:id="0" w:name="_Ref512279441"/>
      <w:r>
        <w:rPr>
          <w:rFonts w:ascii="Calibri" w:hAnsi="Calibri" w:asciiTheme="minorHAnsi" w:hAnsiTheme="minorHAnsi"/>
          <w:b w:val="false"/>
          <w:sz w:val="24"/>
          <w:szCs w:val="24"/>
        </w:rPr>
        <w:tab/>
        <w:t xml:space="preserve">При </w:t>
      </w:r>
      <w:bookmarkEnd w:id="0"/>
      <w:r>
        <w:rPr>
          <w:rFonts w:ascii="Calibri" w:hAnsi="Calibri" w:asciiTheme="minorHAnsi" w:hAnsiTheme="minorHAnsi"/>
          <w:b w:val="false"/>
          <w:sz w:val="24"/>
          <w:szCs w:val="24"/>
        </w:rPr>
        <w:t>подготовке технических требований к закупаемой продукции в описании характеристик предмета закупки Заказчиком использованы указания на товарный знак без указания слов «(или эквивалент)» на основании п.п. 6.5.1.3 а) и 6.5.1.4 ЕПоЗ в связи с закупкой товара с целью его перепродажи.</w:t>
      </w:r>
    </w:p>
    <w:p>
      <w:pPr>
        <w:pStyle w:val="12"/>
        <w:numPr>
          <w:ilvl w:val="0"/>
          <w:numId w:val="0"/>
        </w:numPr>
        <w:tabs>
          <w:tab w:val="clear" w:pos="708"/>
          <w:tab w:val="left" w:pos="1418" w:leader="none"/>
        </w:tabs>
        <w:spacing w:lineRule="auto" w:line="240" w:before="0" w:after="0"/>
        <w:ind w:left="288" w:hanging="0"/>
        <w:jc w:val="both"/>
        <w:rPr>
          <w:rFonts w:ascii="Calibri" w:hAnsi="Calibri" w:asciiTheme="minorHAnsi" w:hAnsiTheme="minorHAnsi"/>
          <w:b w:val="false"/>
          <w:sz w:val="24"/>
          <w:szCs w:val="24"/>
        </w:rPr>
      </w:pPr>
      <w:r>
        <w:rPr>
          <w:rFonts w:ascii="Calibri" w:hAnsi="Calibri" w:asciiTheme="minorHAnsi" w:hAnsiTheme="minorHAnsi"/>
          <w:b w:val="false"/>
          <w:sz w:val="24"/>
          <w:szCs w:val="24"/>
        </w:rPr>
        <w:tab/>
        <w:t>Использование продукции с такими товарными знаками предусмотрено обязательными для Заказчика условиями Договора №1180-267-2023 «Капитальный и текущий ремонт оборудования, зданий, сооружений филиала ПАО «РусГидро» – «Камская ГЭС»», заключенного с юридическим лицом – ПАО «РусГидро».</w:t>
      </w:r>
    </w:p>
    <w:p>
      <w:pPr>
        <w:pStyle w:val="12"/>
        <w:numPr>
          <w:ilvl w:val="0"/>
          <w:numId w:val="0"/>
        </w:numPr>
        <w:tabs>
          <w:tab w:val="clear" w:pos="708"/>
          <w:tab w:val="left" w:pos="1418" w:leader="none"/>
        </w:tabs>
        <w:spacing w:lineRule="auto" w:line="240" w:before="0" w:after="0"/>
        <w:ind w:left="288" w:hanging="0"/>
        <w:jc w:val="both"/>
        <w:rPr>
          <w:rFonts w:ascii="Calibri" w:hAnsi="Calibri" w:asciiTheme="minorHAnsi" w:hAnsiTheme="minorHAnsi"/>
          <w:b w:val="false"/>
          <w:sz w:val="24"/>
          <w:szCs w:val="24"/>
        </w:rPr>
      </w:pPr>
      <w:r>
        <w:rPr>
          <w:rFonts w:ascii="Calibri" w:hAnsi="Calibri" w:asciiTheme="minorHAnsi" w:hAnsiTheme="minorHAnsi"/>
          <w:b w:val="false"/>
          <w:sz w:val="24"/>
          <w:szCs w:val="24"/>
        </w:rPr>
        <w:tab/>
        <w:t>Ниже представлен перечень приложений к Доходным договорам, в котором содержатся указания на такие товарные знаки, а также указание на раздел (пункт) технических требований, в котором указаны требования к товарному знаку.</w:t>
      </w:r>
    </w:p>
    <w:p>
      <w:pPr>
        <w:pStyle w:val="12"/>
        <w:numPr>
          <w:ilvl w:val="0"/>
          <w:numId w:val="0"/>
        </w:numPr>
        <w:tabs>
          <w:tab w:val="clear" w:pos="708"/>
          <w:tab w:val="left" w:pos="1418" w:leader="none"/>
        </w:tabs>
        <w:spacing w:lineRule="auto" w:line="240" w:before="0" w:after="0"/>
        <w:ind w:left="288" w:hanging="0"/>
        <w:jc w:val="both"/>
        <w:rPr>
          <w:rFonts w:ascii="Calibri" w:hAnsi="Calibri" w:asciiTheme="minorHAnsi" w:hAnsiTheme="minorHAnsi"/>
          <w:b w:val="false"/>
          <w:sz w:val="24"/>
          <w:szCs w:val="24"/>
        </w:rPr>
      </w:pPr>
      <w:r>
        <w:rPr>
          <w:rFonts w:asciiTheme="minorHAnsi" w:hAnsiTheme="minorHAnsi" w:ascii="Calibri" w:hAnsi="Calibri"/>
          <w:b w:val="false"/>
          <w:sz w:val="24"/>
          <w:szCs w:val="24"/>
        </w:rPr>
      </w:r>
    </w:p>
    <w:tbl>
      <w:tblPr>
        <w:tblW w:w="14363" w:type="dxa"/>
        <w:jc w:val="left"/>
        <w:tblInd w:w="39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588"/>
        <w:gridCol w:w="3940"/>
        <w:gridCol w:w="2153"/>
        <w:gridCol w:w="2239"/>
        <w:gridCol w:w="4443"/>
      </w:tblGrid>
      <w:tr>
        <w:trPr>
          <w:trHeight w:val="852" w:hRule="atLeast"/>
        </w:trPr>
        <w:tc>
          <w:tcPr>
            <w:tcW w:w="1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 xml:space="preserve">№ </w:t>
            </w:r>
            <w:r>
              <w:rPr>
                <w:rFonts w:ascii="Calibri" w:hAnsi="Calibri" w:asciiTheme="minorHAnsi" w:hAnsiTheme="minorHAnsi"/>
                <w:sz w:val="24"/>
                <w:szCs w:val="24"/>
              </w:rPr>
              <w:t>позиции в Технических требованиях (спецификации)</w:t>
            </w:r>
          </w:p>
        </w:tc>
        <w:tc>
          <w:tcPr>
            <w:tcW w:w="3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Наименование продукции (материала)</w:t>
            </w:r>
          </w:p>
        </w:tc>
        <w:tc>
          <w:tcPr>
            <w:tcW w:w="439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Сведения о документе, в котором содержится указание на товарный знак (производителя) продукции (материала)</w:t>
            </w:r>
          </w:p>
        </w:tc>
        <w:tc>
          <w:tcPr>
            <w:tcW w:w="44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Отношение такого документа к доходному договору (чем введен, утвержден)</w:t>
            </w:r>
          </w:p>
        </w:tc>
      </w:tr>
      <w:tr>
        <w:trPr>
          <w:trHeight w:val="374" w:hRule="atLeast"/>
        </w:trPr>
        <w:tc>
          <w:tcPr>
            <w:tcW w:w="15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 w:ascii="Calibri" w:hAnsi="Calibri"/>
                <w:sz w:val="24"/>
                <w:szCs w:val="24"/>
              </w:rPr>
            </w:r>
          </w:p>
        </w:tc>
        <w:tc>
          <w:tcPr>
            <w:tcW w:w="39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 w:ascii="Calibri" w:hAnsi="Calibri"/>
                <w:sz w:val="24"/>
                <w:szCs w:val="24"/>
              </w:rPr>
            </w:r>
          </w:p>
        </w:tc>
        <w:tc>
          <w:tcPr>
            <w:tcW w:w="439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 w:ascii="Calibri" w:hAnsi="Calibri"/>
                <w:sz w:val="24"/>
                <w:szCs w:val="24"/>
              </w:rPr>
            </w:r>
          </w:p>
        </w:tc>
        <w:tc>
          <w:tcPr>
            <w:tcW w:w="44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 w:ascii="Calibri" w:hAnsi="Calibri"/>
                <w:sz w:val="24"/>
                <w:szCs w:val="24"/>
              </w:rPr>
            </w:r>
          </w:p>
        </w:tc>
      </w:tr>
      <w:tr>
        <w:trPr>
          <w:trHeight w:val="89" w:hRule="atLeast"/>
        </w:trPr>
        <w:tc>
          <w:tcPr>
            <w:tcW w:w="15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left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 w:ascii="Calibri" w:hAnsi="Calibri"/>
                <w:sz w:val="24"/>
                <w:szCs w:val="24"/>
              </w:rPr>
            </w:r>
          </w:p>
        </w:tc>
        <w:tc>
          <w:tcPr>
            <w:tcW w:w="39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left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 w:ascii="Calibri" w:hAnsi="Calibri"/>
                <w:sz w:val="24"/>
                <w:szCs w:val="24"/>
              </w:rPr>
            </w:r>
          </w:p>
        </w:tc>
        <w:tc>
          <w:tcPr>
            <w:tcW w:w="215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Наименование</w:t>
            </w:r>
          </w:p>
        </w:tc>
        <w:tc>
          <w:tcPr>
            <w:tcW w:w="22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Пункт</w:t>
            </w:r>
          </w:p>
        </w:tc>
        <w:tc>
          <w:tcPr>
            <w:tcW w:w="44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left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 w:ascii="Calibri" w:hAnsi="Calibri"/>
                <w:sz w:val="24"/>
                <w:szCs w:val="24"/>
              </w:rPr>
            </w:r>
          </w:p>
        </w:tc>
      </w:tr>
      <w:tr>
        <w:trPr>
          <w:trHeight w:val="1029" w:hRule="atLeast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39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left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DIN-рейка перфорированная Rexant 12-8030 300х7.5х35мм оцинкованная</w:t>
            </w:r>
          </w:p>
        </w:tc>
        <w:tc>
          <w:tcPr>
            <w:tcW w:w="21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bCs/>
                <w:sz w:val="24"/>
                <w:szCs w:val="24"/>
                <w:lang w:val="en-US"/>
              </w:rPr>
            </w:pPr>
            <w:r>
              <w:rPr>
                <w:rFonts w:ascii="Calibri" w:hAnsi="Calibri" w:asciiTheme="minorHAnsi" w:hAnsiTheme="minorHAnsi"/>
                <w:bCs/>
                <w:sz w:val="24"/>
                <w:szCs w:val="24"/>
              </w:rPr>
              <w:t>ВОР № 99.454153</w:t>
            </w:r>
          </w:p>
        </w:tc>
        <w:tc>
          <w:tcPr>
            <w:tcW w:w="22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П.1.1</w:t>
            </w:r>
            <w:r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  <w:t>.7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материалы Подрядчика</w:t>
            </w:r>
          </w:p>
        </w:tc>
        <w:tc>
          <w:tcPr>
            <w:tcW w:w="44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ВЕДОМОСТЬ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планируемых услуг по размещению спец. транспорта МОГ</w:t>
            </w:r>
          </w:p>
        </w:tc>
      </w:tr>
      <w:tr>
        <w:trPr>
          <w:trHeight w:val="1029" w:hRule="atLeast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  <w:t>4</w:t>
            </w:r>
          </w:p>
        </w:tc>
        <w:tc>
          <w:tcPr>
            <w:tcW w:w="39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left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Шина нулевая N IEK ШНК 4х7 3L+PEN YND10-4-07-100 100А 4х7групп в корпусе (кросс-модуль) латунь</w:t>
            </w:r>
          </w:p>
        </w:tc>
        <w:tc>
          <w:tcPr>
            <w:tcW w:w="21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bCs/>
                <w:sz w:val="24"/>
                <w:szCs w:val="24"/>
                <w:lang w:val="en-US"/>
              </w:rPr>
            </w:pPr>
            <w:r>
              <w:rPr>
                <w:rFonts w:ascii="Calibri" w:hAnsi="Calibri" w:asciiTheme="minorHAnsi" w:hAnsiTheme="minorHAnsi"/>
                <w:bCs/>
                <w:sz w:val="24"/>
                <w:szCs w:val="24"/>
              </w:rPr>
              <w:t>ВОР № 99.454153</w:t>
            </w:r>
          </w:p>
        </w:tc>
        <w:tc>
          <w:tcPr>
            <w:tcW w:w="22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П.1.1</w:t>
            </w:r>
            <w:r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  <w:t>.8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материалы Подрядчика</w:t>
            </w:r>
          </w:p>
        </w:tc>
        <w:tc>
          <w:tcPr>
            <w:tcW w:w="44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ВЕДОМОСТЬ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планируемых услуг по размещению спец. транспорта МОГ</w:t>
            </w:r>
          </w:p>
        </w:tc>
      </w:tr>
      <w:tr>
        <w:trPr>
          <w:trHeight w:val="1029" w:hRule="atLeast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  <w:t>5</w:t>
            </w:r>
          </w:p>
        </w:tc>
        <w:tc>
          <w:tcPr>
            <w:tcW w:w="39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left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Шина</w:t>
            </w:r>
            <w:r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  <w:t xml:space="preserve"> N </w:t>
            </w:r>
            <w:r>
              <w:rPr>
                <w:rFonts w:ascii="Calibri" w:hAnsi="Calibri" w:asciiTheme="minorHAnsi" w:hAnsiTheme="minorHAnsi"/>
                <w:sz w:val="24"/>
                <w:szCs w:val="24"/>
              </w:rPr>
              <w:t>нулевая</w:t>
            </w:r>
            <w:r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  <w:t xml:space="preserve"> EKF PROxima sn0-63-10-d 100</w:t>
            </w:r>
            <w:r>
              <w:rPr>
                <w:rFonts w:ascii="Calibri" w:hAnsi="Calibri" w:asciiTheme="minorHAnsi" w:hAnsiTheme="minorHAnsi"/>
                <w:sz w:val="24"/>
                <w:szCs w:val="24"/>
              </w:rPr>
              <w:t>А</w:t>
            </w:r>
            <w:r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  <w:t xml:space="preserve"> 10</w:t>
            </w:r>
            <w:r>
              <w:rPr>
                <w:rFonts w:ascii="Calibri" w:hAnsi="Calibri" w:asciiTheme="minorHAnsi" w:hAnsiTheme="minorHAnsi"/>
                <w:sz w:val="24"/>
                <w:szCs w:val="24"/>
              </w:rPr>
              <w:t>отв</w:t>
            </w:r>
            <w:r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Calibri" w:hAnsi="Calibri" w:asciiTheme="minorHAnsi" w:hAnsiTheme="minorHAnsi"/>
                <w:sz w:val="24"/>
                <w:szCs w:val="24"/>
              </w:rPr>
              <w:t>6х9мм на DIN-изоляторе латунная</w:t>
            </w:r>
          </w:p>
        </w:tc>
        <w:tc>
          <w:tcPr>
            <w:tcW w:w="21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bCs/>
                <w:sz w:val="24"/>
                <w:szCs w:val="24"/>
                <w:lang w:val="en-US"/>
              </w:rPr>
            </w:pPr>
            <w:r>
              <w:rPr>
                <w:rFonts w:ascii="Calibri" w:hAnsi="Calibri" w:asciiTheme="minorHAnsi" w:hAnsiTheme="minorHAnsi"/>
                <w:bCs/>
                <w:sz w:val="24"/>
                <w:szCs w:val="24"/>
              </w:rPr>
              <w:t>ВОР № 99.454153</w:t>
            </w:r>
          </w:p>
        </w:tc>
        <w:tc>
          <w:tcPr>
            <w:tcW w:w="22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П.1.1</w:t>
            </w:r>
            <w:r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  <w:t>.9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материалы Подрядчика</w:t>
            </w:r>
          </w:p>
        </w:tc>
        <w:tc>
          <w:tcPr>
            <w:tcW w:w="44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ВЕДОМОСТЬ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планируемых услуг по размещению спец. транспорта МОГ</w:t>
            </w:r>
          </w:p>
        </w:tc>
      </w:tr>
      <w:tr>
        <w:trPr>
          <w:trHeight w:val="1029" w:hRule="atLeast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  <w:t>6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Шина соединительная PIN (штырь) DEKraft ШС101-3-63 32034DEK 3Р 63А 1000мм</w:t>
            </w:r>
          </w:p>
        </w:tc>
        <w:tc>
          <w:tcPr>
            <w:tcW w:w="21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bCs/>
                <w:sz w:val="24"/>
                <w:szCs w:val="24"/>
                <w:lang w:val="en-US"/>
              </w:rPr>
            </w:pPr>
            <w:r>
              <w:rPr>
                <w:rFonts w:ascii="Calibri" w:hAnsi="Calibri" w:asciiTheme="minorHAnsi" w:hAnsiTheme="minorHAnsi"/>
                <w:bCs/>
                <w:sz w:val="24"/>
                <w:szCs w:val="24"/>
              </w:rPr>
              <w:t>ВОР № 99.454153</w:t>
            </w:r>
          </w:p>
        </w:tc>
        <w:tc>
          <w:tcPr>
            <w:tcW w:w="22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П.1.1</w:t>
            </w:r>
            <w:r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  <w:t>.10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материалы Подрядчика</w:t>
            </w:r>
          </w:p>
        </w:tc>
        <w:tc>
          <w:tcPr>
            <w:tcW w:w="44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ВЕДОМОСТЬ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планируемых услуг по размещению спец. транспорта МОГ</w:t>
            </w:r>
          </w:p>
        </w:tc>
      </w:tr>
      <w:tr>
        <w:trPr>
          <w:trHeight w:val="1029" w:hRule="atLeast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  <w:t>7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Светильник светодиодный Световые технологии Acorn LED 40 5000К 40Вт промышленный 36 VAC</w:t>
            </w:r>
          </w:p>
        </w:tc>
        <w:tc>
          <w:tcPr>
            <w:tcW w:w="21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bCs/>
                <w:sz w:val="24"/>
                <w:szCs w:val="24"/>
                <w:lang w:val="en-US"/>
              </w:rPr>
            </w:pPr>
            <w:r>
              <w:rPr>
                <w:rFonts w:ascii="Calibri" w:hAnsi="Calibri" w:asciiTheme="minorHAnsi" w:hAnsiTheme="minorHAnsi"/>
                <w:bCs/>
                <w:sz w:val="24"/>
                <w:szCs w:val="24"/>
              </w:rPr>
              <w:t>ВОР № 99.454153</w:t>
            </w:r>
          </w:p>
        </w:tc>
        <w:tc>
          <w:tcPr>
            <w:tcW w:w="22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П.1.1</w:t>
            </w:r>
            <w:r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  <w:t>.12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материалы Подрядчика</w:t>
            </w:r>
          </w:p>
        </w:tc>
        <w:tc>
          <w:tcPr>
            <w:tcW w:w="44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ВЕДОМОСТЬ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планируемых услуг по размещению спец. транспорта МОГ</w:t>
            </w:r>
          </w:p>
        </w:tc>
      </w:tr>
      <w:tr>
        <w:trPr>
          <w:trHeight w:val="1029" w:hRule="atLeast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  <w:t>8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Выключатель автоматический Systeme Electric City9 Set 50А C 3P 4.5кА 400В C9F34350</w:t>
            </w:r>
          </w:p>
        </w:tc>
        <w:tc>
          <w:tcPr>
            <w:tcW w:w="21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bCs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bCs/>
                <w:sz w:val="24"/>
                <w:szCs w:val="24"/>
              </w:rPr>
              <w:t>ВОР № 99.454153</w:t>
            </w:r>
          </w:p>
        </w:tc>
        <w:tc>
          <w:tcPr>
            <w:tcW w:w="22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П.1.1</w:t>
            </w:r>
            <w:r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  <w:t>.1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зап.</w:t>
            </w:r>
            <w:r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  <w:t>части</w:t>
            </w:r>
            <w:r>
              <w:rPr>
                <w:rFonts w:ascii="Calibri" w:hAnsi="Calibri" w:asciiTheme="minorHAnsi" w:hAnsiTheme="minorHAnsi"/>
                <w:sz w:val="24"/>
                <w:szCs w:val="24"/>
              </w:rPr>
              <w:t xml:space="preserve"> Подрядчика</w:t>
            </w:r>
          </w:p>
        </w:tc>
        <w:tc>
          <w:tcPr>
            <w:tcW w:w="44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ВЕДОМОСТЬ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планируемых услуг по размещению спец. транспорта МОГ</w:t>
            </w:r>
          </w:p>
        </w:tc>
      </w:tr>
      <w:tr>
        <w:trPr>
          <w:trHeight w:val="1029" w:hRule="atLeast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9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Выключатель автоматический Systeme Electric City9 Set AC 32А C 3P 6кА 400В C9F36332</w:t>
            </w:r>
          </w:p>
        </w:tc>
        <w:tc>
          <w:tcPr>
            <w:tcW w:w="21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bCs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bCs/>
                <w:sz w:val="24"/>
                <w:szCs w:val="24"/>
              </w:rPr>
              <w:t>ВОР № 99.454153</w:t>
            </w:r>
          </w:p>
        </w:tc>
        <w:tc>
          <w:tcPr>
            <w:tcW w:w="22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П.1.1</w:t>
            </w:r>
            <w:r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  <w:t>.2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зап.</w:t>
            </w:r>
            <w:r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  <w:t>части</w:t>
            </w:r>
            <w:r>
              <w:rPr>
                <w:rFonts w:ascii="Calibri" w:hAnsi="Calibri" w:asciiTheme="minorHAnsi" w:hAnsiTheme="minorHAnsi"/>
                <w:sz w:val="24"/>
                <w:szCs w:val="24"/>
              </w:rPr>
              <w:t xml:space="preserve"> Подрядчика</w:t>
            </w:r>
          </w:p>
        </w:tc>
        <w:tc>
          <w:tcPr>
            <w:tcW w:w="44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ВЕДОМОСТЬ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планируемых услуг по размещению спец. транспорта МОГ</w:t>
            </w:r>
          </w:p>
        </w:tc>
      </w:tr>
      <w:tr>
        <w:trPr>
          <w:trHeight w:val="1029" w:hRule="atLeast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  <w:t>10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Выключатель автоматический Systeme Electric City9 Set AC 25А C 3P 6кА 400В C9F36325</w:t>
            </w:r>
          </w:p>
        </w:tc>
        <w:tc>
          <w:tcPr>
            <w:tcW w:w="21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bCs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bCs/>
                <w:sz w:val="24"/>
                <w:szCs w:val="24"/>
              </w:rPr>
              <w:t>ВОР № 99.454153</w:t>
            </w:r>
          </w:p>
        </w:tc>
        <w:tc>
          <w:tcPr>
            <w:tcW w:w="22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П.1.1</w:t>
            </w:r>
            <w:r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  <w:t>.3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зап.</w:t>
            </w:r>
            <w:r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  <w:t>части</w:t>
            </w:r>
            <w:r>
              <w:rPr>
                <w:rFonts w:ascii="Calibri" w:hAnsi="Calibri" w:asciiTheme="minorHAnsi" w:hAnsiTheme="minorHAnsi"/>
                <w:sz w:val="24"/>
                <w:szCs w:val="24"/>
              </w:rPr>
              <w:t xml:space="preserve"> Подрядчика</w:t>
            </w:r>
          </w:p>
        </w:tc>
        <w:tc>
          <w:tcPr>
            <w:tcW w:w="44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ВЕДОМОСТЬ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планируемых услуг по размещению спец. транспорта МОГ</w:t>
            </w:r>
          </w:p>
        </w:tc>
      </w:tr>
      <w:tr>
        <w:trPr>
          <w:trHeight w:val="1029" w:hRule="atLeast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  <w:t>11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Выключатель автоматический Systeme Electric City9 Set AC 16А C 1P 6кА 230В IP20 УХЛ4 C9F36116</w:t>
            </w:r>
          </w:p>
        </w:tc>
        <w:tc>
          <w:tcPr>
            <w:tcW w:w="21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bCs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bCs/>
                <w:sz w:val="24"/>
                <w:szCs w:val="24"/>
              </w:rPr>
              <w:t>ВОР № 99.454153</w:t>
            </w:r>
          </w:p>
        </w:tc>
        <w:tc>
          <w:tcPr>
            <w:tcW w:w="22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П.1.1</w:t>
            </w:r>
            <w:r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  <w:t>.4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зап.</w:t>
            </w:r>
            <w:r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  <w:t>части</w:t>
            </w:r>
            <w:r>
              <w:rPr>
                <w:rFonts w:ascii="Calibri" w:hAnsi="Calibri" w:asciiTheme="minorHAnsi" w:hAnsiTheme="minorHAnsi"/>
                <w:sz w:val="24"/>
                <w:szCs w:val="24"/>
              </w:rPr>
              <w:t xml:space="preserve"> Подрядчика</w:t>
            </w:r>
          </w:p>
        </w:tc>
        <w:tc>
          <w:tcPr>
            <w:tcW w:w="44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ВЕДОМОСТЬ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планируемых услуг по размещению спец. транспорта МОГ</w:t>
            </w:r>
          </w:p>
        </w:tc>
      </w:tr>
      <w:tr>
        <w:trPr>
          <w:trHeight w:val="1029" w:hRule="atLeast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  <w:t>12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Шина</w:t>
            </w:r>
            <w:r>
              <w:rPr>
                <w:sz w:val="24"/>
                <w:szCs w:val="24"/>
                <w:lang w:val="en-US"/>
              </w:rPr>
              <w:t xml:space="preserve"> PE </w:t>
            </w:r>
            <w:r>
              <w:rPr>
                <w:sz w:val="24"/>
                <w:szCs w:val="24"/>
              </w:rPr>
              <w:t>земля</w:t>
            </w:r>
            <w:r>
              <w:rPr>
                <w:sz w:val="24"/>
                <w:szCs w:val="24"/>
                <w:lang w:val="en-US"/>
              </w:rPr>
              <w:t xml:space="preserve"> IEK 6</w:t>
            </w:r>
            <w:r>
              <w:rPr>
                <w:sz w:val="24"/>
                <w:szCs w:val="24"/>
              </w:rPr>
              <w:t>х</w:t>
            </w:r>
            <w:r>
              <w:rPr>
                <w:sz w:val="24"/>
                <w:szCs w:val="24"/>
                <w:lang w:val="en-US"/>
              </w:rPr>
              <w:t>9-12-</w:t>
            </w:r>
            <w:r>
              <w:rPr>
                <w:sz w:val="24"/>
                <w:szCs w:val="24"/>
              </w:rPr>
              <w:t>ЖЗ</w:t>
            </w:r>
            <w:r>
              <w:rPr>
                <w:sz w:val="24"/>
                <w:szCs w:val="24"/>
                <w:lang w:val="en-US"/>
              </w:rPr>
              <w:t xml:space="preserve"> TF-NN10-12-KL-K52 </w:t>
            </w:r>
            <w:r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  <w:lang w:val="en-US"/>
              </w:rPr>
              <w:t xml:space="preserve"> DIN-</w:t>
            </w:r>
            <w:r>
              <w:rPr>
                <w:sz w:val="24"/>
                <w:szCs w:val="24"/>
              </w:rPr>
              <w:t>изоляторе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латунная</w:t>
            </w:r>
          </w:p>
        </w:tc>
        <w:tc>
          <w:tcPr>
            <w:tcW w:w="21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bCs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bCs/>
                <w:sz w:val="24"/>
                <w:szCs w:val="24"/>
              </w:rPr>
              <w:t>ВОР № 99.454153</w:t>
            </w:r>
          </w:p>
        </w:tc>
        <w:tc>
          <w:tcPr>
            <w:tcW w:w="22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П.1.1</w:t>
            </w:r>
            <w:r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  <w:t>.5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зап.</w:t>
            </w:r>
            <w:r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  <w:t>части</w:t>
            </w:r>
            <w:r>
              <w:rPr>
                <w:rFonts w:ascii="Calibri" w:hAnsi="Calibri" w:asciiTheme="minorHAnsi" w:hAnsiTheme="minorHAnsi"/>
                <w:sz w:val="24"/>
                <w:szCs w:val="24"/>
              </w:rPr>
              <w:t xml:space="preserve"> Подрядчика</w:t>
            </w:r>
          </w:p>
        </w:tc>
        <w:tc>
          <w:tcPr>
            <w:tcW w:w="44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ВЕДОМОСТЬ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планируемых услуг по размещению спец. транспорта МОГ</w:t>
            </w:r>
          </w:p>
        </w:tc>
      </w:tr>
      <w:tr>
        <w:trPr>
          <w:trHeight w:val="1029" w:hRule="atLeast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  <w:t>13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Пускатель EKF ctrp-r-25-400v-led ПМЛ-2230 400В 25А 3P IP65 (РТЛ 17-25А)</w:t>
            </w:r>
          </w:p>
        </w:tc>
        <w:tc>
          <w:tcPr>
            <w:tcW w:w="21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bCs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bCs/>
                <w:sz w:val="24"/>
                <w:szCs w:val="24"/>
              </w:rPr>
              <w:t>ВОР № 99.454153</w:t>
            </w:r>
          </w:p>
        </w:tc>
        <w:tc>
          <w:tcPr>
            <w:tcW w:w="22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П.1.1</w:t>
            </w:r>
            <w:r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  <w:t>.10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зап.</w:t>
            </w:r>
            <w:r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  <w:t>части</w:t>
            </w:r>
            <w:r>
              <w:rPr>
                <w:rFonts w:ascii="Calibri" w:hAnsi="Calibri" w:asciiTheme="minorHAnsi" w:hAnsiTheme="minorHAnsi"/>
                <w:sz w:val="24"/>
                <w:szCs w:val="24"/>
              </w:rPr>
              <w:t xml:space="preserve"> Подрядчика</w:t>
            </w:r>
          </w:p>
        </w:tc>
        <w:tc>
          <w:tcPr>
            <w:tcW w:w="44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ВЕДОМОСТЬ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планируемых услуг по размещению спец. транспорта МОГ</w:t>
            </w:r>
          </w:p>
        </w:tc>
      </w:tr>
      <w:tr>
        <w:trPr>
          <w:trHeight w:val="1029" w:hRule="atLeast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  <w:t>14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Ящик с понижающим трансформатором ЯТП-0.4 ОС0000011745 ФКУ ИК-1 220/36В (выключатель автоматический-3шт) IP31</w:t>
            </w:r>
          </w:p>
        </w:tc>
        <w:tc>
          <w:tcPr>
            <w:tcW w:w="21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bCs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bCs/>
                <w:sz w:val="24"/>
                <w:szCs w:val="24"/>
              </w:rPr>
              <w:t>ВОР № 99.454153</w:t>
            </w:r>
          </w:p>
        </w:tc>
        <w:tc>
          <w:tcPr>
            <w:tcW w:w="22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П.1.1</w:t>
            </w:r>
            <w:r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  <w:t>.8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зап.</w:t>
            </w:r>
            <w:r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  <w:t>части</w:t>
            </w:r>
            <w:r>
              <w:rPr>
                <w:rFonts w:ascii="Calibri" w:hAnsi="Calibri" w:asciiTheme="minorHAnsi" w:hAnsiTheme="minorHAnsi"/>
                <w:sz w:val="24"/>
                <w:szCs w:val="24"/>
              </w:rPr>
              <w:t xml:space="preserve"> Подрядчика</w:t>
            </w:r>
          </w:p>
        </w:tc>
        <w:tc>
          <w:tcPr>
            <w:tcW w:w="44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ВЕДОМОСТЬ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планируемых услуг по размещению спец. транспорта МОГ</w:t>
            </w:r>
          </w:p>
        </w:tc>
      </w:tr>
      <w:tr>
        <w:trPr>
          <w:trHeight w:val="1029" w:hRule="atLeast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  <w:t>15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Выключатель</w:t>
            </w:r>
            <w:r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</w:rPr>
              <w:t>разъединитель</w:t>
            </w:r>
            <w:r>
              <w:rPr>
                <w:sz w:val="24"/>
                <w:szCs w:val="24"/>
                <w:lang w:val="en-US"/>
              </w:rPr>
              <w:t xml:space="preserve"> Schneider Electric SystemePact SD630 SSD06303LF0400 400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  <w:lang w:val="en-US"/>
              </w:rPr>
              <w:t xml:space="preserve"> 3 </w:t>
            </w:r>
            <w:r>
              <w:rPr>
                <w:sz w:val="24"/>
                <w:szCs w:val="24"/>
              </w:rPr>
              <w:t>полюса</w:t>
            </w:r>
          </w:p>
        </w:tc>
        <w:tc>
          <w:tcPr>
            <w:tcW w:w="21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bCs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bCs/>
                <w:sz w:val="24"/>
                <w:szCs w:val="24"/>
              </w:rPr>
              <w:t>ВОР № 99.454153</w:t>
            </w:r>
          </w:p>
        </w:tc>
        <w:tc>
          <w:tcPr>
            <w:tcW w:w="22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П.1.1</w:t>
            </w:r>
            <w:r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  <w:t>.9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зап.</w:t>
            </w:r>
            <w:r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  <w:t>части</w:t>
            </w:r>
            <w:r>
              <w:rPr>
                <w:rFonts w:ascii="Calibri" w:hAnsi="Calibri" w:asciiTheme="minorHAnsi" w:hAnsiTheme="minorHAnsi"/>
                <w:sz w:val="24"/>
                <w:szCs w:val="24"/>
              </w:rPr>
              <w:t xml:space="preserve"> Подрядчика</w:t>
            </w:r>
          </w:p>
        </w:tc>
        <w:tc>
          <w:tcPr>
            <w:tcW w:w="44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ВЕДОМОСТЬ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планируемых услуг по размещению спец. транспорта МОГ</w:t>
            </w:r>
          </w:p>
        </w:tc>
      </w:tr>
      <w:tr>
        <w:trPr>
          <w:trHeight w:val="1029" w:hRule="atLeast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  <w:t>16</w:t>
            </w:r>
            <w:bookmarkStart w:id="1" w:name="_GoBack"/>
            <w:bookmarkEnd w:id="1"/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Труба гофрированная полиамид 6 23мм DKC PA612329F2 с протяжкой черная</w:t>
            </w:r>
          </w:p>
        </w:tc>
        <w:tc>
          <w:tcPr>
            <w:tcW w:w="21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bCs/>
                <w:sz w:val="24"/>
                <w:szCs w:val="24"/>
                <w:lang w:val="en-US"/>
              </w:rPr>
            </w:pPr>
            <w:r>
              <w:rPr>
                <w:rFonts w:ascii="Calibri" w:hAnsi="Calibri" w:asciiTheme="minorHAnsi" w:hAnsiTheme="minorHAnsi"/>
                <w:bCs/>
                <w:sz w:val="24"/>
                <w:szCs w:val="24"/>
              </w:rPr>
              <w:t>ВОР № 99.454153</w:t>
            </w:r>
          </w:p>
        </w:tc>
        <w:tc>
          <w:tcPr>
            <w:tcW w:w="22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П.1.1</w:t>
            </w:r>
            <w:r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  <w:t>.6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  <w:lang w:val="en-US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материалы Подрядчика</w:t>
            </w:r>
          </w:p>
        </w:tc>
        <w:tc>
          <w:tcPr>
            <w:tcW w:w="44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ВЕДОМОСТЬ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Calibri" w:hAnsi="Calibri" w:asciiTheme="minorHAnsi" w:hAnsiTheme="minorHAnsi"/>
                <w:sz w:val="24"/>
                <w:szCs w:val="24"/>
              </w:rPr>
            </w:pPr>
            <w:r>
              <w:rPr>
                <w:rFonts w:ascii="Calibri" w:hAnsi="Calibri" w:asciiTheme="minorHAnsi" w:hAnsiTheme="minorHAnsi"/>
                <w:sz w:val="24"/>
                <w:szCs w:val="24"/>
              </w:rPr>
              <w:t>планируемых услуг по размещению спец. транспорта МОГ</w:t>
            </w:r>
          </w:p>
        </w:tc>
      </w:tr>
    </w:tbl>
    <w:p>
      <w:pPr>
        <w:pStyle w:val="Normal"/>
        <w:spacing w:lineRule="auto" w:line="240"/>
        <w:rPr>
          <w:rFonts w:ascii="Calibri" w:hAnsi="Calibri" w:asciiTheme="minorHAnsi" w:hAnsiTheme="minorHAnsi"/>
          <w:sz w:val="24"/>
          <w:szCs w:val="24"/>
        </w:rPr>
      </w:pPr>
      <w:r>
        <w:rPr>
          <w:rFonts w:asciiTheme="minorHAnsi" w:hAnsiTheme="minorHAnsi" w:ascii="Calibri" w:hAnsi="Calibri"/>
          <w:sz w:val="24"/>
          <w:szCs w:val="24"/>
        </w:rPr>
      </w:r>
    </w:p>
    <w:p>
      <w:pPr>
        <w:pStyle w:val="Normal"/>
        <w:spacing w:lineRule="auto" w:line="240"/>
        <w:rPr>
          <w:rFonts w:ascii="Calibri" w:hAnsi="Calibri" w:asciiTheme="minorHAnsi" w:hAnsiTheme="minorHAnsi"/>
          <w:sz w:val="24"/>
          <w:szCs w:val="24"/>
        </w:rPr>
      </w:pPr>
      <w:r>
        <w:rPr>
          <w:rFonts w:asciiTheme="minorHAnsi" w:hAnsiTheme="minorHAnsi" w:ascii="Calibri" w:hAnsi="Calibri"/>
          <w:sz w:val="24"/>
          <w:szCs w:val="24"/>
        </w:rPr>
      </w:r>
    </w:p>
    <w:p>
      <w:pPr>
        <w:pStyle w:val="Normal"/>
        <w:spacing w:lineRule="auto" w:line="240"/>
        <w:rPr>
          <w:rFonts w:ascii="Calibri" w:hAnsi="Calibri" w:asciiTheme="minorHAnsi" w:hAnsiTheme="minorHAnsi"/>
          <w:sz w:val="24"/>
          <w:szCs w:val="24"/>
        </w:rPr>
      </w:pPr>
      <w:r>
        <w:rPr>
          <w:rFonts w:ascii="Calibri" w:hAnsi="Calibri" w:asciiTheme="minorHAnsi" w:hAnsiTheme="minorHAnsi"/>
          <w:sz w:val="24"/>
          <w:szCs w:val="24"/>
        </w:rPr>
        <w:t xml:space="preserve">Приложения: </w:t>
      </w:r>
    </w:p>
    <w:p>
      <w:pPr>
        <w:pStyle w:val="ListParagraph"/>
        <w:numPr>
          <w:ilvl w:val="0"/>
          <w:numId w:val="4"/>
        </w:numPr>
        <w:spacing w:lineRule="auto" w:line="240"/>
        <w:rPr>
          <w:rFonts w:ascii="Calibri" w:hAnsi="Calibri" w:asciiTheme="minorHAnsi" w:hAnsiTheme="minorHAnsi"/>
          <w:lang w:eastAsia="ru-RU"/>
        </w:rPr>
      </w:pPr>
      <w:r>
        <w:rPr>
          <w:rFonts w:asciiTheme="minorHAnsi" w:hAnsiTheme="minorHAnsi"/>
          <w:lang w:eastAsia="ru-RU"/>
        </w:rPr>
        <w:t>ВОР № 99.454153 Услуги по размещению спец. транспорта МОГ</w:t>
      </w:r>
    </w:p>
    <w:p>
      <w:pPr>
        <w:pStyle w:val="ListParagraph"/>
        <w:spacing w:lineRule="auto" w:line="240"/>
        <w:ind w:left="1211" w:hanging="0"/>
        <w:rPr>
          <w:rFonts w:ascii="Calibri" w:hAnsi="Calibri" w:asciiTheme="minorHAnsi" w:hAnsiTheme="minorHAnsi"/>
          <w:lang w:eastAsia="ru-RU"/>
        </w:rPr>
      </w:pPr>
      <w:r>
        <w:rPr>
          <w:rFonts w:asciiTheme="minorHAnsi" w:hAnsiTheme="minorHAnsi"/>
          <w:lang w:eastAsia="ru-RU"/>
        </w:rPr>
      </w:r>
    </w:p>
    <w:p>
      <w:pPr>
        <w:pStyle w:val="ListParagraph"/>
        <w:spacing w:lineRule="auto" w:line="240"/>
        <w:ind w:left="1211" w:hanging="0"/>
        <w:rPr>
          <w:rFonts w:ascii="Calibri" w:hAnsi="Calibri" w:asciiTheme="minorHAnsi" w:hAnsiTheme="minorHAnsi"/>
          <w:lang w:eastAsia="ru-RU"/>
        </w:rPr>
      </w:pPr>
      <w:r>
        <w:rPr>
          <w:rFonts w:asciiTheme="minorHAnsi" w:hAnsiTheme="minorHAnsi"/>
          <w:lang w:eastAsia="ru-RU"/>
        </w:rPr>
      </w:r>
    </w:p>
    <w:p>
      <w:pPr>
        <w:pStyle w:val="ListParagraph"/>
        <w:spacing w:lineRule="auto" w:line="240"/>
        <w:ind w:left="1211" w:hanging="0"/>
        <w:rPr>
          <w:rFonts w:ascii="Calibri" w:hAnsi="Calibri" w:asciiTheme="minorHAnsi" w:hAnsiTheme="minorHAnsi"/>
          <w:lang w:eastAsia="ru-RU"/>
        </w:rPr>
      </w:pPr>
      <w:r>
        <w:rPr>
          <w:rFonts w:asciiTheme="minorHAnsi" w:hAnsiTheme="minorHAnsi"/>
          <w:lang w:eastAsia="ru-RU"/>
        </w:rPr>
      </w:r>
    </w:p>
    <w:p>
      <w:pPr>
        <w:pStyle w:val="Normal"/>
        <w:spacing w:lineRule="auto" w:line="240"/>
        <w:jc w:val="left"/>
        <w:rPr>
          <w:rFonts w:ascii="Calibri" w:hAnsi="Calibri" w:asciiTheme="minorHAnsi" w:hAnsiTheme="minorHAnsi"/>
          <w:sz w:val="24"/>
          <w:szCs w:val="24"/>
        </w:rPr>
      </w:pPr>
      <w:r>
        <w:rPr>
          <w:rFonts w:asciiTheme="minorHAnsi" w:hAnsiTheme="minorHAnsi" w:ascii="Calibri" w:hAnsi="Calibri"/>
          <w:sz w:val="24"/>
          <w:szCs w:val="24"/>
        </w:rPr>
      </w:r>
    </w:p>
    <w:p>
      <w:pPr>
        <w:pStyle w:val="Normal"/>
        <w:spacing w:lineRule="auto" w:line="240"/>
        <w:jc w:val="left"/>
        <w:rPr>
          <w:rFonts w:ascii="Calibri" w:hAnsi="Calibri" w:asciiTheme="minorHAnsi" w:hAnsiTheme="minorHAnsi"/>
          <w:sz w:val="24"/>
          <w:szCs w:val="24"/>
        </w:rPr>
      </w:pPr>
      <w:r>
        <w:rPr>
          <w:rFonts w:ascii="Calibri" w:hAnsi="Calibri" w:asciiTheme="minorHAnsi" w:hAnsiTheme="minorHAnsi"/>
          <w:sz w:val="24"/>
          <w:szCs w:val="24"/>
        </w:rPr>
        <w:t xml:space="preserve">Зам. главного инженера Воткинского </w:t>
      </w:r>
    </w:p>
    <w:p>
      <w:pPr>
        <w:pStyle w:val="Normal"/>
        <w:spacing w:lineRule="auto" w:line="240"/>
        <w:jc w:val="left"/>
        <w:rPr>
          <w:rFonts w:ascii="Calibri" w:hAnsi="Calibri" w:asciiTheme="minorHAnsi" w:hAnsiTheme="minorHAnsi"/>
          <w:sz w:val="24"/>
          <w:szCs w:val="24"/>
        </w:rPr>
      </w:pPr>
      <w:r>
        <w:rPr>
          <w:rFonts w:ascii="Calibri" w:hAnsi="Calibri" w:asciiTheme="minorHAnsi" w:hAnsiTheme="minorHAnsi"/>
          <w:sz w:val="24"/>
          <w:szCs w:val="24"/>
        </w:rPr>
        <w:t>филиала АО «Гидроремонт-ВКК»</w:t>
        <w:tab/>
        <w:tab/>
        <w:tab/>
        <w:tab/>
        <w:tab/>
        <w:tab/>
        <w:tab/>
        <w:t xml:space="preserve"> _______________ Д.И. Новиков</w:t>
      </w:r>
    </w:p>
    <w:p>
      <w:pPr>
        <w:pStyle w:val="Normal"/>
        <w:spacing w:lineRule="auto" w:line="240"/>
        <w:rPr>
          <w:rFonts w:ascii="Calibri" w:hAnsi="Calibri" w:asciiTheme="minorHAnsi" w:hAnsiTheme="minorHAnsi"/>
        </w:rPr>
      </w:pPr>
      <w:r>
        <w:rPr/>
      </w:r>
    </w:p>
    <w:sectPr>
      <w:type w:val="nextPage"/>
      <w:pgSz w:orient="landscape" w:w="16838" w:h="11906"/>
      <w:pgMar w:left="1134" w:right="1134" w:gutter="0" w:header="0" w:top="1135" w:footer="0" w:bottom="85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mbria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center"/>
      <w:pPr>
        <w:tabs>
          <w:tab w:val="num" w:pos="567"/>
        </w:tabs>
        <w:ind w:left="567" w:hanging="279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u w:val="none"/>
        <w:b w:val="false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2411"/>
        </w:tabs>
        <w:ind w:left="2411" w:hanging="851"/>
      </w:pPr>
      <w:rPr>
        <w:dstrike w:val="false"/>
        <w:strike w:val="false"/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2269"/>
        </w:tabs>
        <w:ind w:left="2269" w:hanging="567"/>
      </w:pPr>
      <w:rPr>
        <w:b w:val="false"/>
      </w:rPr>
    </w:lvl>
    <w:lvl w:ilvl="4">
      <w:start w:val="1"/>
      <w:numFmt w:val="russianLower"/>
      <w:lvlText w:val="%5)"/>
      <w:lvlJc w:val="left"/>
      <w:pPr>
        <w:tabs>
          <w:tab w:val="num" w:pos="1576"/>
        </w:tabs>
        <w:ind w:left="1576" w:hanging="1008"/>
      </w:pPr>
      <w:rPr/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  <w:rPr/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6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 w:qFormat="1"/>
    <w:lsdException w:name="toc 2" w:uiPriority="39" w:semiHidden="1" w:unhideWhenUsed="1" w:qFormat="1"/>
    <w:lsdException w:name="toc 3" w:uiPriority="39" w:semiHidden="1" w:unhideWhenUsed="1" w:qFormat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87537"/>
    <w:pPr>
      <w:widowControl/>
      <w:suppressAutoHyphens w:val="true"/>
      <w:bidi w:val="0"/>
      <w:spacing w:lineRule="auto" w:line="360" w:before="0" w:after="0"/>
      <w:ind w:firstLine="851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eastAsia="ru-RU" w:val="ru-RU" w:bidi="ar-SA"/>
    </w:rPr>
  </w:style>
  <w:style w:type="paragraph" w:styleId="Heading1">
    <w:name w:val="Heading 1"/>
    <w:basedOn w:val="Normal"/>
    <w:next w:val="Normal"/>
    <w:link w:val="1"/>
    <w:qFormat/>
    <w:rsid w:val="00ba5191"/>
    <w:pPr>
      <w:keepNext w:val="true"/>
      <w:numPr>
        <w:ilvl w:val="0"/>
        <w:numId w:val="2"/>
      </w:numPr>
      <w:jc w:val="center"/>
      <w:outlineLvl w:val="0"/>
    </w:pPr>
    <w:rPr>
      <w:b/>
      <w:bCs/>
      <w:sz w:val="36"/>
      <w:szCs w:val="24"/>
    </w:rPr>
  </w:style>
  <w:style w:type="paragraph" w:styleId="Heading2">
    <w:name w:val="Heading 2"/>
    <w:basedOn w:val="Normal"/>
    <w:next w:val="Normal"/>
    <w:link w:val="2"/>
    <w:qFormat/>
    <w:rsid w:val="00ba5191"/>
    <w:pPr>
      <w:keepNext w:val="true"/>
      <w:jc w:val="center"/>
      <w:outlineLvl w:val="1"/>
    </w:pPr>
    <w:rPr>
      <w:szCs w:val="24"/>
    </w:rPr>
  </w:style>
  <w:style w:type="paragraph" w:styleId="Heading4">
    <w:name w:val="Heading 4"/>
    <w:basedOn w:val="Normal"/>
    <w:next w:val="Normal"/>
    <w:link w:val="4"/>
    <w:semiHidden/>
    <w:unhideWhenUsed/>
    <w:qFormat/>
    <w:rsid w:val="00ba5191"/>
    <w:pPr>
      <w:keepNext w:val="true"/>
      <w:spacing w:before="240" w:after="60"/>
      <w:outlineLvl w:val="3"/>
    </w:pPr>
    <w:rPr>
      <w:rFonts w:ascii="Calibri" w:hAnsi="Calibri"/>
      <w:b/>
      <w:bCs/>
      <w:lang w:eastAsia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ba5191"/>
    <w:rPr>
      <w:b/>
      <w:bCs/>
      <w:sz w:val="36"/>
      <w:szCs w:val="24"/>
      <w:lang w:eastAsia="ru-RU"/>
    </w:rPr>
  </w:style>
  <w:style w:type="character" w:styleId="2" w:customStyle="1">
    <w:name w:val="Заголовок 2 Знак"/>
    <w:basedOn w:val="DefaultParagraphFont"/>
    <w:qFormat/>
    <w:rsid w:val="00ba5191"/>
    <w:rPr>
      <w:sz w:val="28"/>
      <w:szCs w:val="24"/>
      <w:lang w:eastAsia="ru-RU"/>
    </w:rPr>
  </w:style>
  <w:style w:type="character" w:styleId="4" w:customStyle="1">
    <w:name w:val="Заголовок 4 Знак"/>
    <w:semiHidden/>
    <w:qFormat/>
    <w:rsid w:val="00ba5191"/>
    <w:rPr>
      <w:rFonts w:ascii="Calibri" w:hAnsi="Calibri"/>
      <w:b/>
      <w:bCs/>
      <w:sz w:val="28"/>
      <w:szCs w:val="28"/>
    </w:rPr>
  </w:style>
  <w:style w:type="character" w:styleId="11" w:customStyle="1">
    <w:name w:val="Заголовок Знак1"/>
    <w:uiPriority w:val="10"/>
    <w:qFormat/>
    <w:rsid w:val="00ba5191"/>
    <w:rPr>
      <w:sz w:val="28"/>
      <w:szCs w:val="28"/>
    </w:rPr>
  </w:style>
  <w:style w:type="character" w:styleId="Style6" w:customStyle="1">
    <w:name w:val="Заголовок Знак"/>
    <w:basedOn w:val="DefaultParagraphFont"/>
    <w:link w:val="12"/>
    <w:qFormat/>
    <w:rsid w:val="00887537"/>
    <w:rPr>
      <w:b/>
      <w:sz w:val="28"/>
      <w:szCs w:val="28"/>
      <w:lang w:eastAsia="ru-RU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7624e"/>
    <w:rPr>
      <w:sz w:val="16"/>
      <w:szCs w:val="16"/>
    </w:rPr>
  </w:style>
  <w:style w:type="character" w:styleId="Style7" w:customStyle="1">
    <w:name w:val="Текст примечания Знак"/>
    <w:basedOn w:val="DefaultParagraphFont"/>
    <w:link w:val="Annotationtext"/>
    <w:uiPriority w:val="99"/>
    <w:semiHidden/>
    <w:qFormat/>
    <w:rsid w:val="0057624e"/>
    <w:rPr>
      <w:lang w:eastAsia="ru-RU"/>
    </w:rPr>
  </w:style>
  <w:style w:type="character" w:styleId="Style8" w:customStyle="1">
    <w:name w:val="Тема примечания Знак"/>
    <w:basedOn w:val="Style7"/>
    <w:link w:val="Annotationsubject"/>
    <w:uiPriority w:val="99"/>
    <w:semiHidden/>
    <w:qFormat/>
    <w:rsid w:val="0057624e"/>
    <w:rPr>
      <w:b/>
      <w:bCs/>
      <w:lang w:eastAsia="ru-RU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57624e"/>
    <w:rPr>
      <w:rFonts w:ascii="Segoe UI" w:hAnsi="Segoe UI" w:cs="Segoe UI"/>
      <w:sz w:val="18"/>
      <w:szCs w:val="18"/>
      <w:lang w:eastAsia="ru-RU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link w:val="11"/>
    <w:uiPriority w:val="10"/>
    <w:qFormat/>
    <w:rsid w:val="00ba5191"/>
    <w:pPr>
      <w:jc w:val="center"/>
    </w:pPr>
    <w:rPr>
      <w:lang w:eastAsia="en-U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TOC1">
    <w:name w:val="TOC 1"/>
    <w:basedOn w:val="Normal"/>
    <w:next w:val="Normal"/>
    <w:autoRedefine/>
    <w:uiPriority w:val="39"/>
    <w:qFormat/>
    <w:rsid w:val="00ba5191"/>
    <w:pPr>
      <w:tabs>
        <w:tab w:val="clear" w:pos="708"/>
        <w:tab w:val="left" w:pos="426" w:leader="none"/>
        <w:tab w:val="right" w:pos="9345" w:leader="dot"/>
      </w:tabs>
      <w:spacing w:before="120" w:after="120"/>
    </w:pPr>
    <w:rPr>
      <w:b/>
      <w:bCs/>
      <w:caps/>
      <w:sz w:val="20"/>
    </w:rPr>
  </w:style>
  <w:style w:type="paragraph" w:styleId="TOC2">
    <w:name w:val="TOC 2"/>
    <w:basedOn w:val="Normal"/>
    <w:next w:val="Normal"/>
    <w:autoRedefine/>
    <w:uiPriority w:val="39"/>
    <w:qFormat/>
    <w:rsid w:val="00ba5191"/>
    <w:pPr>
      <w:ind w:left="280" w:firstLine="851"/>
    </w:pPr>
    <w:rPr/>
  </w:style>
  <w:style w:type="paragraph" w:styleId="TOC3">
    <w:name w:val="TOC 3"/>
    <w:basedOn w:val="Normal"/>
    <w:next w:val="Normal"/>
    <w:autoRedefine/>
    <w:uiPriority w:val="39"/>
    <w:unhideWhenUsed/>
    <w:qFormat/>
    <w:rsid w:val="00ba5191"/>
    <w:pPr>
      <w:spacing w:lineRule="auto" w:line="276" w:before="0" w:after="100"/>
      <w:ind w:left="440" w:firstLine="851"/>
    </w:pPr>
    <w:rPr>
      <w:rFonts w:ascii="Calibri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ba5191"/>
    <w:pPr>
      <w:spacing w:before="0" w:after="0"/>
      <w:ind w:left="720" w:firstLine="851"/>
      <w:contextualSpacing/>
    </w:pPr>
    <w:rPr>
      <w:rFonts w:ascii="Calibri" w:hAnsi="Calibri"/>
      <w:sz w:val="24"/>
      <w:szCs w:val="24"/>
      <w:lang w:eastAsia="en-US"/>
    </w:rPr>
  </w:style>
  <w:style w:type="paragraph" w:styleId="IndexHeading">
    <w:name w:val="Index Heading"/>
    <w:basedOn w:val="Style10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a5191"/>
    <w:pPr>
      <w:keepLines/>
      <w:numPr>
        <w:ilvl w:val="0"/>
        <w:numId w:val="0"/>
      </w:numPr>
      <w:spacing w:lineRule="auto" w:line="276" w:before="480" w:after="0"/>
      <w:ind w:firstLine="851"/>
      <w:jc w:val="left"/>
      <w:outlineLvl w:val="9"/>
    </w:pPr>
    <w:rPr>
      <w:rFonts w:ascii="Cambria" w:hAnsi="Cambria"/>
      <w:color w:val="365F91"/>
      <w:sz w:val="28"/>
      <w:szCs w:val="28"/>
    </w:rPr>
  </w:style>
  <w:style w:type="paragraph" w:styleId="12" w:customStyle="1">
    <w:name w:val="Заголовок1"/>
    <w:basedOn w:val="Normal"/>
    <w:link w:val="Style6"/>
    <w:qFormat/>
    <w:rsid w:val="00887537"/>
    <w:pPr>
      <w:numPr>
        <w:ilvl w:val="0"/>
        <w:numId w:val="3"/>
      </w:numPr>
      <w:spacing w:before="240" w:after="0"/>
      <w:jc w:val="center"/>
    </w:pPr>
    <w:rPr>
      <w:b/>
      <w:szCs w:val="28"/>
    </w:rPr>
  </w:style>
  <w:style w:type="paragraph" w:styleId="Style12" w:customStyle="1">
    <w:name w:val="русгидро п.п.п.п."/>
    <w:basedOn w:val="Normal"/>
    <w:qFormat/>
    <w:rsid w:val="00887537"/>
    <w:pPr>
      <w:numPr>
        <w:ilvl w:val="3"/>
        <w:numId w:val="3"/>
      </w:numPr>
      <w:tabs>
        <w:tab w:val="clear" w:pos="708"/>
        <w:tab w:val="left" w:pos="1843" w:leader="none"/>
      </w:tabs>
      <w:spacing w:lineRule="auto" w:line="240"/>
    </w:pPr>
    <w:rPr>
      <w:szCs w:val="28"/>
    </w:rPr>
  </w:style>
  <w:style w:type="paragraph" w:styleId="Annotationtext">
    <w:name w:val="annotation text"/>
    <w:basedOn w:val="Normal"/>
    <w:link w:val="Style7"/>
    <w:uiPriority w:val="99"/>
    <w:semiHidden/>
    <w:unhideWhenUsed/>
    <w:qFormat/>
    <w:rsid w:val="0057624e"/>
    <w:pPr>
      <w:spacing w:lineRule="auto" w:line="240"/>
    </w:pPr>
    <w:rPr>
      <w:sz w:val="20"/>
    </w:rPr>
  </w:style>
  <w:style w:type="paragraph" w:styleId="Annotationsubject">
    <w:name w:val="annotation subject"/>
    <w:basedOn w:val="Annotationtext"/>
    <w:next w:val="Annotationtext"/>
    <w:link w:val="Style8"/>
    <w:uiPriority w:val="99"/>
    <w:semiHidden/>
    <w:unhideWhenUsed/>
    <w:qFormat/>
    <w:rsid w:val="0057624e"/>
    <w:pPr/>
    <w:rPr>
      <w:b/>
      <w:bCs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57624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Style13" w:customStyle="1">
    <w:name w:val="Содержимое таблицы"/>
    <w:basedOn w:val="Normal"/>
    <w:qFormat/>
    <w:rsid w:val="00c978a8"/>
    <w:pPr>
      <w:widowControl w:val="false"/>
      <w:suppressLineNumbers/>
      <w:spacing w:lineRule="auto" w:line="240"/>
      <w:ind w:hanging="0"/>
      <w:jc w:val="left"/>
    </w:pPr>
    <w:rPr>
      <w:szCs w:val="2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2"/>
    <w:uiPriority w:val="39"/>
    <w:rsid w:val="00d70a78"/>
    <w:rPr>
      <w:rFonts w:asciiTheme="minorHAnsi" w:hAnsiTheme="minorHAnsi" w:eastAsiaTheme="minorHAnsi" w:cstheme="minorBid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AlterOffice/3.4.0.9$Linux_X86_64 LibreOffice_project/b8daf9e823b1a5463a2f48435ddc2e8696e7d4fc</Application>
  <AppVersion>15.0000</AppVersion>
  <Pages>3</Pages>
  <Words>534</Words>
  <Characters>3522</Characters>
  <CharactersWithSpaces>3958</CharactersWithSpaces>
  <Paragraphs>114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2026-10-05T10:52:00Z</dcterms:created>
  <dc:creator>Стрельников Антон Александрович</dc:creator>
  <dc:description/>
  <dc:language>ru-RU</dc:language>
  <cp:lastModifiedBy>Устинов Роман Вячеславович</cp:lastModifiedBy>
  <cp:lastPrinted>2023-12-27T09:10:00Z</cp:lastPrinted>
  <dcterms:modified xsi:type="dcterms:W3CDTF">2026-10-06T11:40:00Z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