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CE9" w:rsidRDefault="000316CC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Утверждаю:    </w:t>
      </w:r>
    </w:p>
    <w:p w:rsidR="00DA0CE9" w:rsidRDefault="000316CC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директора-Главный инженер</w:t>
      </w:r>
    </w:p>
    <w:p w:rsidR="00DA0CE9" w:rsidRDefault="000316CC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Дагестанского филиала</w:t>
      </w:r>
    </w:p>
    <w:p w:rsidR="00DA0CE9" w:rsidRDefault="000316CC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</w:t>
      </w:r>
    </w:p>
    <w:p w:rsidR="00DA0CE9" w:rsidRDefault="000316CC">
      <w:pPr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 г. Махачкала</w:t>
      </w:r>
    </w:p>
    <w:p w:rsidR="00DA0CE9" w:rsidRDefault="00DA0CE9">
      <w:pPr>
        <w:jc w:val="right"/>
        <w:rPr>
          <w:rFonts w:eastAsia="Calibri"/>
          <w:sz w:val="24"/>
          <w:szCs w:val="24"/>
          <w:lang w:eastAsia="en-US"/>
        </w:rPr>
      </w:pPr>
    </w:p>
    <w:p w:rsidR="00DA0CE9" w:rsidRDefault="000316CC">
      <w:pPr>
        <w:spacing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__________________Баталов Ю.З.</w:t>
      </w:r>
    </w:p>
    <w:p w:rsidR="00DA0CE9" w:rsidRDefault="000316CC">
      <w:pPr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«____»_______________2026г.</w:t>
      </w:r>
    </w:p>
    <w:p w:rsidR="00DA0CE9" w:rsidRDefault="00DA0CE9">
      <w:pPr>
        <w:keepNext/>
        <w:keepLines/>
        <w:jc w:val="right"/>
        <w:rPr>
          <w:b/>
          <w:bCs/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DA0CE9">
      <w:pPr>
        <w:keepNext/>
        <w:keepLines/>
        <w:rPr>
          <w:sz w:val="26"/>
          <w:szCs w:val="26"/>
        </w:rPr>
      </w:pPr>
    </w:p>
    <w:p w:rsidR="00DA0CE9" w:rsidRDefault="000316CC">
      <w:pPr>
        <w:keepNext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 w:rsidR="00DA0CE9" w:rsidRDefault="000316CC">
      <w:pPr>
        <w:widowControl w:val="0"/>
        <w:tabs>
          <w:tab w:val="left" w:pos="426"/>
        </w:tabs>
        <w:spacing w:before="120" w:after="120"/>
        <w:jc w:val="center"/>
        <w:rPr>
          <w:rStyle w:val="aff1"/>
          <w:sz w:val="24"/>
          <w:szCs w:val="24"/>
        </w:rPr>
      </w:pPr>
      <w:r>
        <w:rPr>
          <w:sz w:val="24"/>
          <w:szCs w:val="24"/>
        </w:rPr>
        <w:t>ОКПД 2 [25.11.10.000] поставка</w:t>
      </w:r>
      <w:r>
        <w:rPr>
          <w:bCs/>
          <w:sz w:val="24"/>
          <w:szCs w:val="24"/>
        </w:rPr>
        <w:t xml:space="preserve"> теплого </w:t>
      </w:r>
      <w:r>
        <w:rPr>
          <w:rFonts w:eastAsia="Calibri"/>
          <w:bCs/>
          <w:sz w:val="24"/>
          <w:szCs w:val="24"/>
          <w:lang w:eastAsia="en-US"/>
        </w:rPr>
        <w:t>склад-ангара для Нихалойской ГЭС.</w:t>
      </w:r>
    </w:p>
    <w:p w:rsidR="00DA0CE9" w:rsidRDefault="00DA0CE9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:rsidR="00DA0CE9" w:rsidRDefault="00DA0CE9">
      <w:pPr>
        <w:keepNext/>
        <w:keepLines/>
        <w:jc w:val="both"/>
        <w:rPr>
          <w:sz w:val="26"/>
          <w:szCs w:val="26"/>
        </w:rPr>
      </w:pPr>
    </w:p>
    <w:p w:rsidR="00DA0CE9" w:rsidRDefault="000316CC">
      <w:pPr>
        <w:rPr>
          <w:sz w:val="26"/>
          <w:szCs w:val="26"/>
        </w:rPr>
      </w:pPr>
      <w:r>
        <w:br w:type="page"/>
      </w:r>
    </w:p>
    <w:p w:rsidR="00DA0CE9" w:rsidRDefault="000316CC">
      <w:pPr>
        <w:pStyle w:val="4"/>
        <w:numPr>
          <w:ilvl w:val="1"/>
          <w:numId w:val="3"/>
        </w:numPr>
      </w:pPr>
      <w:bookmarkStart w:id="0" w:name="_Toc75446568"/>
      <w:bookmarkStart w:id="1" w:name="_Toc46743506"/>
      <w:r>
        <w:lastRenderedPageBreak/>
        <w:t>Наименование закупаемой продукции</w:t>
      </w:r>
      <w:bookmarkEnd w:id="0"/>
      <w:bookmarkEnd w:id="1"/>
    </w:p>
    <w:p w:rsidR="00DA0CE9" w:rsidRDefault="000316CC">
      <w:pPr>
        <w:widowControl w:val="0"/>
        <w:tabs>
          <w:tab w:val="left" w:pos="426"/>
        </w:tabs>
        <w:spacing w:before="120" w:after="120"/>
        <w:ind w:left="284"/>
        <w:jc w:val="both"/>
        <w:rPr>
          <w:rStyle w:val="aff1"/>
          <w:b w:val="0"/>
          <w:bCs/>
          <w:sz w:val="24"/>
          <w:szCs w:val="24"/>
        </w:rPr>
      </w:pPr>
      <w:r>
        <w:rPr>
          <w:sz w:val="24"/>
          <w:szCs w:val="24"/>
        </w:rPr>
        <w:t>ОКПД 2 [25.11.10.000] поставка</w:t>
      </w:r>
      <w:r>
        <w:rPr>
          <w:bCs/>
          <w:sz w:val="24"/>
          <w:szCs w:val="24"/>
        </w:rPr>
        <w:t xml:space="preserve"> теплого </w:t>
      </w:r>
      <w:r>
        <w:rPr>
          <w:rFonts w:eastAsia="Calibri"/>
          <w:bCs/>
          <w:sz w:val="24"/>
          <w:szCs w:val="24"/>
          <w:lang w:eastAsia="en-US"/>
        </w:rPr>
        <w:t>склад-ангара для Нихалойской ГЭС.</w:t>
      </w:r>
    </w:p>
    <w:p w:rsidR="00DA0CE9" w:rsidRDefault="000316CC">
      <w:pPr>
        <w:pStyle w:val="4"/>
        <w:numPr>
          <w:ilvl w:val="1"/>
          <w:numId w:val="3"/>
        </w:numPr>
        <w:spacing w:before="240"/>
        <w:ind w:left="431" w:hanging="431"/>
      </w:pPr>
      <w:bookmarkStart w:id="2" w:name="_Toc46743507"/>
      <w:bookmarkStart w:id="3" w:name="_Toc75446569"/>
      <w:r>
        <w:t xml:space="preserve">Цель </w:t>
      </w:r>
      <w:bookmarkEnd w:id="2"/>
      <w:r>
        <w:rPr>
          <w:lang w:val="ru-RU"/>
        </w:rPr>
        <w:t xml:space="preserve">использования закупаемой продукции </w:t>
      </w:r>
      <w:bookmarkEnd w:id="3"/>
      <w:r>
        <w:t xml:space="preserve"> </w:t>
      </w:r>
    </w:p>
    <w:p w:rsidR="00DA0CE9" w:rsidRDefault="000316CC">
      <w:pPr>
        <w:widowControl w:val="0"/>
        <w:shd w:val="clear" w:color="auto" w:fill="FFFFFF" w:themeFill="background1"/>
        <w:spacing w:before="120" w:after="240"/>
        <w:ind w:left="284" w:firstLine="680"/>
        <w:jc w:val="both"/>
        <w:rPr>
          <w:rStyle w:val="aff1"/>
          <w:b w:val="0"/>
          <w:bCs/>
          <w:i w:val="0"/>
          <w:sz w:val="24"/>
          <w:szCs w:val="24"/>
        </w:rPr>
      </w:pPr>
      <w:r>
        <w:rPr>
          <w:rStyle w:val="aff1"/>
          <w:b w:val="0"/>
          <w:bCs/>
          <w:i w:val="0"/>
          <w:sz w:val="24"/>
          <w:szCs w:val="24"/>
          <w:shd w:val="clear" w:color="auto" w:fill="FFFFFF"/>
        </w:rPr>
        <w:t xml:space="preserve">Исполнение </w:t>
      </w:r>
      <w:r>
        <w:rPr>
          <w:sz w:val="24"/>
          <w:szCs w:val="20"/>
        </w:rPr>
        <w:t xml:space="preserve">договора № 15/2025 от 28.05.2025 </w:t>
      </w:r>
      <w:r>
        <w:rPr>
          <w:rFonts w:eastAsia="Calibri"/>
          <w:sz w:val="24"/>
          <w:szCs w:val="24"/>
          <w:lang w:eastAsia="en-US"/>
        </w:rPr>
        <w:t xml:space="preserve">«Выполнение монтажных и </w:t>
      </w:r>
      <w:r>
        <w:rPr>
          <w:rFonts w:eastAsia="Calibri"/>
          <w:sz w:val="24"/>
          <w:szCs w:val="24"/>
          <w:lang w:eastAsia="en-US"/>
        </w:rPr>
        <w:t>пусконаладочных работ 2 (двух) комплектов гидросилового оборудования в рамках реализации инвестиционного проекта «Нихалойская ГЭС» на территории Чеченской Республики»</w:t>
      </w:r>
    </w:p>
    <w:p w:rsidR="00DA0CE9" w:rsidRDefault="000316CC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4" w:name="_Toc75446573"/>
      <w:bookmarkStart w:id="5" w:name="_Toc51339693"/>
      <w:r>
        <w:rPr>
          <w:iCs/>
        </w:rPr>
        <w:t>Требования к продукции</w:t>
      </w:r>
      <w:bookmarkEnd w:id="4"/>
      <w:bookmarkEnd w:id="5"/>
    </w:p>
    <w:p w:rsidR="00DA0CE9" w:rsidRDefault="000316CC">
      <w:pPr>
        <w:pStyle w:val="4"/>
        <w:numPr>
          <w:ilvl w:val="1"/>
          <w:numId w:val="3"/>
        </w:numPr>
      </w:pPr>
      <w:bookmarkStart w:id="6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6"/>
    </w:p>
    <w:p w:rsidR="00DA0CE9" w:rsidRDefault="000316CC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7" w:name="_Toc51339695"/>
      <w:bookmarkStart w:id="8" w:name="_Toc7544657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7"/>
      <w:r>
        <w:rPr>
          <w:sz w:val="24"/>
          <w:szCs w:val="24"/>
          <w:lang w:val="ru-RU"/>
        </w:rPr>
        <w:t>и объ</w:t>
      </w:r>
      <w:r>
        <w:rPr>
          <w:sz w:val="24"/>
          <w:szCs w:val="24"/>
          <w:lang w:val="ru-RU"/>
        </w:rPr>
        <w:t>ем закупаемой продукции</w:t>
      </w:r>
      <w:bookmarkEnd w:id="8"/>
    </w:p>
    <w:tbl>
      <w:tblPr>
        <w:tblW w:w="1020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48"/>
        <w:gridCol w:w="6128"/>
        <w:gridCol w:w="1671"/>
        <w:gridCol w:w="1559"/>
      </w:tblGrid>
      <w:tr w:rsidR="00DA0CE9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CE9" w:rsidRDefault="000316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A0CE9" w:rsidRDefault="000316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CE9" w:rsidRDefault="000316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CE9" w:rsidRDefault="000316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CE9" w:rsidRDefault="000316C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DA0CE9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A0CE9"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DA0CE9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0CE9" w:rsidRDefault="000316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Теплый склад-ангар 30х12х7 м.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DA0CE9" w:rsidRDefault="000316CC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9" w:name="_Toc50125126"/>
      <w:bookmarkStart w:id="10" w:name="_Toc51339697"/>
      <w:bookmarkStart w:id="11" w:name="_Toc50125127"/>
      <w:bookmarkStart w:id="12" w:name="_Toc75446579"/>
      <w:bookmarkEnd w:id="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bookmarkStart w:id="13" w:name="_Hlk50465284"/>
      <w:r>
        <w:rPr>
          <w:sz w:val="24"/>
          <w:szCs w:val="24"/>
        </w:rPr>
        <w:t xml:space="preserve">Требования по срокам </w:t>
      </w:r>
      <w:bookmarkEnd w:id="10"/>
      <w:bookmarkEnd w:id="11"/>
      <w:bookmarkEnd w:id="13"/>
      <w:r>
        <w:rPr>
          <w:sz w:val="24"/>
          <w:szCs w:val="24"/>
          <w:lang w:val="ru-RU"/>
        </w:rPr>
        <w:t>поставки продукции</w:t>
      </w:r>
      <w:bookmarkEnd w:id="12"/>
      <w:r>
        <w:rPr>
          <w:sz w:val="24"/>
          <w:szCs w:val="24"/>
          <w:lang w:val="ru-RU"/>
        </w:rPr>
        <w:t xml:space="preserve"> 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845"/>
        <w:gridCol w:w="2980"/>
        <w:gridCol w:w="2835"/>
        <w:gridCol w:w="3541"/>
      </w:tblGrid>
      <w:tr w:rsidR="00DA0CE9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</w:t>
            </w:r>
            <w:r>
              <w:rPr>
                <w:sz w:val="24"/>
                <w:szCs w:val="24"/>
              </w:rPr>
              <w:t>срока поставки продукции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A0CE9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bookmarkStart w:id="14" w:name="_Toc46743510"/>
            <w:r>
              <w:rPr>
                <w:b/>
                <w:sz w:val="24"/>
                <w:szCs w:val="24"/>
              </w:rPr>
              <w:t>4</w:t>
            </w:r>
            <w:bookmarkEnd w:id="14"/>
          </w:p>
        </w:tc>
      </w:tr>
      <w:tr w:rsidR="00DA0CE9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CE9" w:rsidRDefault="00DA0CE9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0CE9" w:rsidRDefault="000316C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</w:rPr>
              <w:t>Теплый склад-ангар 30х12х7 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С даты </w:t>
            </w:r>
            <w:r>
              <w:rPr>
                <w:sz w:val="22"/>
                <w:szCs w:val="24"/>
                <w:lang w:val="en-US"/>
              </w:rPr>
              <w:t>заключения</w:t>
            </w:r>
            <w:r>
              <w:rPr>
                <w:sz w:val="22"/>
                <w:szCs w:val="24"/>
              </w:rPr>
              <w:t xml:space="preserve"> договора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CE9" w:rsidRDefault="000316CC">
            <w:pPr>
              <w:widowControl w:val="0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В течении 40 календарных дней с даты заключения Договора</w:t>
            </w:r>
          </w:p>
        </w:tc>
      </w:tr>
    </w:tbl>
    <w:p w:rsidR="00DA0CE9" w:rsidRDefault="000316CC">
      <w:pPr>
        <w:pStyle w:val="4"/>
        <w:numPr>
          <w:ilvl w:val="1"/>
          <w:numId w:val="3"/>
        </w:numPr>
      </w:pPr>
      <w:bookmarkStart w:id="15" w:name="_Toc54785622"/>
      <w:bookmarkStart w:id="16" w:name="_Toc46743511"/>
      <w:bookmarkStart w:id="17" w:name="_Toc75446581"/>
      <w:bookmarkEnd w:id="15"/>
      <w:r>
        <w:t xml:space="preserve">Требования к </w:t>
      </w:r>
      <w:bookmarkEnd w:id="16"/>
      <w:r>
        <w:rPr>
          <w:lang w:val="ru-RU"/>
        </w:rPr>
        <w:t>качеству продукции</w:t>
      </w:r>
      <w:bookmarkEnd w:id="17"/>
    </w:p>
    <w:p w:rsidR="00DA0CE9" w:rsidRDefault="000316CC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1</w:t>
      </w:r>
      <w:r>
        <w:rPr>
          <w:sz w:val="24"/>
          <w:szCs w:val="24"/>
        </w:rPr>
        <w:t xml:space="preserve"> Требования к </w:t>
      </w:r>
      <w:r>
        <w:rPr>
          <w:sz w:val="24"/>
          <w:szCs w:val="24"/>
          <w:lang w:val="ru-RU"/>
        </w:rPr>
        <w:t>продукции</w:t>
      </w:r>
      <w:bookmarkEnd w:id="18"/>
    </w:p>
    <w:tbl>
      <w:tblPr>
        <w:tblStyle w:val="affff4"/>
        <w:tblW w:w="9911" w:type="dxa"/>
        <w:tblLayout w:type="fixed"/>
        <w:tblLook w:val="04A0" w:firstRow="1" w:lastRow="0" w:firstColumn="1" w:lastColumn="0" w:noHBand="0" w:noVBand="1"/>
      </w:tblPr>
      <w:tblGrid>
        <w:gridCol w:w="831"/>
        <w:gridCol w:w="3275"/>
        <w:gridCol w:w="5805"/>
      </w:tblGrid>
      <w:tr w:rsidR="00DA0CE9">
        <w:trPr>
          <w:trHeight w:val="617"/>
        </w:trPr>
        <w:tc>
          <w:tcPr>
            <w:tcW w:w="831" w:type="dxa"/>
            <w:vAlign w:val="center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№ п/п</w:t>
            </w:r>
          </w:p>
        </w:tc>
        <w:tc>
          <w:tcPr>
            <w:tcW w:w="3275" w:type="dxa"/>
            <w:vAlign w:val="center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Наименование параметра</w:t>
            </w:r>
          </w:p>
        </w:tc>
        <w:tc>
          <w:tcPr>
            <w:tcW w:w="5805" w:type="dxa"/>
            <w:vAlign w:val="center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Требование заказчика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1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2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center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3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1.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1.1.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Ворота стальные, распашные с калиткой внутри ворот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Из стального каркаса, обшитого сендвич-панелью не менее 100мм, с заполнением минераловатная плита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1.2.</w:t>
            </w:r>
          </w:p>
        </w:tc>
        <w:tc>
          <w:tcPr>
            <w:tcW w:w="3275" w:type="dxa"/>
          </w:tcPr>
          <w:p w:rsidR="00DA0CE9" w:rsidRPr="006922DC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Вес</w:t>
            </w:r>
            <w:r w:rsidR="006922DC">
              <w:rPr>
                <w:sz w:val="24"/>
                <w:szCs w:val="24"/>
                <w:lang w:val="en-US"/>
              </w:rPr>
              <w:t xml:space="preserve"> </w:t>
            </w:r>
            <w:r w:rsidR="006922DC">
              <w:rPr>
                <w:sz w:val="24"/>
                <w:szCs w:val="24"/>
              </w:rPr>
              <w:t>металло</w:t>
            </w:r>
            <w:bookmarkStart w:id="19" w:name="_GoBack"/>
            <w:bookmarkEnd w:id="19"/>
            <w:r w:rsidR="006922DC">
              <w:rPr>
                <w:sz w:val="24"/>
                <w:szCs w:val="24"/>
              </w:rPr>
              <w:t xml:space="preserve">конструкции 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val="en-US"/>
              </w:rPr>
              <w:t xml:space="preserve">не менее </w:t>
            </w:r>
            <w:r>
              <w:rPr>
                <w:sz w:val="24"/>
                <w:szCs w:val="24"/>
              </w:rPr>
              <w:t>15 тонн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1.3.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Обшивка стен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504 кв. м. Материал – сендвич-панель</w:t>
            </w:r>
            <w:r>
              <w:rPr>
                <w:sz w:val="24"/>
                <w:szCs w:val="24"/>
                <w:lang w:eastAsia="x-none"/>
              </w:rPr>
              <w:t xml:space="preserve"> толщина не менее100мм, с заполнением минераловатная плита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1.4.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Обшивка кро</w:t>
            </w:r>
            <w:r>
              <w:rPr>
                <w:sz w:val="24"/>
                <w:szCs w:val="24"/>
              </w:rPr>
              <w:t>вли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390 кв м. Материал – сендвич-панель</w:t>
            </w:r>
            <w:r>
              <w:rPr>
                <w:sz w:val="24"/>
                <w:szCs w:val="24"/>
                <w:lang w:eastAsia="x-none"/>
              </w:rPr>
              <w:t xml:space="preserve"> толщина не менее 100мм, с заполнением минераловатная плита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2.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конструкции, изготовлению и материалам.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2.1.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Конструктивная схема здания – стальной рамно-связевой, сборно-разборный каркас на болтовых </w:t>
            </w:r>
            <w:r>
              <w:rPr>
                <w:sz w:val="24"/>
                <w:szCs w:val="24"/>
                <w:lang w:eastAsia="x-none"/>
              </w:rPr>
              <w:t>соединениях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2.2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Колоны с фланцем с 4 отверстиями</w:t>
            </w:r>
          </w:p>
        </w:tc>
      </w:tr>
      <w:tr w:rsidR="00DA0CE9">
        <w:tc>
          <w:tcPr>
            <w:tcW w:w="831" w:type="dxa"/>
            <w:tcBorders>
              <w:top w:val="nil"/>
            </w:tcBorders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2.3</w:t>
            </w:r>
          </w:p>
        </w:tc>
        <w:tc>
          <w:tcPr>
            <w:tcW w:w="9080" w:type="dxa"/>
            <w:gridSpan w:val="2"/>
            <w:tcBorders>
              <w:top w:val="nil"/>
            </w:tcBorders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Фермы сборно-разборные на болтовых соединениях из двух частей</w:t>
            </w:r>
          </w:p>
        </w:tc>
      </w:tr>
      <w:tr w:rsidR="00DA0CE9">
        <w:tc>
          <w:tcPr>
            <w:tcW w:w="831" w:type="dxa"/>
            <w:tcBorders>
              <w:top w:val="nil"/>
            </w:tcBorders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2.4</w:t>
            </w:r>
          </w:p>
        </w:tc>
        <w:tc>
          <w:tcPr>
            <w:tcW w:w="9080" w:type="dxa"/>
            <w:gridSpan w:val="2"/>
            <w:tcBorders>
              <w:top w:val="nil"/>
            </w:tcBorders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Фундамент железобетон с анкерными закладными 30мм.(шпильки)</w:t>
            </w:r>
          </w:p>
        </w:tc>
      </w:tr>
      <w:tr w:rsidR="00DA0CE9">
        <w:tc>
          <w:tcPr>
            <w:tcW w:w="831" w:type="dxa"/>
            <w:tcBorders>
              <w:top w:val="nil"/>
            </w:tcBorders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2.5.</w:t>
            </w:r>
          </w:p>
        </w:tc>
        <w:tc>
          <w:tcPr>
            <w:tcW w:w="9080" w:type="dxa"/>
            <w:gridSpan w:val="2"/>
            <w:tcBorders>
              <w:top w:val="nil"/>
            </w:tcBorders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Защита стальных конструкций от коррозии предусмотрена в соответствии</w:t>
            </w:r>
            <w:r>
              <w:rPr>
                <w:sz w:val="24"/>
                <w:szCs w:val="24"/>
                <w:lang w:eastAsia="x-none"/>
              </w:rPr>
              <w:t xml:space="preserve"> с требованиями СНиП 2.03.11-85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2.6.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Для сварки элементов фермы следует применять полуавтоматическую сварку в среде углекислых газов по ГОСТ 8050-85 или смеси углекислого газа с аргоном по ГОСТ </w:t>
            </w:r>
            <w:r>
              <w:rPr>
                <w:sz w:val="24"/>
                <w:szCs w:val="24"/>
                <w:lang w:eastAsia="x-none"/>
              </w:rPr>
              <w:lastRenderedPageBreak/>
              <w:t>10157-79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lastRenderedPageBreak/>
              <w:t>2.7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Сварочная проволока должна быть марки СВ-08Г2С </w:t>
            </w:r>
            <w:r>
              <w:rPr>
                <w:sz w:val="24"/>
                <w:szCs w:val="24"/>
                <w:lang w:eastAsia="x-none"/>
              </w:rPr>
              <w:t>по ГОСТ 2246-70.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2.8.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При ручной дуговой сварки применять для сварки деталей электроды типа Э-50А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2.8.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Катеты сварных швов назначить по наименьшей из толщин свариваемых элементов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2.10.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Должен проводиться контроль качества сварных швов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2.11.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Металлоконс</w:t>
            </w:r>
            <w:r>
              <w:rPr>
                <w:sz w:val="24"/>
                <w:szCs w:val="24"/>
                <w:lang w:eastAsia="x-none"/>
              </w:rPr>
              <w:t>трукция должна быть покрыта грунтом ГФ-021 (ГОСТ 25129-82) и окрасить эмалью ПФ-115 (ГОСТ 6468-76) за два раза в соответствии с СНиП 2.03.11-85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2.12.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Величины отклонений от проектных размеров и геометрической формы элементов фермы и фланцевых соединений, </w:t>
            </w:r>
            <w:r>
              <w:rPr>
                <w:sz w:val="24"/>
                <w:szCs w:val="24"/>
                <w:lang w:eastAsia="x-none"/>
              </w:rPr>
              <w:t>а также технические требования к изготовлению, приемке, методами контроля, транспортированию и хранению фермы должны соответствовать ГОСТ 27579-88 «Фермы стальные стропильные из гнутосварных профилей прямоугольного сечения</w:t>
            </w:r>
            <w:r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2.13.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Допуски линейных размеров</w:t>
            </w:r>
            <w:r>
              <w:rPr>
                <w:sz w:val="24"/>
                <w:szCs w:val="24"/>
                <w:lang w:eastAsia="x-none"/>
              </w:rPr>
              <w:t xml:space="preserve"> конструкции покрытия соответствуют 3 классу точности по ГОСТ 21779-82.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3.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 xml:space="preserve">Требования к климатическому исполнению и стойкости к воздействующим климатическим факторам. 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3.1.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eastAsia="x-none"/>
              </w:rPr>
              <w:t>Сейсмичность района</w:t>
            </w:r>
            <w:r>
              <w:rPr>
                <w:sz w:val="24"/>
                <w:szCs w:val="24"/>
                <w:lang w:val="en-US" w:eastAsia="x-none"/>
              </w:rPr>
              <w:t xml:space="preserve"> строительства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9 баллов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3.2.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Вес снегового покрова для 2 </w:t>
            </w:r>
            <w:r>
              <w:rPr>
                <w:sz w:val="24"/>
                <w:szCs w:val="24"/>
                <w:lang w:eastAsia="x-none"/>
              </w:rPr>
              <w:t>района строительства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0.84 кПа (84 кгс/м2)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3.3.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Скорость напора ветра для 4 района строительства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0.48 кПа (48 кгс/м2)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3.4.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Снеговой район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II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3.5.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Ветровой район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IV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3.6.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Нормативны нагрузки при разработке чертежей должны быть исполнены в соответствии с </w:t>
            </w:r>
            <w:r>
              <w:rPr>
                <w:sz w:val="24"/>
                <w:szCs w:val="24"/>
                <w:lang w:eastAsia="x-none"/>
              </w:rPr>
              <w:t>СП 20.13330/2011 «Нагрузки и воздействия</w:t>
            </w:r>
            <w:r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4.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доставке, маркировке, упаковке, транспортировке, перемещению, условиям хранения, приемке и испытаниям.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4.1.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Место поставки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Чеченская Республика, Шатойский район, Нихалойская ГЭС, р. Аргун, в 45 км</w:t>
            </w:r>
            <w:r>
              <w:rPr>
                <w:sz w:val="24"/>
                <w:szCs w:val="24"/>
                <w:lang w:eastAsia="x-none"/>
              </w:rPr>
              <w:t xml:space="preserve"> от г. Грозный. Рабочие дни с 9:00 до 16:00 по предварительному уведомлению по телефону или электронной почте не позднее предыдущего рабочего дня до прибытия транспорта.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5.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</w:t>
            </w:r>
            <w:r>
              <w:rPr>
                <w:b/>
                <w:sz w:val="24"/>
                <w:szCs w:val="24"/>
              </w:rPr>
              <w:t xml:space="preserve"> к гарантиям, гарантийному и послегарантийному обслуживанию.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5.1.</w:t>
            </w:r>
          </w:p>
        </w:tc>
        <w:tc>
          <w:tcPr>
            <w:tcW w:w="3275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 xml:space="preserve">Срок </w:t>
            </w:r>
            <w:r>
              <w:rPr>
                <w:sz w:val="24"/>
                <w:szCs w:val="24"/>
                <w:lang w:val="en-US" w:eastAsia="x-none"/>
              </w:rPr>
              <w:t>гарантии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 Срок гарантийных обязательств Поставщика должен быть не менее гарантийных сроков завода-изготовителя продукции. При этом в любом случае срок должен быть не меньше 12 месяцев с даты подписания Сторонами соответствующей товарной накладной по форме</w:t>
            </w:r>
            <w:r>
              <w:rPr>
                <w:sz w:val="24"/>
                <w:szCs w:val="24"/>
                <w:lang w:eastAsia="x-none"/>
              </w:rPr>
              <w:t xml:space="preserve"> ТОРГ-12 или Универсального передаточного документа (УПД);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 Устанавливаемый гарантийный срок на продукцию, участники должны указать в техническом предложении.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6.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комплектации и документам, поставляемым вместе с продукцией.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6.1.</w:t>
            </w:r>
          </w:p>
        </w:tc>
        <w:tc>
          <w:tcPr>
            <w:tcW w:w="3275" w:type="dxa"/>
            <w:vAlign w:val="center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Документы, п</w:t>
            </w:r>
            <w:r>
              <w:rPr>
                <w:sz w:val="24"/>
                <w:szCs w:val="24"/>
                <w:lang w:eastAsia="x-none"/>
              </w:rPr>
              <w:t>ередаваемые вместе с продукцией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 сертификат качества;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 паспорт качества;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lastRenderedPageBreak/>
              <w:t xml:space="preserve">- товарную накладную унифицированной формы </w:t>
            </w:r>
            <w:r>
              <w:rPr>
                <w:sz w:val="24"/>
                <w:szCs w:val="24"/>
                <w:lang w:eastAsia="x-none"/>
              </w:rPr>
              <w:t>ТОРГ-12 или Универсальный передаточный документ в 2 экз.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lastRenderedPageBreak/>
              <w:t>7.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обязательствам Поставщика, влияющим на исполнение Договора.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7.1.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Информация о транспорте, на котором осуществляется доставка, для оформления допуска на территорию ГЭС предоставляется не позднее 10:00 предыдущего рабочего дня до прибытия транспорта. 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8.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Прочие (дополнительные) требования к продукции.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8.1.</w:t>
            </w:r>
          </w:p>
        </w:tc>
        <w:tc>
          <w:tcPr>
            <w:tcW w:w="3275" w:type="dxa"/>
            <w:vAlign w:val="center"/>
          </w:tcPr>
          <w:p w:rsidR="00DA0CE9" w:rsidRDefault="000316CC">
            <w:pPr>
              <w:widowControl w:val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Общие требова</w:t>
            </w:r>
            <w:r>
              <w:rPr>
                <w:sz w:val="24"/>
                <w:szCs w:val="24"/>
                <w:lang w:val="en-US" w:eastAsia="x-none"/>
              </w:rPr>
              <w:t>ния</w:t>
            </w:r>
          </w:p>
        </w:tc>
        <w:tc>
          <w:tcPr>
            <w:tcW w:w="5805" w:type="dxa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- Продукция должна быть новой не бывшей в употреблении, не должна быть восстановленной, не ранее 2026 года выпуска;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- </w:t>
            </w:r>
            <w:r>
              <w:rPr>
                <w:sz w:val="24"/>
                <w:szCs w:val="24"/>
                <w:lang w:eastAsia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</w:t>
            </w:r>
            <w:r>
              <w:rPr>
                <w:sz w:val="24"/>
                <w:szCs w:val="24"/>
                <w:lang w:eastAsia="ar-SA"/>
              </w:rPr>
              <w:t>их как вода, пыль и т.п. Маркировка, упаковка, транспортирование и хранение».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  <w:r>
              <w:rPr>
                <w:sz w:val="24"/>
                <w:szCs w:val="24"/>
                <w:lang w:eastAsia="x-none"/>
              </w:rPr>
              <w:t>;</w:t>
            </w:r>
          </w:p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- Условия выполнения гарантийных </w:t>
            </w:r>
            <w:r>
              <w:rPr>
                <w:sz w:val="24"/>
                <w:szCs w:val="24"/>
                <w:lang w:eastAsia="x-none"/>
              </w:rPr>
              <w:t>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  <w:p w:rsidR="00DA0CE9" w:rsidRDefault="00DA0CE9">
            <w:pPr>
              <w:widowControl w:val="0"/>
              <w:jc w:val="both"/>
              <w:rPr>
                <w:b/>
                <w:sz w:val="24"/>
                <w:szCs w:val="24"/>
                <w:lang w:eastAsia="x-none"/>
              </w:rPr>
            </w:pP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b/>
                <w:sz w:val="24"/>
                <w:szCs w:val="24"/>
                <w:lang w:val="en-US"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9.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val="en-US" w:eastAsia="x-none"/>
              </w:rPr>
              <w:t>Специальные требования.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9.1.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Требование к качеству: ГОСТ Р 58760-2024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9.2.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Поставщик должен </w:t>
            </w:r>
            <w:r>
              <w:rPr>
                <w:sz w:val="24"/>
                <w:szCs w:val="24"/>
                <w:lang w:eastAsia="x-none"/>
              </w:rPr>
              <w:t>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</w:t>
            </w:r>
            <w:r>
              <w:rPr>
                <w:sz w:val="24"/>
                <w:szCs w:val="24"/>
                <w:lang w:eastAsia="x-none"/>
              </w:rPr>
              <w:t>ствия установлена нормативными документами РФ.</w:t>
            </w:r>
          </w:p>
        </w:tc>
      </w:tr>
      <w:tr w:rsidR="00DA0CE9">
        <w:tc>
          <w:tcPr>
            <w:tcW w:w="831" w:type="dxa"/>
          </w:tcPr>
          <w:p w:rsidR="00DA0CE9" w:rsidRDefault="000316CC">
            <w:pPr>
              <w:widowControl w:val="0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9.3.</w:t>
            </w:r>
          </w:p>
        </w:tc>
        <w:tc>
          <w:tcPr>
            <w:tcW w:w="9080" w:type="dxa"/>
            <w:gridSpan w:val="2"/>
          </w:tcPr>
          <w:p w:rsidR="00DA0CE9" w:rsidRDefault="000316CC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</w:t>
            </w:r>
          </w:p>
        </w:tc>
      </w:tr>
    </w:tbl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0316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            Требования к </w:t>
      </w:r>
      <w:r>
        <w:rPr>
          <w:b/>
          <w:sz w:val="24"/>
          <w:szCs w:val="24"/>
        </w:rPr>
        <w:t>документации по ценообразованию на этапе закупки.</w:t>
      </w:r>
    </w:p>
    <w:p w:rsidR="00DA0CE9" w:rsidRDefault="000316CC">
      <w:pPr>
        <w:rPr>
          <w:sz w:val="24"/>
          <w:szCs w:val="24"/>
        </w:rPr>
      </w:pPr>
      <w:r>
        <w:rPr>
          <w:sz w:val="24"/>
          <w:szCs w:val="24"/>
        </w:rPr>
        <w:t>3.1.  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DA0CE9" w:rsidRDefault="000316CC">
      <w:pPr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>3.2.   </w:t>
      </w:r>
      <w:r>
        <w:rPr>
          <w:sz w:val="24"/>
          <w:szCs w:val="24"/>
        </w:rPr>
        <w:t>     Дополнительные документы по ценообразованию в состав заявки не включаются.</w:t>
      </w: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jc w:val="both"/>
        <w:rPr>
          <w:b/>
          <w:bCs/>
          <w:i/>
          <w:iCs/>
          <w:sz w:val="24"/>
          <w:szCs w:val="24"/>
        </w:rPr>
      </w:pPr>
    </w:p>
    <w:p w:rsidR="00DA0CE9" w:rsidRDefault="00DA0CE9">
      <w:pPr>
        <w:pStyle w:val="1"/>
        <w:keepLines/>
        <w:numPr>
          <w:ilvl w:val="0"/>
          <w:numId w:val="0"/>
        </w:numPr>
        <w:rPr>
          <w:i/>
          <w:iCs/>
          <w:sz w:val="24"/>
          <w:szCs w:val="24"/>
          <w:shd w:val="clear" w:color="auto" w:fill="FFFF99"/>
        </w:rPr>
      </w:pPr>
    </w:p>
    <w:sectPr w:rsidR="00DA0CE9">
      <w:headerReference w:type="default" r:id="rId8"/>
      <w:headerReference w:type="first" r:id="rId9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6CC" w:rsidRDefault="000316CC">
      <w:r>
        <w:separator/>
      </w:r>
    </w:p>
  </w:endnote>
  <w:endnote w:type="continuationSeparator" w:id="0">
    <w:p w:rsidR="000316CC" w:rsidRDefault="00031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6CC" w:rsidRDefault="000316CC">
      <w:r>
        <w:separator/>
      </w:r>
    </w:p>
  </w:footnote>
  <w:footnote w:type="continuationSeparator" w:id="0">
    <w:p w:rsidR="000316CC" w:rsidRDefault="00031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CE9" w:rsidRDefault="000316C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6922DC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CE9" w:rsidRDefault="00DA0CE9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0D6"/>
    <w:multiLevelType w:val="multilevel"/>
    <w:tmpl w:val="5782A4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337151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54D7AA9"/>
    <w:multiLevelType w:val="multilevel"/>
    <w:tmpl w:val="D21051B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1F35777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BCB4A63"/>
    <w:multiLevelType w:val="multilevel"/>
    <w:tmpl w:val="15DE47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837718F"/>
    <w:multiLevelType w:val="multilevel"/>
    <w:tmpl w:val="A8427E7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9D51B6F"/>
    <w:multiLevelType w:val="multilevel"/>
    <w:tmpl w:val="73BC937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6D261B5A"/>
    <w:multiLevelType w:val="multilevel"/>
    <w:tmpl w:val="0DB09516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E9"/>
    <w:rsid w:val="000316CC"/>
    <w:rsid w:val="006922DC"/>
    <w:rsid w:val="00DA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39F"/>
  <w15:docId w15:val="{480142AB-FDEB-487E-A711-9942B0F3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c"/>
    <w:qFormat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">
    <w:name w:val="caption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4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46372-B144-40E4-A097-D19FFACC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1056</Words>
  <Characters>6024</Characters>
  <Application>Microsoft Office Word</Application>
  <DocSecurity>0</DocSecurity>
  <Lines>50</Lines>
  <Paragraphs>14</Paragraphs>
  <ScaleCrop>false</ScaleCrop>
  <Company>Microsoft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Баталов Юнус Заурбекович</cp:lastModifiedBy>
  <cp:revision>21</cp:revision>
  <cp:lastPrinted>2006-07-26T14:04:00Z</cp:lastPrinted>
  <dcterms:created xsi:type="dcterms:W3CDTF">2023-05-04T06:27:00Z</dcterms:created>
  <dcterms:modified xsi:type="dcterms:W3CDTF">2026-07-20T05:37:00Z</dcterms:modified>
  <dc:language>ru-RU</dc:language>
</cp:coreProperties>
</file>