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spacing w:lineRule="auto" w:line="360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поставку МТР</w:t>
      </w:r>
    </w:p>
    <w:p>
      <w:pPr>
        <w:pStyle w:val="Normal"/>
        <w:keepNext w:val="true"/>
        <w:keepLines/>
        <w:spacing w:lineRule="auto" w:line="360"/>
        <w:jc w:val="center"/>
        <w:rPr>
          <w:rFonts w:ascii="Times New Roman" w:hAnsi="Times New Roman"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"</w:t>
      </w:r>
      <w:r>
        <w:rPr>
          <w:rFonts w:eastAsia="Calibri"/>
          <w:b/>
          <w:bCs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>О</w:t>
      </w:r>
      <w:r>
        <w:rPr>
          <w:b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 xml:space="preserve">КПД2 29.32.30.390 Поставка </w:t>
      </w:r>
      <w:r>
        <w:rPr>
          <w:b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>форсунок</w:t>
      </w:r>
      <w:r>
        <w:rPr>
          <w:b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 xml:space="preserve"> к технике PRINOTH RAPTOR-300 в рамках эксплуатационных расходов для нужд Западных электрических сетей</w:t>
      </w:r>
      <w:r>
        <w:rPr>
          <w:rFonts w:eastAsia="Calibri"/>
          <w:b/>
          <w:bCs/>
          <w:sz w:val="28"/>
          <w:szCs w:val="28"/>
        </w:rPr>
        <w:t>"</w:t>
      </w:r>
    </w:p>
    <w:p>
      <w:pPr>
        <w:pStyle w:val="Normal"/>
        <w:keepNext w:val="true"/>
        <w:keepLines/>
        <w:spacing w:lineRule="auto" w:line="360"/>
        <w:jc w:val="center"/>
        <w:rPr>
          <w:rFonts w:ascii="Times New Roman" w:hAnsi="Times New Roman" w:eastAsia="Calibri"/>
          <w:b/>
          <w:i/>
          <w:i/>
          <w:sz w:val="28"/>
          <w:szCs w:val="28"/>
        </w:rPr>
      </w:pPr>
      <w:r>
        <w:rPr>
          <w:rFonts w:eastAsia="Calibri"/>
          <w:b/>
          <w:i/>
          <w:sz w:val="28"/>
          <w:szCs w:val="28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r>
            <w:fldChar w:fldCharType="begin"/>
          </w:r>
          <w:r>
            <w:rPr>
              <w:rStyle w:val="Style12"/>
            </w:rPr>
            <w:instrText xml:space="preserve"> TOC \o "1-4" \h</w:instrText>
          </w:r>
          <w:r>
            <w:rPr>
              <w:rStyle w:val="Style12"/>
            </w:rPr>
            <w:fldChar w:fldCharType="separate"/>
          </w:r>
          <w:hyperlink w:anchor="__RefHeading___Toc920018_3420070024">
            <w:r>
              <w:rPr>
                <w:rStyle w:val="Style12"/>
              </w:rPr>
              <w:t>1. Общие сведения</w:t>
              <w:tab/>
              <w:t>3</w:t>
            </w:r>
          </w:hyperlink>
        </w:p>
        <w:p>
          <w:pPr>
            <w:pStyle w:val="TOC2"/>
            <w:tabs>
              <w:tab w:val="clear" w:pos="9911"/>
              <w:tab w:val="right" w:pos="9921" w:leader="dot"/>
            </w:tabs>
            <w:rPr/>
          </w:pPr>
          <w:hyperlink w:anchor="__RefHeading___Toc920020_3420070024">
            <w:r>
              <w:rPr>
                <w:rStyle w:val="Style12"/>
              </w:rPr>
              <w:t>1.1. Наименование закупаемой продукции</w:t>
              <w:tab/>
              <w:t>3</w:t>
            </w:r>
          </w:hyperlink>
        </w:p>
        <w:p>
          <w:pPr>
            <w:pStyle w:val="TOC2"/>
            <w:tabs>
              <w:tab w:val="clear" w:pos="9911"/>
              <w:tab w:val="right" w:pos="9921" w:leader="dot"/>
            </w:tabs>
            <w:rPr/>
          </w:pPr>
          <w:hyperlink w:anchor="__RefHeading___Toc920022_3420070024">
            <w:r>
              <w:rPr>
                <w:rStyle w:val="Style12"/>
              </w:rPr>
              <w:t>1.2. Цель использования закупаемой продукции</w:t>
              <w:tab/>
              <w:t>3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920024_3420070024">
            <w:r>
              <w:rPr>
                <w:rStyle w:val="Style12"/>
              </w:rPr>
              <w:t>2. Требования к продукции</w:t>
              <w:tab/>
              <w:t>3</w:t>
            </w:r>
          </w:hyperlink>
        </w:p>
        <w:p>
          <w:pPr>
            <w:pStyle w:val="TOC2"/>
            <w:tabs>
              <w:tab w:val="clear" w:pos="9911"/>
              <w:tab w:val="right" w:pos="9921" w:leader="dot"/>
            </w:tabs>
            <w:rPr/>
          </w:pPr>
          <w:hyperlink w:anchor="__RefHeading___Toc920026_3420070024">
            <w:r>
              <w:rPr>
                <w:rStyle w:val="Style12"/>
              </w:rPr>
              <w:t>2.1. Требования к объемам и срокам поставки</w:t>
              <w:tab/>
              <w:t>3</w:t>
            </w:r>
          </w:hyperlink>
        </w:p>
        <w:p>
          <w:pPr>
            <w:pStyle w:val="TOC3"/>
            <w:tabs>
              <w:tab w:val="clear" w:pos="9911"/>
              <w:tab w:val="right" w:pos="9921" w:leader="dot"/>
            </w:tabs>
            <w:rPr/>
          </w:pPr>
          <w:hyperlink w:anchor="__RefHeading___Toc920028_3420070024">
            <w:r>
              <w:rPr>
                <w:rStyle w:val="Style12"/>
              </w:rPr>
              <w:t>2.1.1. Перечень и объем закупаемой продукции</w:t>
              <w:tab/>
              <w:t>3</w:t>
            </w:r>
          </w:hyperlink>
        </w:p>
        <w:p>
          <w:pPr>
            <w:pStyle w:val="TOC3"/>
            <w:tabs>
              <w:tab w:val="clear" w:pos="9911"/>
              <w:tab w:val="right" w:pos="9921" w:leader="dot"/>
            </w:tabs>
            <w:rPr/>
          </w:pPr>
          <w:hyperlink w:anchor="__RefHeading___Toc920030_3420070024">
            <w:r>
              <w:rPr>
                <w:rStyle w:val="Style12"/>
              </w:rPr>
              <w:t>Таблица 1.1 Перечень и объем закупаемой продукции</w:t>
              <w:tab/>
              <w:t>3</w:t>
            </w:r>
          </w:hyperlink>
        </w:p>
        <w:p>
          <w:pPr>
            <w:pStyle w:val="TOC3"/>
            <w:tabs>
              <w:tab w:val="clear" w:pos="9911"/>
              <w:tab w:val="right" w:pos="9921" w:leader="dot"/>
            </w:tabs>
            <w:rPr/>
          </w:pPr>
          <w:hyperlink w:anchor="__RefHeading___Toc920032_3420070024">
            <w:r>
              <w:rPr>
                <w:rStyle w:val="Style12"/>
              </w:rPr>
              <w:t>2.1.2. Требования к срокам поставки продукции и оказания сопутствующих услуг</w:t>
              <w:tab/>
              <w:t>5</w:t>
            </w:r>
          </w:hyperlink>
        </w:p>
        <w:p>
          <w:pPr>
            <w:pStyle w:val="TOC3"/>
            <w:tabs>
              <w:tab w:val="clear" w:pos="9911"/>
              <w:tab w:val="right" w:pos="9921" w:leader="dot"/>
            </w:tabs>
            <w:rPr/>
          </w:pPr>
          <w:hyperlink w:anchor="__RefHeading___Toc920034_3420070024">
            <w:r>
              <w:rPr>
                <w:rStyle w:val="Style12"/>
              </w:rPr>
              <w:t>Таблица 2.1 Требования по срокам поставки продукции</w:t>
              <w:tab/>
              <w:t>5</w:t>
            </w:r>
          </w:hyperlink>
        </w:p>
        <w:p>
          <w:pPr>
            <w:pStyle w:val="TOC2"/>
            <w:tabs>
              <w:tab w:val="clear" w:pos="9911"/>
              <w:tab w:val="right" w:pos="9921" w:leader="dot"/>
            </w:tabs>
            <w:rPr/>
          </w:pPr>
          <w:hyperlink w:anchor="__RefHeading___Toc920036_3420070024">
            <w:r>
              <w:rPr>
                <w:rStyle w:val="Style12"/>
              </w:rPr>
              <w:t>2.2. Требования к качеству продукции</w:t>
              <w:tab/>
              <w:t>7</w:t>
            </w:r>
          </w:hyperlink>
        </w:p>
        <w:p>
          <w:pPr>
            <w:pStyle w:val="TOC2"/>
            <w:tabs>
              <w:tab w:val="clear" w:pos="9911"/>
              <w:tab w:val="right" w:pos="9921" w:leader="dot"/>
            </w:tabs>
            <w:rPr/>
          </w:pPr>
          <w:hyperlink w:anchor="__RefHeading___Toc920038_3420070024">
            <w:r>
              <w:rPr>
                <w:rStyle w:val="Style12"/>
              </w:rPr>
              <w:t>Таблица 3. Требования к продукции</w:t>
              <w:tab/>
              <w:t>7</w:t>
            </w:r>
          </w:hyperlink>
        </w:p>
        <w:p>
          <w:pPr>
            <w:pStyle w:val="TOC3"/>
            <w:tabs>
              <w:tab w:val="clear" w:pos="9911"/>
              <w:tab w:val="right" w:pos="9921" w:leader="dot"/>
            </w:tabs>
            <w:rPr/>
          </w:pPr>
          <w:hyperlink w:anchor="__RefHeading___Toc549288_890196791">
            <w:r>
              <w:rPr>
                <w:rStyle w:val="Style12"/>
              </w:rPr>
              <w:t>Согласие с требованием</w:t>
              <w:tab/>
              <w:t>8</w:t>
            </w:r>
          </w:hyperlink>
        </w:p>
        <w:p>
          <w:pPr>
            <w:pStyle w:val="TOC3"/>
            <w:tabs>
              <w:tab w:val="clear" w:pos="9911"/>
              <w:tab w:val="right" w:pos="9921" w:leader="dot"/>
            </w:tabs>
            <w:rPr/>
          </w:pPr>
          <w:hyperlink w:anchor="__RefHeading___Toc920044_3420070024">
            <w:r>
              <w:rPr>
                <w:rStyle w:val="Style12"/>
              </w:rPr>
              <w:t>Таблица 3.1. Требования к продукции (индивидуальные требования по каждой позиции перечня продукции)</w:t>
              <w:tab/>
              <w:t>10</w:t>
            </w:r>
          </w:hyperlink>
          <w:r>
            <w:rPr>
              <w:rStyle w:val="Style12"/>
            </w:rPr>
            <w:fldChar w:fldCharType="end"/>
          </w:r>
        </w:p>
      </w:sdtContent>
    </w:sdt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tabs>
          <w:tab w:val="left" w:pos="0" w:leader="none"/>
          <w:tab w:val="left" w:pos="284" w:leader="none"/>
        </w:tabs>
        <w:ind w:left="0" w:right="0" w:hanging="0"/>
        <w:jc w:val="center"/>
        <w:rPr>
          <w:caps/>
        </w:rPr>
      </w:pPr>
      <w:bookmarkStart w:id="0" w:name="__RefHeading___Toc920018_3420070024"/>
      <w:bookmarkStart w:id="1" w:name="_Toc136869906"/>
      <w:bookmarkStart w:id="2" w:name="_Toc51339692"/>
      <w:bookmarkEnd w:id="0"/>
      <w:r>
        <w:rPr/>
        <w:t>Общие сведения</w:t>
      </w:r>
      <w:bookmarkEnd w:id="1"/>
      <w:bookmarkEnd w:id="2"/>
    </w:p>
    <w:p>
      <w:pPr>
        <w:pStyle w:val="Heading4"/>
        <w:numPr>
          <w:ilvl w:val="1"/>
          <w:numId w:val="3"/>
        </w:numPr>
        <w:rPr/>
      </w:pPr>
      <w:bookmarkStart w:id="3" w:name="__RefHeading___Toc549266_890196791"/>
      <w:bookmarkStart w:id="4" w:name="_Toc191888694"/>
      <w:bookmarkStart w:id="5" w:name="_Toc46743505"/>
      <w:bookmarkStart w:id="6" w:name="_Toc198908635"/>
      <w:bookmarkEnd w:id="3"/>
      <w:r>
        <w:rPr/>
        <w:t>Обозначения и сокращения</w:t>
      </w:r>
      <w:bookmarkEnd w:id="4"/>
      <w:bookmarkEnd w:id="5"/>
      <w:bookmarkEnd w:id="6"/>
    </w:p>
    <w:p>
      <w:pPr>
        <w:pStyle w:val="Normal"/>
        <w:rPr/>
      </w:pPr>
      <w:r>
        <w:rPr/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5"/>
        <w:gridCol w:w="7997"/>
      </w:tblGrid>
      <w:tr>
        <w:trPr>
          <w:trHeight w:val="450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Style w:val="Style7"/>
                <w:b w:val="false"/>
                <w:bCs/>
                <w:i w:val="false"/>
                <w:sz w:val="24"/>
                <w:szCs w:val="24"/>
                <w:shd w:fill="FFFFFF" w:val="clear"/>
              </w:rPr>
              <w:t>ГОСТ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  <w:shd w:fill="FFFFFF" w:val="clear"/>
              </w:rPr>
              <w:t>Государственный стандарт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sz w:val="24"/>
                <w:szCs w:val="24"/>
                <w:shd w:fill="FFFFFF" w:val="clear"/>
              </w:rPr>
            </w:pPr>
            <w:r>
              <w:rPr>
                <w:bCs/>
                <w:sz w:val="24"/>
                <w:szCs w:val="24"/>
                <w:shd w:fill="FFFFFF" w:val="clear"/>
              </w:rPr>
              <w:t>ТУ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  <w:shd w:fill="FFFFFF" w:val="clear"/>
              </w:rPr>
              <w:t>Технические условия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sz w:val="24"/>
                <w:szCs w:val="24"/>
                <w:shd w:fill="FFFFFF" w:val="clear"/>
                <w:lang w:val="en-US"/>
              </w:rPr>
            </w:pPr>
            <w:r>
              <w:rPr>
                <w:bCs/>
                <w:sz w:val="24"/>
                <w:szCs w:val="24"/>
                <w:shd w:fill="FFFFFF" w:val="clear"/>
                <w:lang w:val="en-US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iCs/>
                <w:sz w:val="24"/>
                <w:szCs w:val="24"/>
                <w:shd w:fill="FFFFFF" w:val="clear"/>
                <w:lang w:val="en-US"/>
              </w:rPr>
            </w:pPr>
            <w:r>
              <w:rPr>
                <w:bCs/>
                <w:iCs/>
                <w:sz w:val="24"/>
                <w:szCs w:val="24"/>
                <w:shd w:fill="FFFFFF" w:val="clear"/>
                <w:lang w:val="en-US"/>
              </w:rPr>
              <w:t>Настоящие Технические требования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sz w:val="24"/>
                <w:szCs w:val="24"/>
                <w:shd w:fill="FFFFFF" w:val="clear"/>
              </w:rPr>
            </w:pPr>
            <w:r>
              <w:rPr>
                <w:bCs/>
                <w:sz w:val="24"/>
                <w:szCs w:val="24"/>
                <w:shd w:fill="FFFFFF" w:val="clear"/>
              </w:rPr>
              <w:t>ЗЭС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iCs/>
                <w:sz w:val="24"/>
                <w:szCs w:val="24"/>
                <w:shd w:fill="FFFFFF" w:val="clear"/>
                <w:lang w:val="en-US"/>
              </w:rPr>
            </w:pPr>
            <w:r>
              <w:rPr>
                <w:bCs/>
                <w:iCs/>
                <w:sz w:val="24"/>
                <w:szCs w:val="24"/>
                <w:shd w:fill="FFFFFF" w:val="clear"/>
                <w:lang w:val="en-US"/>
              </w:rPr>
              <w:t>Западные электрические сети</w:t>
            </w:r>
          </w:p>
        </w:tc>
      </w:tr>
    </w:tbl>
    <w:p>
      <w:pPr>
        <w:pStyle w:val="Heading2"/>
        <w:numPr>
          <w:ilvl w:val="0"/>
        </w:numPr>
        <w:ind w:left="432" w:right="0" w:hanging="0"/>
        <w:rPr/>
      </w:pPr>
      <w:r>
        <w:rPr/>
      </w:r>
    </w:p>
    <w:p>
      <w:pPr>
        <w:pStyle w:val="Heading2"/>
        <w:numPr>
          <w:ilvl w:val="1"/>
          <w:numId w:val="3"/>
        </w:numPr>
        <w:rPr/>
      </w:pPr>
      <w:bookmarkStart w:id="7" w:name="__RefHeading___Toc920020_3420070024"/>
      <w:bookmarkStart w:id="8" w:name="_Toc136869907"/>
      <w:bookmarkStart w:id="9" w:name="_Toc46743506"/>
      <w:bookmarkEnd w:id="7"/>
      <w:r>
        <w:rPr/>
        <w:t>Наименование закупаемой продукции</w:t>
      </w:r>
      <w:bookmarkEnd w:id="8"/>
      <w:bookmarkEnd w:id="9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rPr>
          <w:b w:val="false"/>
          <w:bCs/>
          <w:sz w:val="24"/>
          <w:szCs w:val="24"/>
        </w:rPr>
      </w:pPr>
      <w:r>
        <w:rPr>
          <w:rFonts w:eastAsia="Calibri"/>
          <w:sz w:val="24"/>
          <w:szCs w:val="24"/>
          <w:lang w:eastAsia="x-none"/>
        </w:rPr>
        <w:t>Форсунки</w:t>
      </w:r>
      <w:r>
        <w:rPr>
          <w:rFonts w:eastAsia="Calibri"/>
          <w:sz w:val="24"/>
          <w:szCs w:val="24"/>
          <w:lang w:eastAsia="x-none"/>
        </w:rPr>
        <w:t xml:space="preserve"> к к технике PRINOTH RAPTOR-300 для нужд Западных электрических сетей</w:t>
      </w:r>
      <w:r>
        <w:rPr>
          <w:rFonts w:eastAsia="Calibri"/>
          <w:i/>
          <w:lang w:eastAsia="x-none"/>
        </w:rPr>
        <w:br/>
      </w:r>
    </w:p>
    <w:p>
      <w:pPr>
        <w:pStyle w:val="Heading2"/>
        <w:numPr>
          <w:ilvl w:val="1"/>
          <w:numId w:val="3"/>
        </w:numPr>
        <w:rPr>
          <w:b/>
          <w:lang w:val="ru-RU"/>
        </w:rPr>
      </w:pPr>
      <w:bookmarkStart w:id="10" w:name="__RefHeading___Toc920022_3420070024"/>
      <w:bookmarkStart w:id="11" w:name="_Toc136869908"/>
      <w:bookmarkStart w:id="12" w:name="_Toc46743507"/>
      <w:bookmarkEnd w:id="10"/>
      <w:r>
        <w:rPr/>
        <w:t xml:space="preserve">Цель </w:t>
      </w:r>
      <w:bookmarkEnd w:id="12"/>
      <w:r>
        <w:rPr/>
        <w:t>использования закупаемой продукции</w:t>
      </w:r>
      <w:bookmarkEnd w:id="11"/>
      <w:r>
        <w:rPr/>
        <w:t xml:space="preserve"> </w:t>
      </w:r>
    </w:p>
    <w:p>
      <w:pPr>
        <w:pStyle w:val="Normal"/>
        <w:rPr>
          <w:sz w:val="24"/>
          <w:lang w:eastAsia="x-none"/>
        </w:rPr>
      </w:pPr>
      <w:r>
        <w:rPr>
          <w:sz w:val="24"/>
          <w:lang w:eastAsia="x-none"/>
        </w:rPr>
        <w:t>Эксплуатационные расходы 202</w:t>
      </w:r>
      <w:r>
        <w:rPr>
          <w:sz w:val="24"/>
          <w:lang w:eastAsia="x-none"/>
        </w:rPr>
        <w:t>6</w:t>
      </w:r>
      <w:r>
        <w:rPr>
          <w:sz w:val="24"/>
          <w:lang w:eastAsia="x-none"/>
        </w:rPr>
        <w:t xml:space="preserve"> года</w:t>
      </w:r>
    </w:p>
    <w:p>
      <w:pPr>
        <w:pStyle w:val="Normal"/>
        <w:rPr>
          <w:i/>
          <w:i/>
          <w:lang w:eastAsia="x-none"/>
        </w:rPr>
      </w:pPr>
      <w:r>
        <w:rPr>
          <w:i/>
          <w:lang w:eastAsia="x-none"/>
        </w:rPr>
      </w:r>
    </w:p>
    <w:p>
      <w:pPr>
        <w:pStyle w:val="Heading1"/>
        <w:numPr>
          <w:ilvl w:val="0"/>
          <w:numId w:val="3"/>
        </w:numPr>
        <w:tabs>
          <w:tab w:val="left" w:pos="0" w:leader="none"/>
          <w:tab w:val="left" w:pos="284" w:leader="none"/>
          <w:tab w:val="left" w:pos="426" w:leader="none"/>
        </w:tabs>
        <w:ind w:left="0" w:right="0" w:hanging="0"/>
        <w:jc w:val="center"/>
        <w:rPr>
          <w:caps/>
          <w:lang w:val="ru-RU"/>
        </w:rPr>
      </w:pPr>
      <w:bookmarkStart w:id="13" w:name="__RefHeading___Toc920024_3420070024"/>
      <w:bookmarkStart w:id="14" w:name="_Toc46743510"/>
      <w:bookmarkStart w:id="15" w:name="_Toc51339693"/>
      <w:bookmarkStart w:id="16" w:name="_Toc136869909"/>
      <w:bookmarkStart w:id="17" w:name="_Toc50125126"/>
      <w:bookmarkEnd w:id="13"/>
      <w:bookmarkEnd w:id="17"/>
      <w:r>
        <w:rPr/>
        <w:t>Требования к продукции</w:t>
      </w:r>
      <w:bookmarkEnd w:id="15"/>
      <w:bookmarkEnd w:id="16"/>
    </w:p>
    <w:p>
      <w:pPr>
        <w:pStyle w:val="Heading2"/>
        <w:numPr>
          <w:ilvl w:val="1"/>
          <w:numId w:val="3"/>
        </w:numPr>
        <w:rPr/>
      </w:pPr>
      <w:bookmarkStart w:id="18" w:name="__RefHeading___Toc920026_3420070024"/>
      <w:bookmarkStart w:id="19" w:name="_Toc136869910"/>
      <w:bookmarkEnd w:id="18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19"/>
    </w:p>
    <w:p>
      <w:pPr>
        <w:pStyle w:val="Heading3"/>
        <w:numPr>
          <w:ilvl w:val="2"/>
          <w:numId w:val="3"/>
        </w:numPr>
        <w:ind w:left="0" w:right="0" w:hanging="0"/>
        <w:rPr/>
      </w:pPr>
      <w:bookmarkStart w:id="20" w:name="__RefHeading___Toc920028_3420070024"/>
      <w:bookmarkStart w:id="21" w:name="_Toc136869911"/>
      <w:bookmarkEnd w:id="20"/>
      <w:r>
        <w:rPr/>
        <w:t>Перечень и объем закупаемой продукции</w:t>
      </w:r>
      <w:bookmarkEnd w:id="21"/>
    </w:p>
    <w:p>
      <w:pPr>
        <w:pStyle w:val="Heading3"/>
        <w:numPr>
          <w:ilvl w:val="0"/>
        </w:numPr>
        <w:tabs>
          <w:tab w:val="clear" w:pos="0"/>
        </w:tabs>
        <w:ind w:left="0" w:hanging="0"/>
        <w:rPr/>
      </w:pPr>
      <w:bookmarkStart w:id="22" w:name="__RefHeading___Toc920030_3420070024"/>
      <w:bookmarkStart w:id="23" w:name="_Toc136869912"/>
      <w:bookmarkStart w:id="24" w:name="_Toc51339695"/>
      <w:bookmarkEnd w:id="22"/>
      <w:r>
        <w:rPr/>
        <w:t xml:space="preserve">Таблица 1.1 Перечень </w:t>
      </w:r>
      <w:bookmarkEnd w:id="24"/>
      <w:r>
        <w:rPr/>
        <w:t>и объем закупаемой продукции</w:t>
      </w:r>
      <w:bookmarkEnd w:id="23"/>
    </w:p>
    <w:tbl>
      <w:tblPr>
        <w:tblW w:w="10348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1"/>
        <w:gridCol w:w="2879"/>
        <w:gridCol w:w="1350"/>
        <w:gridCol w:w="1140"/>
        <w:gridCol w:w="1755"/>
        <w:gridCol w:w="2592"/>
      </w:tblGrid>
      <w:tr>
        <w:trPr/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0" w:after="0"/>
              <w:contextualSpacing/>
              <w:jc w:val="center"/>
              <w:rPr>
                <w:sz w:val="22"/>
                <w:szCs w:val="24"/>
              </w:rPr>
            </w:pPr>
            <w:r>
              <w:rPr>
                <w:sz w:val="24"/>
                <w:szCs w:val="24"/>
              </w:rPr>
              <w:t>Применение законодательства о национальном режиме</w:t>
            </w:r>
          </w:p>
        </w:tc>
      </w:tr>
      <w:tr>
        <w:trPr/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>
        <w:trPr/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ind w:left="360" w:right="0" w:hanging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left"/>
              <w:rPr/>
            </w:pPr>
            <w:r>
              <w:rPr>
                <w:sz w:val="24"/>
                <w:szCs w:val="24"/>
              </w:rPr>
              <w:t>Форсунка 3713974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3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lineRule="auto" w:line="36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29.32.30.390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Установлен режим преимущества закупки Российской продукции</w:t>
            </w:r>
            <w:bookmarkStart w:id="25" w:name="_GoBack"/>
            <w:bookmarkEnd w:id="25"/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Heading3"/>
        <w:keepNext w:val="true"/>
        <w:widowControl/>
        <w:numPr>
          <w:ilvl w:val="2"/>
          <w:numId w:val="3"/>
        </w:numPr>
        <w:suppressAutoHyphens w:val="true"/>
        <w:overflowPunct w:val="false"/>
        <w:bidi w:val="0"/>
        <w:spacing w:before="120" w:after="60"/>
        <w:ind w:left="0" w:right="0" w:hanging="0"/>
        <w:jc w:val="left"/>
        <w:rPr/>
      </w:pPr>
      <w:bookmarkStart w:id="26" w:name="__RefHeading___Toc920032_3420070024"/>
      <w:bookmarkStart w:id="27" w:name="_Toc75446578"/>
      <w:bookmarkStart w:id="28" w:name="_Toc136869913"/>
      <w:bookmarkStart w:id="29" w:name="_Toc51339696"/>
      <w:bookmarkEnd w:id="26"/>
      <w:r>
        <w:rPr/>
        <w:t xml:space="preserve">Требования </w:t>
      </w:r>
      <w:bookmarkEnd w:id="29"/>
      <w:r>
        <w:rPr/>
        <w:t xml:space="preserve">к срокам </w:t>
      </w:r>
      <w:r>
        <w:rPr>
          <w:rFonts w:eastAsia="Calibri" w:cs="Times New Roman"/>
          <w:b/>
          <w:bCs/>
          <w:color w:val="auto"/>
          <w:kern w:val="0"/>
          <w:sz w:val="24"/>
          <w:szCs w:val="24"/>
          <w:lang w:val="x-none" w:eastAsia="x-none" w:bidi="ar-SA"/>
        </w:rPr>
        <w:t>поставки</w:t>
      </w:r>
      <w:r>
        <w:rPr/>
        <w:t xml:space="preserve"> продукции и оказания сопутствующих услуг</w:t>
      </w:r>
      <w:bookmarkEnd w:id="27"/>
      <w:bookmarkEnd w:id="28"/>
    </w:p>
    <w:p>
      <w:pPr>
        <w:pStyle w:val="Heading3"/>
        <w:numPr>
          <w:ilvl w:val="0"/>
        </w:numPr>
        <w:tabs>
          <w:tab w:val="clear" w:pos="0"/>
        </w:tabs>
        <w:ind w:left="0" w:hanging="0"/>
        <w:rPr>
          <w:lang w:val="ru-RU"/>
        </w:rPr>
      </w:pPr>
      <w:bookmarkStart w:id="30" w:name="__RefHeading___Toc920034_3420070024"/>
      <w:bookmarkStart w:id="31" w:name="_Toc136869914"/>
      <w:bookmarkStart w:id="32" w:name="_Toc51339697"/>
      <w:bookmarkStart w:id="33" w:name="_Toc50125127"/>
      <w:bookmarkStart w:id="34" w:name="_Toc501251261"/>
      <w:bookmarkEnd w:id="30"/>
      <w:bookmarkEnd w:id="34"/>
      <w:r>
        <w:rPr/>
        <w:t xml:space="preserve">Таблица </w:t>
      </w:r>
      <w:r>
        <w:rPr>
          <w:lang w:val="ru-RU"/>
        </w:rPr>
        <w:t>2</w:t>
      </w:r>
      <w:r>
        <w:rPr/>
        <w:t>.</w:t>
      </w:r>
      <w:r>
        <w:rPr>
          <w:lang w:val="ru-RU"/>
        </w:rPr>
        <w:t>1</w:t>
      </w:r>
      <w:r>
        <w:rPr/>
        <w:t xml:space="preserve"> </w:t>
      </w:r>
      <w:bookmarkStart w:id="35" w:name="_Hlk50465284"/>
      <w:r>
        <w:rPr/>
        <w:t xml:space="preserve">Требования по срокам </w:t>
      </w:r>
      <w:bookmarkEnd w:id="32"/>
      <w:bookmarkEnd w:id="33"/>
      <w:bookmarkEnd w:id="35"/>
      <w:r>
        <w:rPr>
          <w:lang w:val="ru-RU"/>
        </w:rPr>
        <w:t>поставки продукции</w:t>
      </w:r>
      <w:bookmarkEnd w:id="31"/>
      <w:r>
        <w:rPr>
          <w:lang w:val="ru-RU"/>
        </w:rPr>
        <w:t xml:space="preserve"> </w:t>
      </w:r>
      <w:bookmarkEnd w:id="14"/>
    </w:p>
    <w:tbl>
      <w:tblPr>
        <w:tblW w:w="10305" w:type="dxa"/>
        <w:jc w:val="left"/>
        <w:tblInd w:w="3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4080"/>
        <w:gridCol w:w="3000"/>
        <w:gridCol w:w="2550"/>
      </w:tblGrid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ind w:left="360" w:right="0" w:hanging="360"/>
              <w:rPr/>
            </w:pPr>
            <w:r>
              <w:rPr/>
            </w:r>
          </w:p>
        </w:tc>
        <w:tc>
          <w:tcPr>
            <w:tcW w:w="4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Форсунка 3713974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позднее </w:t>
            </w:r>
            <w:r>
              <w:rPr>
                <w:sz w:val="24"/>
                <w:szCs w:val="24"/>
              </w:rPr>
              <w:t>60</w:t>
            </w:r>
            <w:r>
              <w:rPr>
                <w:sz w:val="24"/>
                <w:szCs w:val="24"/>
              </w:rPr>
              <w:t xml:space="preserve"> дней с даты подписания договора</w:t>
            </w:r>
          </w:p>
        </w:tc>
      </w:tr>
    </w:tbl>
    <w:p>
      <w:pPr>
        <w:sectPr>
          <w:headerReference w:type="default" r:id="rId2"/>
          <w:headerReference w:type="first" r:id="rId3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2"/>
        <w:numPr>
          <w:ilvl w:val="1"/>
          <w:numId w:val="3"/>
        </w:numPr>
        <w:rPr/>
      </w:pPr>
      <w:bookmarkStart w:id="36" w:name="__RefHeading___Toc920036_3420070024"/>
      <w:bookmarkStart w:id="37" w:name="_Toc51339698"/>
      <w:bookmarkStart w:id="38" w:name="_Toc136869915"/>
      <w:bookmarkStart w:id="39" w:name="_Toc75446581"/>
      <w:bookmarkStart w:id="40" w:name="_Toc46743511"/>
      <w:bookmarkEnd w:id="36"/>
      <w:r>
        <w:rPr/>
        <w:t xml:space="preserve">Требования к </w:t>
      </w:r>
      <w:bookmarkEnd w:id="40"/>
      <w:r>
        <w:rPr/>
        <w:t>качеству продукции</w:t>
      </w:r>
      <w:bookmarkEnd w:id="38"/>
      <w:bookmarkEnd w:id="39"/>
    </w:p>
    <w:p>
      <w:pPr>
        <w:pStyle w:val="Heading2"/>
        <w:numPr>
          <w:ilvl w:val="0"/>
        </w:numPr>
        <w:tabs>
          <w:tab w:val="clear" w:pos="0"/>
        </w:tabs>
        <w:ind w:left="0" w:hanging="0"/>
        <w:rPr/>
      </w:pPr>
      <w:bookmarkStart w:id="41" w:name="__RefHeading___Toc920038_3420070024"/>
      <w:bookmarkStart w:id="42" w:name="_Toc136869916"/>
      <w:bookmarkEnd w:id="41"/>
      <w:r>
        <w:rPr/>
        <w:t>Таблица </w:t>
      </w:r>
      <w:r>
        <w:rPr>
          <w:lang w:val="ru-RU"/>
        </w:rPr>
        <w:t>3</w:t>
      </w:r>
      <w:r>
        <w:rPr/>
        <w:t xml:space="preserve">. Требования к </w:t>
      </w:r>
      <w:r>
        <w:rPr>
          <w:lang w:val="ru-RU"/>
        </w:rPr>
        <w:t>продукции</w:t>
      </w:r>
      <w:bookmarkEnd w:id="42"/>
      <w:r>
        <w:rPr/>
        <w:t xml:space="preserve"> </w:t>
      </w:r>
      <w:bookmarkEnd w:id="37"/>
    </w:p>
    <w:p>
      <w:pPr>
        <w:pStyle w:val="Normal"/>
        <w:jc w:val="both"/>
        <w:rPr>
          <w:b w:val="false"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Наименование продукции (позиция №1 Таблицы 1.1): </w:t>
      </w:r>
      <w:r>
        <w:rPr>
          <w:rFonts w:eastAsia="Calibri"/>
          <w:sz w:val="24"/>
          <w:szCs w:val="24"/>
          <w:lang w:eastAsia="x-none"/>
        </w:rPr>
        <w:t>"</w:t>
      </w:r>
      <w:r>
        <w:rPr>
          <w:rFonts w:eastAsia="Calibri"/>
          <w:sz w:val="24"/>
          <w:szCs w:val="24"/>
          <w:lang w:eastAsia="x-none"/>
        </w:rPr>
        <w:t>Форсунки</w:t>
      </w:r>
      <w:r>
        <w:rPr>
          <w:rFonts w:eastAsia="Calibri"/>
          <w:sz w:val="24"/>
          <w:szCs w:val="24"/>
          <w:lang w:eastAsia="x-none"/>
        </w:rPr>
        <w:t xml:space="preserve"> к к технике PRINOTH RAPTOR-300 для нужд Западных электрических сетей"</w:t>
      </w:r>
    </w:p>
    <w:tbl>
      <w:tblPr>
        <w:tblW w:w="15315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2311"/>
        <w:gridCol w:w="4668"/>
        <w:gridCol w:w="3449"/>
        <w:gridCol w:w="2046"/>
        <w:gridCol w:w="1989"/>
      </w:tblGrid>
      <w:tr>
        <w:trPr/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3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46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5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19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3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6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9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ind w:left="360" w:right="0" w:hanging="360"/>
              <w:contextualSpacing/>
              <w:jc w:val="center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6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right="0" w:firstLine="142"/>
              <w:contextualSpacing/>
              <w:jc w:val="center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6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в отношении каждой позиции продукции представлены в Приложении № 1 к настоящим Техническим требованиям</w:t>
            </w: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ind w:left="360" w:right="0" w:hanging="360"/>
              <w:contextualSpacing/>
              <w:jc w:val="center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6979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4"/>
                <w:szCs w:val="24"/>
                <w:shd w:fill="FFFFFF" w:val="clear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34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0" w:right="0" w:hanging="0"/>
              <w:contextualSpacing/>
              <w:jc w:val="center"/>
              <w:rPr>
                <w:lang w:eastAsia="x-none"/>
              </w:rPr>
            </w:pPr>
            <w:r>
              <w:rPr>
                <w:rFonts w:cs="Times New Roman"/>
                <w:kern w:val="0"/>
                <w:lang w:val="ru-RU" w:eastAsia="x-none" w:bidi="ar-SA"/>
              </w:rPr>
              <w:t>2.1.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shd w:fill="FFFFFF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Гарантия</w:t>
            </w:r>
          </w:p>
        </w:tc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shd w:fill="FFFFFF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Соответствие качества Товара требованиям нормативно-технической документации в течение 24 месяцев с момента поставки на склад Покупателя</w:t>
            </w: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en-US" w:bidi="ar-SA"/>
              </w:rPr>
              <w:t>-</w:t>
            </w:r>
          </w:p>
        </w:tc>
        <w:tc>
          <w:tcPr>
            <w:tcW w:w="19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right="0" w:hanging="0"/>
              <w:jc w:val="left"/>
              <w:outlineLvl w:val="2"/>
              <w:rPr>
                <w:rFonts w:ascii="Times New Roman" w:hAnsi="Times New Roman" w:eastAsia="Times New Roman" w:cs="Times New Roman"/>
                <w:b w:val="false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kern w:val="0"/>
                <w:sz w:val="22"/>
                <w:szCs w:val="22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0" w:right="0" w:hanging="0"/>
              <w:contextualSpacing/>
              <w:jc w:val="center"/>
              <w:rPr>
                <w:lang w:eastAsia="x-none"/>
              </w:rPr>
            </w:pPr>
            <w:r>
              <w:rPr>
                <w:rFonts w:cs="Times New Roman"/>
                <w:kern w:val="0"/>
                <w:lang w:val="ru-RU" w:eastAsia="x-none" w:bidi="ar-SA"/>
              </w:rPr>
              <w:t>2.2.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shd w:fill="FFFFFF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Период изготовления</w:t>
            </w:r>
          </w:p>
        </w:tc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shd w:fill="FFFFFF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Продукция должна быть новой, изготовленной не ранее 2025 года, ранее не использованной</w:t>
            </w:r>
            <w:bookmarkStart w:id="43" w:name="_GoBack29"/>
            <w:bookmarkEnd w:id="43"/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en-US" w:bidi="ar-SA"/>
              </w:rPr>
              <w:t>-</w:t>
            </w:r>
          </w:p>
        </w:tc>
        <w:tc>
          <w:tcPr>
            <w:tcW w:w="19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right="0" w:hanging="0"/>
              <w:jc w:val="left"/>
              <w:outlineLvl w:val="2"/>
              <w:rPr>
                <w:rFonts w:ascii="Times New Roman" w:hAnsi="Times New Roman" w:eastAsia="Times New Roman" w:cs="Times New Roman"/>
                <w:b w:val="false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kern w:val="0"/>
                <w:sz w:val="22"/>
                <w:szCs w:val="22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ind w:left="360" w:right="0" w:hanging="360"/>
              <w:contextualSpacing/>
              <w:jc w:val="center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697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маркировке, упаковке, транспортировке,  перемещению, условиям хранения, приемке и испытаниям</w:t>
            </w:r>
          </w:p>
        </w:tc>
        <w:tc>
          <w:tcPr>
            <w:tcW w:w="34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right="0" w:firstLine="142"/>
              <w:contextualSpacing/>
              <w:jc w:val="center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Место поставки </w:t>
            </w:r>
            <w:r>
              <w:rPr>
                <w:rFonts w:eastAsia="Calibri" w:cs="Times New Roman"/>
                <w:bCs/>
                <w:iCs/>
                <w:kern w:val="0"/>
                <w:sz w:val="24"/>
                <w:szCs w:val="24"/>
                <w:lang w:val="ru-RU" w:eastAsia="en-US" w:bidi="ar-SA"/>
              </w:rPr>
              <w:t>позиции №1</w:t>
            </w:r>
            <w:r>
              <w:rPr>
                <w:rFonts w:eastAsia="Calibri" w:cs="Times New Roman"/>
                <w:b/>
                <w:bCs/>
                <w:i/>
                <w:iCs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/>
                <w:bCs/>
                <w:kern w:val="0"/>
                <w:sz w:val="24"/>
                <w:szCs w:val="24"/>
                <w:lang w:val="ru-RU" w:eastAsia="en-US" w:bidi="ar-SA"/>
              </w:rPr>
              <w:t>Таблицы 1.1 «Перечень и объем закупаемой продукции»</w:t>
            </w:r>
          </w:p>
        </w:tc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Западные электрические сети филиал ПАО "Якутскэнерго", 678174, Республика Саха (Якутия), г. Мирный, Ленинградский пр., 5/2</w:t>
            </w: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right="0" w:hanging="0"/>
              <w:jc w:val="left"/>
              <w:outlineLvl w:val="2"/>
              <w:rPr>
                <w:rFonts w:ascii="Times New Roman" w:hAnsi="Times New Roman"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right="0" w:firstLine="142"/>
              <w:contextualSpacing/>
              <w:jc w:val="center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Условия транспортирования</w:t>
            </w:r>
          </w:p>
        </w:tc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ГОСТ 15150-69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5(ОЖ4). Обоснование: транспортировка в район Крайнего Севера</w:t>
            </w: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right="0" w:hanging="0"/>
              <w:jc w:val="left"/>
              <w:outlineLvl w:val="2"/>
              <w:rPr>
                <w:rFonts w:ascii="Times New Roman" w:hAnsi="Times New Roman"/>
                <w:sz w:val="24"/>
                <w:szCs w:val="24"/>
              </w:rPr>
            </w:pPr>
            <w:bookmarkStart w:id="44" w:name="__RefHeading___Toc549288_890196791"/>
            <w:bookmarkStart w:id="45" w:name="_Toc136869917"/>
            <w:bookmarkEnd w:id="44"/>
            <w:r>
              <w:rPr>
                <w:rFonts w:eastAsia="Times New Roman" w:cs="Times New Roman"/>
                <w:b w:val="false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  <w:bookmarkEnd w:id="45"/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right="0" w:hanging="0"/>
              <w:jc w:val="left"/>
              <w:outlineLvl w:val="2"/>
              <w:rPr>
                <w:rFonts w:ascii="Times New Roman" w:hAnsi="Times New Roman"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 w:right="0" w:hanging="0"/>
              <w:contextualSpacing/>
              <w:jc w:val="center"/>
              <w:rPr>
                <w:b/>
                <w:bCs/>
                <w:lang w:eastAsia="x-none"/>
              </w:rPr>
            </w:pPr>
            <w:r>
              <w:rPr>
                <w:rFonts w:cs="Times New Roman"/>
                <w:b/>
                <w:bCs/>
                <w:kern w:val="0"/>
                <w:lang w:val="ru-RU" w:eastAsia="x-none" w:bidi="ar-SA"/>
              </w:rPr>
              <w:t>4.</w:t>
            </w:r>
          </w:p>
        </w:tc>
        <w:tc>
          <w:tcPr>
            <w:tcW w:w="697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34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right="0" w:hanging="0"/>
              <w:contextualSpacing/>
              <w:jc w:val="center"/>
              <w:outlineLvl w:val="2"/>
              <w:rPr>
                <w:b/>
                <w:sz w:val="24"/>
                <w:szCs w:val="24"/>
              </w:rPr>
            </w:pPr>
            <w:bookmarkStart w:id="46" w:name="__RefHeading___Toc549290_890196791"/>
            <w:bookmarkEnd w:id="46"/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20" w:after="0"/>
              <w:ind w:left="0" w:right="0" w:hanging="0"/>
              <w:jc w:val="center"/>
              <w:outlineLvl w:val="2"/>
              <w:rPr>
                <w:b/>
                <w:sz w:val="22"/>
                <w:szCs w:val="22"/>
              </w:rPr>
            </w:pPr>
            <w:bookmarkStart w:id="47" w:name="__RefHeading___Toc920040_3420070024"/>
            <w:bookmarkEnd w:id="47"/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 w:right="0" w:hanging="0"/>
              <w:contextualSpacing/>
              <w:jc w:val="center"/>
              <w:rPr>
                <w:lang w:eastAsia="x-none"/>
              </w:rPr>
            </w:pPr>
            <w:r>
              <w:rPr>
                <w:rFonts w:cs="Times New Roman"/>
                <w:kern w:val="0"/>
                <w:lang w:val="ru-RU" w:eastAsia="x-none" w:bidi="ar-SA"/>
              </w:rPr>
              <w:t>4.1.</w:t>
            </w:r>
          </w:p>
        </w:tc>
        <w:tc>
          <w:tcPr>
            <w:tcW w:w="2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bCs/>
                <w:kern w:val="0"/>
                <w:sz w:val="24"/>
                <w:szCs w:val="24"/>
                <w:lang w:val="ru-RU" w:eastAsia="en-US" w:bidi="ar-SA"/>
              </w:rPr>
              <w:t>Запчасти позиции №1</w:t>
              <w:br/>
              <w:t>Таблицы 1.1 «Перечень и объем закупаемого товара»</w:t>
            </w:r>
          </w:p>
        </w:tc>
        <w:tc>
          <w:tcPr>
            <w:tcW w:w="4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bCs/>
                <w:kern w:val="0"/>
                <w:sz w:val="24"/>
                <w:szCs w:val="24"/>
                <w:lang w:val="ru-RU" w:eastAsia="en-US" w:bidi="ar-SA"/>
              </w:rPr>
              <w:t>Продукция должна соответствовать действующим в России стандартам (ГОСТ), техническим условиям (ТУ) и иметь сертификат соответствия обязательного или добровольного сертифицирования, либо информационное письмо о том, что продукция, указанная в договоре, не подлежит обязательной сертификации</w:t>
            </w:r>
          </w:p>
        </w:tc>
        <w:tc>
          <w:tcPr>
            <w:tcW w:w="34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eastAsia="Calibri" w:cs="Arial"/>
                <w:sz w:val="24"/>
                <w:szCs w:val="24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i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-</w:t>
            </w:r>
          </w:p>
        </w:tc>
        <w:tc>
          <w:tcPr>
            <w:tcW w:w="19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 w:right="0" w:hanging="0"/>
              <w:contextualSpacing/>
              <w:jc w:val="center"/>
              <w:rPr>
                <w:b/>
                <w:bCs/>
                <w:lang w:eastAsia="x-none"/>
              </w:rPr>
            </w:pPr>
            <w:r>
              <w:rPr>
                <w:rFonts w:cs="Times New Roman"/>
                <w:b/>
                <w:bCs/>
                <w:kern w:val="0"/>
                <w:lang w:val="ru-RU" w:eastAsia="x-none" w:bidi="ar-SA"/>
              </w:rPr>
              <w:t>5.</w:t>
            </w:r>
          </w:p>
        </w:tc>
        <w:tc>
          <w:tcPr>
            <w:tcW w:w="6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b/>
                <w:iCs/>
                <w:kern w:val="0"/>
                <w:sz w:val="24"/>
                <w:szCs w:val="24"/>
                <w:lang w:val="ru-RU" w:eastAsia="ru-RU" w:bidi="ar-SA"/>
              </w:rPr>
              <w:t>Предоставление информации и документов, подтверждающими страну происхождения товара для целей исполнения Постановления Правительства РФ от 23.12.2024 №1875</w:t>
            </w: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i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9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right="0" w:hanging="0"/>
              <w:contextualSpacing/>
              <w:jc w:val="center"/>
              <w:outlineLvl w:val="2"/>
              <w:rPr>
                <w:rFonts w:eastAsia="Calibri" w:cs="Arial"/>
                <w:sz w:val="24"/>
                <w:szCs w:val="24"/>
              </w:rPr>
            </w:pPr>
            <w:bookmarkStart w:id="48" w:name="__RefHeading___Toc920042_3420070024"/>
            <w:bookmarkEnd w:id="48"/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 w:right="0" w:hanging="0"/>
              <w:contextualSpacing/>
              <w:jc w:val="center"/>
              <w:rPr>
                <w:lang w:eastAsia="x-none"/>
              </w:rPr>
            </w:pPr>
            <w:r>
              <w:rPr>
                <w:rFonts w:cs="Times New Roman"/>
                <w:kern w:val="0"/>
                <w:lang w:val="ru-RU" w:eastAsia="x-none" w:bidi="ar-SA"/>
              </w:rPr>
              <w:t>5.1.</w:t>
            </w:r>
          </w:p>
        </w:tc>
        <w:tc>
          <w:tcPr>
            <w:tcW w:w="6979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bCs/>
                <w:kern w:val="0"/>
                <w:sz w:val="24"/>
                <w:szCs w:val="24"/>
                <w:lang w:val="ru-RU" w:eastAsia="en-US" w:bidi="ar-SA"/>
              </w:rPr>
              <w:t>Запчасти позиции №1</w:t>
              <w:br/>
              <w:t>Таблицы 1.1 «Перечень и объем закупаемого товара»</w:t>
            </w:r>
          </w:p>
        </w:tc>
        <w:tc>
          <w:tcPr>
            <w:tcW w:w="344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Номер реестровой записи из реестра российской промышленной продукции, содержащей в том числе: - 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№719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№719 для целей осуществления закупок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Номер реестровой записи из евразийского реестра промышленных товаров, содержащей в том числе: - информацию о совокупном количестве баллов за выполнение (освоение) на территории ЕАЭС соответствующих операций (условий) (если в отношении такого товара правом ЕАЭС за выполнение (освоение) на территории ЕАЭС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ЕАЭС</w:t>
            </w:r>
          </w:p>
        </w:tc>
        <w:tc>
          <w:tcPr>
            <w:tcW w:w="2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Указание наименования реестра и номер реестровой записи в Форме Коммерческого предложения и Структуры НМЦ</w:t>
            </w:r>
          </w:p>
        </w:tc>
        <w:tc>
          <w:tcPr>
            <w:tcW w:w="19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Требуется в составе заявки представить заполненную Форму Коммерческого предложения и Структуры НМЦ в части столбцов раздела «Коммерческое предложение».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rFonts w:eastAsia="Calibri"/>
          <w:b/>
          <w:iCs/>
          <w:sz w:val="22"/>
          <w:lang w:eastAsia="x-none"/>
        </w:rPr>
      </w:pPr>
      <w:r>
        <w:rPr>
          <w:rFonts w:eastAsia="Calibri"/>
          <w:b/>
          <w:iCs/>
          <w:sz w:val="22"/>
          <w:lang w:eastAsia="x-none"/>
        </w:rPr>
      </w:r>
    </w:p>
    <w:p>
      <w:pPr>
        <w:pStyle w:val="Normal"/>
        <w:rPr>
          <w:rFonts w:eastAsia="Calibri"/>
          <w:b/>
          <w:iCs/>
          <w:sz w:val="22"/>
          <w:lang w:eastAsia="x-none"/>
        </w:rPr>
      </w:pPr>
      <w:r>
        <w:rPr>
          <w:rFonts w:eastAsia="Calibri"/>
          <w:b/>
          <w:iCs/>
          <w:sz w:val="22"/>
          <w:lang w:eastAsia="x-none"/>
        </w:rPr>
      </w:r>
    </w:p>
    <w:p>
      <w:pPr>
        <w:pStyle w:val="Normal"/>
        <w:rPr>
          <w:rFonts w:eastAsia="Calibri"/>
          <w:b/>
          <w:iCs/>
          <w:sz w:val="22"/>
          <w:lang w:eastAsia="x-none"/>
        </w:rPr>
      </w:pPr>
      <w:r>
        <w:rPr/>
      </w:r>
    </w:p>
    <w:p>
      <w:pPr>
        <w:pStyle w:val="Normal"/>
        <w:rPr>
          <w:rFonts w:eastAsia="Calibri"/>
          <w:b/>
          <w:iCs/>
          <w:lang w:val="x-none" w:eastAsia="x-none"/>
        </w:rPr>
      </w:pPr>
      <w:r>
        <w:rPr>
          <w:rFonts w:eastAsia="Calibri"/>
          <w:b/>
          <w:iCs/>
          <w:lang w:val="x-none" w:eastAsia="x-none"/>
        </w:rPr>
      </w:r>
    </w:p>
    <w:p>
      <w:pPr>
        <w:pStyle w:val="Normal"/>
        <w:rPr>
          <w:rFonts w:eastAsia="Calibri"/>
          <w:b/>
          <w:iCs/>
          <w:lang w:val="x-none" w:eastAsia="x-none"/>
        </w:rPr>
      </w:pPr>
      <w:r>
        <w:rPr>
          <w:rFonts w:eastAsia="Calibri"/>
          <w:b/>
          <w:iCs/>
          <w:lang w:val="x-none" w:eastAsia="x-none"/>
        </w:rPr>
      </w:r>
    </w:p>
    <w:p>
      <w:pPr>
        <w:pStyle w:val="Normal"/>
        <w:rPr>
          <w:rFonts w:eastAsia="Calibri"/>
          <w:b/>
          <w:iCs/>
          <w:lang w:val="x-none" w:eastAsia="x-none"/>
        </w:rPr>
      </w:pPr>
      <w:r>
        <w:rPr>
          <w:rFonts w:eastAsia="Calibri"/>
          <w:b/>
          <w:iCs/>
          <w:lang w:val="x-none" w:eastAsia="x-none"/>
        </w:rPr>
      </w:r>
    </w:p>
    <w:p>
      <w:pPr>
        <w:pStyle w:val="Normal"/>
        <w:rPr>
          <w:rFonts w:eastAsia="Calibri"/>
          <w:b/>
          <w:iCs/>
          <w:lang w:val="x-none" w:eastAsia="x-none"/>
        </w:rPr>
      </w:pPr>
      <w:r>
        <w:rPr>
          <w:rFonts w:eastAsia="Calibri"/>
          <w:b/>
          <w:iCs/>
          <w:lang w:val="x-none" w:eastAsia="x-none"/>
        </w:rPr>
      </w:r>
    </w:p>
    <w:p>
      <w:pPr>
        <w:pStyle w:val="Normal"/>
        <w:rPr>
          <w:rFonts w:eastAsia="Calibri"/>
          <w:b/>
          <w:iCs/>
          <w:lang w:val="x-none" w:eastAsia="x-none"/>
        </w:rPr>
      </w:pPr>
      <w:r>
        <w:rPr>
          <w:rFonts w:eastAsia="Calibri"/>
          <w:b/>
          <w:iCs/>
          <w:lang w:val="x-none" w:eastAsia="x-none"/>
        </w:rPr>
      </w:r>
    </w:p>
    <w:p>
      <w:pPr>
        <w:pStyle w:val="Normal"/>
        <w:rPr>
          <w:rFonts w:eastAsia="Calibri"/>
          <w:b/>
          <w:iCs/>
          <w:lang w:val="x-none" w:eastAsia="x-none"/>
        </w:rPr>
      </w:pPr>
      <w:r>
        <w:rPr>
          <w:rFonts w:eastAsia="Calibri"/>
          <w:b/>
          <w:iCs/>
          <w:lang w:val="x-none" w:eastAsia="x-none"/>
        </w:rPr>
      </w:r>
    </w:p>
    <w:p>
      <w:pPr>
        <w:pStyle w:val="Normal"/>
        <w:rPr>
          <w:rFonts w:eastAsia="Calibri"/>
          <w:b/>
          <w:iCs/>
          <w:lang w:val="x-none" w:eastAsia="x-none"/>
        </w:rPr>
      </w:pPr>
      <w:r>
        <w:rPr>
          <w:rFonts w:eastAsia="Calibri"/>
          <w:b/>
          <w:iCs/>
          <w:lang w:val="x-none" w:eastAsia="x-none"/>
        </w:rPr>
      </w:r>
    </w:p>
    <w:p>
      <w:pPr>
        <w:pStyle w:val="Normal"/>
        <w:rPr>
          <w:rFonts w:eastAsia="Calibri"/>
          <w:b/>
          <w:iCs/>
          <w:lang w:val="x-none" w:eastAsia="x-none"/>
        </w:rPr>
      </w:pPr>
      <w:r>
        <w:rPr>
          <w:rFonts w:eastAsia="Calibri"/>
          <w:b/>
          <w:iCs/>
          <w:lang w:val="x-none" w:eastAsia="x-none"/>
        </w:rPr>
      </w:r>
    </w:p>
    <w:p>
      <w:pPr>
        <w:pStyle w:val="Normal"/>
        <w:rPr>
          <w:rFonts w:eastAsia="Calibri"/>
          <w:b/>
          <w:iCs/>
          <w:lang w:val="x-none" w:eastAsia="x-none"/>
        </w:rPr>
      </w:pPr>
      <w:r>
        <w:rPr>
          <w:rFonts w:eastAsia="Calibri"/>
          <w:b/>
          <w:iCs/>
          <w:lang w:val="x-none" w:eastAsia="x-none"/>
        </w:rPr>
      </w:r>
    </w:p>
    <w:p>
      <w:pPr>
        <w:pStyle w:val="Normal"/>
        <w:spacing w:before="0" w:after="12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Приложение №1 к Техническим требованиям</w:t>
      </w:r>
    </w:p>
    <w:p>
      <w:pPr>
        <w:pStyle w:val="Heading3"/>
        <w:numPr>
          <w:ilvl w:val="0"/>
        </w:numPr>
        <w:tabs>
          <w:tab w:val="clear" w:pos="0"/>
        </w:tabs>
        <w:ind w:left="0" w:hanging="0"/>
        <w:rPr/>
      </w:pPr>
      <w:bookmarkStart w:id="49" w:name="__RefHeading___Toc920044_3420070024"/>
      <w:bookmarkStart w:id="50" w:name="_Toc136869918"/>
      <w:bookmarkEnd w:id="49"/>
      <w:r>
        <w:rPr/>
        <w:t>Таблица 3.1. Требования к продукции (индивидуальные требования по каждой позиции перечня продукции)</w:t>
      </w:r>
      <w:bookmarkEnd w:id="50"/>
    </w:p>
    <w:p>
      <w:pPr>
        <w:pStyle w:val="Normal"/>
        <w:jc w:val="both"/>
        <w:rPr>
          <w:b w:val="false"/>
          <w:iCs/>
          <w:sz w:val="24"/>
          <w:szCs w:val="24"/>
        </w:rPr>
      </w:pPr>
      <w:r>
        <w:rPr>
          <w:b/>
          <w:bCs/>
          <w:sz w:val="24"/>
          <w:szCs w:val="24"/>
        </w:rPr>
        <w:t xml:space="preserve">Наименование продукции: </w:t>
      </w:r>
      <w:r>
        <w:rPr>
          <w:rStyle w:val="Style7"/>
          <w:rFonts w:eastAsia="Calibri"/>
          <w:b w:val="false"/>
          <w:bCs/>
          <w:i w:val="false"/>
          <w:sz w:val="24"/>
          <w:szCs w:val="24"/>
          <w:shd w:fill="auto" w:val="clear"/>
          <w:lang w:eastAsia="x-none"/>
        </w:rPr>
        <w:t>"</w:t>
      </w:r>
      <w:r>
        <w:rPr>
          <w:rStyle w:val="Style7"/>
          <w:rFonts w:eastAsia="Calibri"/>
          <w:b w:val="false"/>
          <w:bCs/>
          <w:i w:val="false"/>
          <w:sz w:val="24"/>
          <w:szCs w:val="24"/>
          <w:shd w:fill="auto" w:val="clear"/>
          <w:lang w:eastAsia="x-none"/>
        </w:rPr>
        <w:t>Форсунки</w:t>
      </w:r>
      <w:r>
        <w:rPr>
          <w:rStyle w:val="Style7"/>
          <w:rFonts w:eastAsia="Calibri"/>
          <w:b w:val="false"/>
          <w:i w:val="false"/>
          <w:sz w:val="24"/>
          <w:szCs w:val="24"/>
          <w:shd w:fill="auto" w:val="clear"/>
          <w:lang w:eastAsia="x-none"/>
        </w:rPr>
        <w:t xml:space="preserve"> к к технике PRINOTH RAPTOR-300 для нужд Западных электрических сетей</w:t>
      </w:r>
      <w:r>
        <w:rPr>
          <w:rStyle w:val="Style7"/>
          <w:rFonts w:eastAsia="Calibri"/>
          <w:b w:val="false"/>
          <w:bCs/>
          <w:i w:val="false"/>
          <w:sz w:val="24"/>
          <w:szCs w:val="24"/>
          <w:shd w:fill="auto" w:val="clear"/>
          <w:lang w:eastAsia="x-none"/>
        </w:rPr>
        <w:t>"</w:t>
      </w:r>
    </w:p>
    <w:tbl>
      <w:tblPr>
        <w:tblW w:w="1558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6"/>
        <w:gridCol w:w="1522"/>
        <w:gridCol w:w="2522"/>
        <w:gridCol w:w="960"/>
        <w:gridCol w:w="2325"/>
        <w:gridCol w:w="1862"/>
        <w:gridCol w:w="1711"/>
        <w:gridCol w:w="899"/>
        <w:gridCol w:w="1984"/>
        <w:gridCol w:w="1191"/>
      </w:tblGrid>
      <w:tr>
        <w:trPr>
          <w:trHeight w:val="311" w:hRule="atLeast"/>
        </w:trPr>
        <w:tc>
          <w:tcPr>
            <w:tcW w:w="6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b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Arial"/>
                <w:b/>
                <w:kern w:val="0"/>
                <w:sz w:val="22"/>
                <w:szCs w:val="22"/>
                <w:lang w:val="ru-RU" w:eastAsia="en-US" w:bidi="ar-SA"/>
              </w:rPr>
              <w:t>п/п</w:t>
            </w:r>
          </w:p>
        </w:tc>
        <w:tc>
          <w:tcPr>
            <w:tcW w:w="15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b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Arial"/>
                <w:b/>
                <w:kern w:val="0"/>
                <w:sz w:val="22"/>
                <w:szCs w:val="22"/>
                <w:lang w:val="ru-RU" w:eastAsia="en-US" w:bidi="ar-SA"/>
              </w:rPr>
              <w:t xml:space="preserve">позиции </w:t>
              <w:br/>
              <w:t>Таблицы 1.1. «Перечень и объем закупаемой продукции»</w:t>
            </w:r>
          </w:p>
        </w:tc>
        <w:tc>
          <w:tcPr>
            <w:tcW w:w="25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b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kern w:val="0"/>
                <w:sz w:val="22"/>
                <w:szCs w:val="22"/>
                <w:lang w:val="ru-RU" w:eastAsia="en-US" w:bidi="ar-SA"/>
              </w:rPr>
              <w:t>Наименование продукции</w:t>
            </w:r>
          </w:p>
        </w:tc>
        <w:tc>
          <w:tcPr>
            <w:tcW w:w="51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b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kern w:val="0"/>
                <w:sz w:val="22"/>
                <w:szCs w:val="22"/>
                <w:lang w:val="ru-RU" w:eastAsia="en-US" w:bidi="ar-SA"/>
              </w:rPr>
              <w:t>Требования заказчика *</w:t>
            </w:r>
          </w:p>
        </w:tc>
        <w:tc>
          <w:tcPr>
            <w:tcW w:w="57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b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kern w:val="0"/>
                <w:sz w:val="22"/>
                <w:szCs w:val="22"/>
                <w:lang w:val="ru-RU" w:eastAsia="en-US" w:bidi="ar-SA"/>
              </w:rPr>
              <w:t>Предложения участника**</w:t>
            </w:r>
          </w:p>
        </w:tc>
      </w:tr>
      <w:tr>
        <w:trPr>
          <w:trHeight w:val="726" w:hRule="atLeast"/>
        </w:trPr>
        <w:tc>
          <w:tcPr>
            <w:tcW w:w="6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5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5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b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kern w:val="0"/>
                <w:sz w:val="22"/>
                <w:szCs w:val="22"/>
                <w:lang w:val="ru-RU" w:eastAsia="en-US" w:bidi="ar-SA"/>
              </w:rPr>
              <w:t>ГОСТ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b/>
                <w:kern w:val="0"/>
                <w:sz w:val="22"/>
                <w:szCs w:val="22"/>
                <w:shd w:fill="auto" w:val="clear"/>
                <w:lang w:val="ru-RU" w:eastAsia="en-US" w:bidi="ar-SA"/>
              </w:rPr>
            </w:pPr>
            <w:r>
              <w:rPr>
                <w:rFonts w:eastAsia="Calibri" w:cs="Arial"/>
                <w:b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Технические и функциональные характеристики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b/>
                <w:bCs/>
                <w:kern w:val="0"/>
                <w:sz w:val="22"/>
                <w:szCs w:val="22"/>
                <w:shd w:fill="auto" w:val="clear"/>
                <w:lang w:val="ru-RU" w:eastAsia="en-US" w:bidi="ar-SA"/>
              </w:rPr>
            </w:pPr>
            <w:r>
              <w:rPr>
                <w:rFonts w:eastAsia="Calibri" w:cs="Arial"/>
                <w:b/>
                <w:bCs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(параметры эквивалентности)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b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kern w:val="0"/>
                <w:sz w:val="22"/>
                <w:szCs w:val="22"/>
                <w:lang w:val="ru-RU" w:eastAsia="en-US" w:bidi="ar-SA"/>
              </w:rPr>
              <w:t>Место поставки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b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kern w:val="0"/>
                <w:sz w:val="22"/>
                <w:szCs w:val="22"/>
                <w:lang w:val="ru-RU" w:eastAsia="en-US" w:bidi="ar-SA"/>
              </w:rPr>
              <w:t>Наименование продукции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b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kern w:val="0"/>
                <w:sz w:val="22"/>
                <w:szCs w:val="22"/>
                <w:lang w:val="ru-RU" w:eastAsia="en-US" w:bidi="ar-SA"/>
              </w:rPr>
              <w:t>ГОСТ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b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kern w:val="0"/>
                <w:sz w:val="22"/>
                <w:szCs w:val="22"/>
                <w:lang w:val="ru-RU" w:eastAsia="en-US" w:bidi="ar-SA"/>
              </w:rPr>
              <w:t>Технические и функциональные характеристики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b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kern w:val="0"/>
                <w:sz w:val="22"/>
                <w:szCs w:val="22"/>
                <w:lang w:val="ru-RU" w:eastAsia="en-US" w:bidi="ar-SA"/>
              </w:rPr>
              <w:t>Место поставки</w:t>
            </w:r>
          </w:p>
        </w:tc>
      </w:tr>
      <w:tr>
        <w:trPr>
          <w:trHeight w:val="223" w:hRule="atLeast"/>
        </w:trPr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b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b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kern w:val="0"/>
                <w:sz w:val="22"/>
                <w:szCs w:val="22"/>
                <w:lang w:val="ru-RU" w:eastAsia="en-US" w:bidi="ar-SA"/>
              </w:rPr>
              <w:t>2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b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b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kern w:val="0"/>
                <w:sz w:val="22"/>
                <w:szCs w:val="22"/>
                <w:lang w:val="ru-RU" w:eastAsia="en-US" w:bidi="ar-SA"/>
              </w:rPr>
              <w:t>4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b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b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kern w:val="0"/>
                <w:sz w:val="22"/>
                <w:szCs w:val="22"/>
                <w:lang w:val="ru-RU" w:eastAsia="en-US" w:bidi="ar-SA"/>
              </w:rPr>
              <w:t>6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b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kern w:val="0"/>
                <w:sz w:val="22"/>
                <w:szCs w:val="22"/>
                <w:lang w:val="ru-RU" w:eastAsia="en-US" w:bidi="ar-SA"/>
              </w:rPr>
              <w:t>7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b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kern w:val="0"/>
                <w:sz w:val="22"/>
                <w:szCs w:val="22"/>
                <w:lang w:val="ru-RU" w:eastAsia="en-US" w:bidi="ar-SA"/>
              </w:rPr>
              <w:t>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b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kern w:val="0"/>
                <w:sz w:val="22"/>
                <w:szCs w:val="22"/>
                <w:lang w:val="ru-RU" w:eastAsia="en-US" w:bidi="ar-SA"/>
              </w:rPr>
              <w:t>9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b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</w:tr>
      <w:tr>
        <w:trPr/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ind w:left="0" w:right="57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/>
                <w:iCs/>
                <w:kern w:val="0"/>
                <w:sz w:val="24"/>
                <w:szCs w:val="24"/>
                <w:lang w:val="ru-RU" w:eastAsia="en-US" w:bidi="ar-SA"/>
              </w:rPr>
              <w:t>Позиция 1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eastAsia="en-US" w:bidi="ar-SA"/>
              </w:rPr>
              <w:t>Форсунка 3713974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sz w:val="24"/>
                <w:szCs w:val="24"/>
              </w:rPr>
            </w:pPr>
            <w:r>
              <w:rPr>
                <w:rFonts w:eastAsia="Calibri" w:cs="Arial"/>
                <w:iCs/>
                <w:sz w:val="24"/>
                <w:szCs w:val="24"/>
              </w:rPr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Style w:val="Strong"/>
                <w:rFonts w:eastAsia="Calibri"/>
                <w:kern w:val="0"/>
                <w:sz w:val="24"/>
                <w:szCs w:val="24"/>
                <w:lang w:val="ru-RU" w:eastAsia="en-US" w:bidi="ar-SA"/>
              </w:rPr>
              <w:t>Тип:</w:t>
            </w:r>
            <w:r>
              <w:rPr>
                <w:rFonts w:eastAsia="Calibri"/>
                <w:kern w:val="0"/>
                <w:sz w:val="24"/>
                <w:szCs w:val="24"/>
                <w:lang w:val="ru-RU" w:eastAsia="en-US" w:bidi="ar-SA"/>
              </w:rPr>
              <w:t> электромагнитный инжектор системы Common Rail (CR) с общей топливораспределительной рампой.</w:t>
            </w:r>
          </w:p>
          <w:p>
            <w:pPr>
              <w:pStyle w:val="BodyText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0" w:leader="none"/>
              </w:tabs>
              <w:spacing w:before="0" w:after="120"/>
              <w:ind w:left="0" w:right="0" w:hanging="0"/>
              <w:rPr/>
            </w:pPr>
            <w:r>
              <w:rPr>
                <w:rStyle w:val="Strong"/>
                <w:sz w:val="24"/>
                <w:szCs w:val="24"/>
              </w:rPr>
              <w:t>Управление:</w:t>
            </w:r>
            <w:r>
              <w:rPr>
                <w:sz w:val="24"/>
                <w:szCs w:val="24"/>
              </w:rPr>
              <w:t> электронное, через блок управления двигателем (ECU), с использованием соленоида. </w:t>
            </w:r>
          </w:p>
          <w:p>
            <w:pPr>
              <w:pStyle w:val="BodyText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0" w:leader="none"/>
              </w:tabs>
              <w:spacing w:before="0" w:after="120"/>
              <w:ind w:left="0" w:right="0" w:hanging="0"/>
              <w:rPr/>
            </w:pPr>
            <w:r>
              <w:rPr>
                <w:rStyle w:val="Strong"/>
                <w:sz w:val="24"/>
                <w:szCs w:val="24"/>
              </w:rPr>
              <w:t>Рабочее давление:</w:t>
            </w:r>
            <w:r>
              <w:rPr>
                <w:sz w:val="24"/>
                <w:szCs w:val="24"/>
              </w:rPr>
              <w:t> ориентировочно до </w:t>
            </w:r>
            <w:r>
              <w:rPr>
                <w:rStyle w:val="Strong"/>
                <w:sz w:val="24"/>
                <w:szCs w:val="24"/>
              </w:rPr>
              <w:t>1800 бар</w:t>
            </w:r>
            <w:r>
              <w:rPr>
                <w:sz w:val="24"/>
                <w:szCs w:val="24"/>
              </w:rPr>
              <w:t>.</w:t>
            </w:r>
          </w:p>
          <w:p>
            <w:pPr>
              <w:pStyle w:val="BodyText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0" w:leader="none"/>
              </w:tabs>
              <w:spacing w:before="0" w:after="120"/>
              <w:ind w:left="0" w:right="0" w:hanging="0"/>
              <w:rPr/>
            </w:pPr>
            <w:r>
              <w:rPr>
                <w:rStyle w:val="Strong"/>
                <w:b/>
                <w:bCs/>
                <w:i/>
                <w:iCs/>
                <w:sz w:val="24"/>
                <w:szCs w:val="24"/>
              </w:rPr>
              <w:t>Монтаж</w:t>
            </w:r>
            <w:r>
              <w:rPr>
                <w:rStyle w:val="Strong"/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 стандартное седло CR-форсунки с использованием медной уплотнительной шайбы. </w:t>
            </w:r>
          </w:p>
          <w:p>
            <w:pPr>
              <w:pStyle w:val="BodyText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0" w:leader="none"/>
              </w:tabs>
              <w:spacing w:before="0" w:after="120"/>
              <w:ind w:left="0" w:right="0" w:hanging="0"/>
              <w:rPr/>
            </w:pPr>
            <w:r>
              <w:rPr>
                <w:rStyle w:val="Strong"/>
                <w:sz w:val="24"/>
                <w:szCs w:val="24"/>
              </w:rPr>
              <w:t>Габариты (Д×Ш×В):</w:t>
            </w:r>
            <w:r>
              <w:rPr>
                <w:sz w:val="24"/>
                <w:szCs w:val="24"/>
              </w:rPr>
              <w:t> примерно </w:t>
            </w:r>
            <w:r>
              <w:rPr>
                <w:rStyle w:val="Strong"/>
                <w:sz w:val="24"/>
                <w:szCs w:val="24"/>
              </w:rPr>
              <w:t>312,4 × 121,9 × 121,9 мм</w:t>
            </w:r>
            <w:r>
              <w:rPr>
                <w:sz w:val="24"/>
                <w:szCs w:val="24"/>
              </w:rPr>
              <w:t>.</w:t>
            </w:r>
          </w:p>
          <w:p>
            <w:pPr>
              <w:pStyle w:val="BodyText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0" w:leader="none"/>
              </w:tabs>
              <w:spacing w:before="0" w:after="120"/>
              <w:ind w:left="0" w:right="0" w:hanging="0"/>
              <w:rPr/>
            </w:pPr>
            <w:r>
              <w:rPr>
                <w:rStyle w:val="Strong"/>
                <w:sz w:val="24"/>
                <w:szCs w:val="24"/>
              </w:rPr>
              <w:t>Вес:</w:t>
            </w:r>
            <w:r>
              <w:rPr>
                <w:sz w:val="24"/>
                <w:szCs w:val="24"/>
              </w:rPr>
              <w:t> около </w:t>
            </w:r>
            <w:r>
              <w:rPr>
                <w:rStyle w:val="Strong"/>
                <w:sz w:val="24"/>
                <w:szCs w:val="24"/>
              </w:rPr>
              <w:t xml:space="preserve">0,38 кг </w:t>
            </w:r>
          </w:p>
          <w:p>
            <w:pPr>
              <w:pStyle w:val="BodyText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0" w:leader="none"/>
              </w:tabs>
              <w:spacing w:before="0" w:after="120"/>
              <w:ind w:left="0" w:right="0" w:hanging="0"/>
              <w:rPr/>
            </w:pPr>
            <w:r>
              <w:rPr>
                <w:rStyle w:val="Strong"/>
                <w:sz w:val="24"/>
                <w:szCs w:val="24"/>
              </w:rPr>
              <w:t>Форсунка разработана для техники с дизельными двигателями Caterpillar C7.1</w:t>
            </w:r>
          </w:p>
          <w:p>
            <w:pPr>
              <w:pStyle w:val="Heading2"/>
              <w:widowControl w:val="false"/>
              <w:numPr>
                <w:ilvl w:val="0"/>
              </w:numPr>
              <w:suppressAutoHyphens w:val="true"/>
              <w:spacing w:before="0" w:after="0"/>
              <w:ind w:left="0" w:hanging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eastAsia="en-US" w:bidi="ar-SA"/>
              </w:rPr>
              <w:t>Важное</w:t>
            </w:r>
          </w:p>
          <w:p>
            <w:pPr>
              <w:pStyle w:val="BodyText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0" w:leader="none"/>
              </w:tabs>
              <w:spacing w:before="0" w:after="0"/>
              <w:ind w:left="120" w:right="0" w:hanging="0"/>
              <w:rPr/>
            </w:pPr>
            <w:r>
              <w:rPr>
                <w:sz w:val="24"/>
                <w:szCs w:val="24"/>
              </w:rPr>
              <w:t>При покупке  чтобы это была именно оригинальная деталь Caterpillar, а не аналог от другого производителя</w:t>
            </w:r>
            <w:r>
              <w:rPr/>
              <w:t>.</w:t>
            </w:r>
          </w:p>
          <w:p>
            <w:pPr>
              <w:pStyle w:val="Style34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ru-RU" w:eastAsia="en-US" w:bidi="ar-SA"/>
              </w:rPr>
              <w:t>678174, Республика Саха (Якутия), г. Мирный, Ленинградский пр-т, 5/2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sz w:val="24"/>
                <w:szCs w:val="24"/>
              </w:rPr>
            </w:pPr>
            <w:r>
              <w:rPr>
                <w:rFonts w:eastAsia="Calibri" w:cs="Arial"/>
                <w:iCs/>
                <w:sz w:val="24"/>
                <w:szCs w:val="24"/>
              </w:rPr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sz w:val="24"/>
                <w:szCs w:val="24"/>
              </w:rPr>
            </w:pPr>
            <w:r>
              <w:rPr>
                <w:rFonts w:eastAsia="Calibri" w:cs="Arial"/>
                <w:iCs/>
                <w:sz w:val="24"/>
                <w:szCs w:val="24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sz w:val="24"/>
                <w:szCs w:val="24"/>
              </w:rPr>
            </w:pPr>
            <w:r>
              <w:rPr>
                <w:rFonts w:eastAsia="Calibri" w:cs="Arial"/>
                <w:iCs/>
                <w:sz w:val="24"/>
                <w:szCs w:val="24"/>
              </w:rPr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iCs/>
                <w:sz w:val="24"/>
                <w:szCs w:val="24"/>
              </w:rPr>
            </w:pPr>
            <w:r>
              <w:rPr>
                <w:rFonts w:eastAsia="Calibri" w:cs="Arial"/>
                <w:iCs/>
                <w:sz w:val="24"/>
                <w:szCs w:val="24"/>
              </w:rPr>
            </w:r>
          </w:p>
        </w:tc>
      </w:tr>
    </w:tbl>
    <w:p>
      <w:pPr>
        <w:pStyle w:val="Normal"/>
        <w:spacing w:before="40" w:after="120"/>
        <w:ind w:left="0" w:right="-28" w:hanging="0"/>
        <w:jc w:val="both"/>
        <w:rPr>
          <w:b/>
          <w:bCs/>
          <w:i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</w:r>
    </w:p>
    <w:p>
      <w:pPr>
        <w:pStyle w:val="Normal"/>
        <w:spacing w:before="0" w:after="60"/>
        <w:jc w:val="both"/>
        <w:rPr>
          <w:i/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** Указанные в настоящем ТТ ссылки на ТУ, марку (тип) продукции носят описательный, а не обязательный характер. В случае, если Участником предлагается эквивалентная продукция требуемой Заказчику продукции или ее составных частей, он должен в обязательном порядке в составе своего предложения предоставить подробное техническое описание предлагаемого к поставке эквивалента, в объеме не менее установленных в настоящих ТТ требований.</w:t>
      </w:r>
    </w:p>
    <w:p>
      <w:pPr>
        <w:pStyle w:val="Normal"/>
        <w:spacing w:before="0" w:after="60"/>
        <w:ind w:left="0" w:right="-28" w:hanging="0"/>
        <w:jc w:val="both"/>
        <w:rPr>
          <w:i/>
          <w:i/>
          <w:iCs/>
          <w:sz w:val="24"/>
          <w:szCs w:val="24"/>
        </w:rPr>
      </w:pPr>
      <w:r>
        <w:rPr>
          <w:i/>
          <w:iCs/>
          <w:sz w:val="24"/>
          <w:szCs w:val="24"/>
          <w:vertAlign w:val="superscript"/>
        </w:rPr>
        <w:t>1</w:t>
      </w:r>
      <w:r>
        <w:rPr>
          <w:i/>
          <w:iCs/>
          <w:sz w:val="24"/>
          <w:szCs w:val="24"/>
        </w:rPr>
        <w:t>Эквивалентная продукция – это продукция, которая по техническим и функциональным характеристикам не уступает характеристикам, заявленным в Документации о закупке, в том числе, по гарантийным срокам и срокам эксплуатации.</w:t>
      </w:r>
    </w:p>
    <w:p>
      <w:pPr>
        <w:pStyle w:val="Normal"/>
        <w:spacing w:before="40" w:after="120"/>
        <w:ind w:left="0" w:right="-28" w:hanging="0"/>
        <w:jc w:val="both"/>
        <w:rPr>
          <w:i/>
          <w:i/>
          <w:iCs/>
          <w:sz w:val="22"/>
          <w:szCs w:val="22"/>
        </w:rPr>
      </w:pPr>
      <w:r>
        <w:rPr>
          <w:i/>
          <w:iCs/>
          <w:sz w:val="22"/>
          <w:szCs w:val="22"/>
        </w:rPr>
      </w:r>
    </w:p>
    <w:p>
      <w:pPr>
        <w:pStyle w:val="Normal"/>
        <w:spacing w:before="0" w:after="60"/>
        <w:ind w:left="0" w:right="-28" w:hanging="0"/>
        <w:jc w:val="both"/>
        <w:rPr>
          <w:i w:val="false"/>
          <w:i w:val="false"/>
          <w:iCs w:val="false"/>
        </w:rPr>
      </w:pPr>
      <w:r>
        <w:rPr/>
      </w:r>
    </w:p>
    <w:p>
      <w:pPr>
        <w:pStyle w:val="Normal"/>
        <w:spacing w:before="40" w:after="120"/>
        <w:ind w:left="0" w:right="-28" w:hanging="0"/>
        <w:jc w:val="both"/>
        <w:rPr>
          <w:i/>
          <w:i/>
          <w:iCs/>
          <w:sz w:val="22"/>
          <w:szCs w:val="22"/>
        </w:rPr>
      </w:pPr>
      <w:r>
        <w:rPr>
          <w:i/>
          <w:iCs/>
          <w:sz w:val="22"/>
          <w:szCs w:val="22"/>
        </w:rPr>
      </w:r>
    </w:p>
    <w:p>
      <w:pPr>
        <w:pStyle w:val="Normal"/>
        <w:spacing w:before="40" w:after="120"/>
        <w:ind w:left="0" w:right="-28" w:hanging="0"/>
        <w:jc w:val="both"/>
        <w:rPr/>
      </w:pPr>
      <w:r>
        <w:rPr/>
      </w:r>
    </w:p>
    <w:sectPr>
      <w:headerReference w:type="default" r:id="rId4"/>
      <w:headerReference w:type="first" r:id="rId5"/>
      <w:type w:val="nextPage"/>
      <w:pgSz w:orient="landscape" w:w="16838" w:h="11906"/>
      <w:pgMar w:left="992" w:right="962" w:gutter="0" w:header="680" w:top="737" w:footer="0" w:bottom="14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  <w:p>
    <w:pPr>
      <w:pStyle w:val="Header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8</w:t>
    </w:r>
    <w:r>
      <w:rPr/>
      <w:fldChar w:fldCharType="end"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0"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1"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2"/>
    <w:qFormat/>
    <w:pPr>
      <w:numPr>
        <w:ilvl w:val="0"/>
        <w:numId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pPr>
      <w:numPr>
        <w:ilvl w:val="0"/>
        <w:numId w:val="0"/>
      </w:num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pPr>
      <w:keepNext w:val="true"/>
      <w:numPr>
        <w:ilvl w:val="0"/>
        <w:numId w:val="0"/>
      </w:numPr>
      <w:tabs>
        <w:tab w:val="clear" w:pos="708"/>
        <w:tab w:val="left" w:pos="0" w:leader="none"/>
      </w:tabs>
      <w:spacing w:lineRule="auto" w:line="240" w:before="120" w:after="60"/>
      <w:outlineLvl w:val="2"/>
    </w:pPr>
    <w:rPr>
      <w:rFonts w:eastAsia="Calibri"/>
      <w:b/>
      <w:bCs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pPr>
      <w:numPr>
        <w:ilvl w:val="0"/>
        <w:numId w:val="0"/>
      </w:numPr>
      <w:outlineLvl w:val="3"/>
    </w:pPr>
    <w:rPr>
      <w:bCs w:val="false"/>
    </w:rPr>
  </w:style>
  <w:style w:type="paragraph" w:styleId="Heading5">
    <w:name w:val="Heading 5"/>
    <w:basedOn w:val="Normal"/>
    <w:next w:val="Normal"/>
    <w:link w:val="5"/>
    <w:qFormat/>
    <w:pPr>
      <w:numPr>
        <w:ilvl w:val="0"/>
        <w:numId w:val="0"/>
      </w:num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qFormat/>
    <w:pPr>
      <w:keepNext w:val="true"/>
      <w:keepLines/>
      <w:numPr>
        <w:ilvl w:val="0"/>
        <w:numId w:val="0"/>
      </w:numPr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qFormat/>
    <w:pPr>
      <w:keepNext w:val="true"/>
      <w:keepLines/>
      <w:numPr>
        <w:ilvl w:val="0"/>
        <w:numId w:val="0"/>
      </w:numPr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qFormat/>
    <w:pPr>
      <w:keepNext w:val="true"/>
      <w:keepLines/>
      <w:numPr>
        <w:ilvl w:val="0"/>
        <w:numId w:val="0"/>
      </w:numPr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qFormat/>
    <w:pPr>
      <w:numPr>
        <w:ilvl w:val="0"/>
        <w:numId w:val="0"/>
      </w:num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>
    <w:name w:val="Default Paragraph Font"/>
    <w:qFormat/>
    <w:rPr/>
  </w:style>
  <w:style w:type="character" w:styleId="1">
    <w:name w:val="Знак сноски1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Pagenumber">
    <w:name w:val="page number"/>
    <w:basedOn w:val="DefaultParagraphFont"/>
    <w:qFormat/>
    <w:rPr/>
  </w:style>
  <w:style w:type="character" w:styleId="11">
    <w:name w:val="Гиперссылка1"/>
    <w:qFormat/>
    <w:rPr>
      <w:color w:val="0000FF"/>
      <w:u w:val="single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Strong1">
    <w:name w:val="Strong1"/>
    <w:qFormat/>
    <w:rPr>
      <w:b/>
      <w:bCs/>
    </w:rPr>
  </w:style>
  <w:style w:type="character" w:styleId="6">
    <w:name w:val="Заголовок 6 Знак"/>
    <w:qFormat/>
    <w:rPr>
      <w:rFonts w:ascii="Cambria" w:hAnsi="Cambria"/>
      <w:i/>
      <w:iCs/>
      <w:color w:val="243F60"/>
      <w:lang w:val="x-none" w:eastAsia="x-none"/>
    </w:rPr>
  </w:style>
  <w:style w:type="character" w:styleId="7">
    <w:name w:val="Заголовок 7 Знак"/>
    <w:qFormat/>
    <w:rPr>
      <w:rFonts w:ascii="Cambria" w:hAnsi="Cambria"/>
      <w:i/>
      <w:iCs/>
      <w:color w:val="404040"/>
      <w:lang w:val="x-none" w:eastAsia="x-none"/>
    </w:rPr>
  </w:style>
  <w:style w:type="character" w:styleId="8">
    <w:name w:val="Заголовок 8 Знак"/>
    <w:qFormat/>
    <w:rPr>
      <w:rFonts w:ascii="Cambria" w:hAnsi="Cambria"/>
      <w:color w:val="4F81BD"/>
      <w:lang w:val="x-none" w:eastAsia="x-none"/>
    </w:rPr>
  </w:style>
  <w:style w:type="character" w:styleId="12">
    <w:name w:val="Заголовок 1 Знак"/>
    <w:qFormat/>
    <w:rPr>
      <w:rFonts w:eastAsia="Calibri"/>
      <w:b/>
      <w:sz w:val="28"/>
      <w:szCs w:val="28"/>
      <w:lang w:val="x-none" w:eastAsia="x-none"/>
    </w:rPr>
  </w:style>
  <w:style w:type="character" w:styleId="2">
    <w:name w:val="Заголовок 2 Знак"/>
    <w:qFormat/>
    <w:rPr>
      <w:rFonts w:eastAsia="Calibri"/>
      <w:b/>
      <w:sz w:val="24"/>
      <w:szCs w:val="24"/>
      <w:lang w:val="x-none" w:eastAsia="x-none"/>
    </w:rPr>
  </w:style>
  <w:style w:type="character" w:styleId="3">
    <w:name w:val="Заголовок 3 Знак"/>
    <w:qFormat/>
    <w:rPr>
      <w:rFonts w:eastAsia="Calibri"/>
      <w:b/>
      <w:bCs/>
      <w:sz w:val="24"/>
      <w:szCs w:val="24"/>
      <w:lang w:val="x-none" w:eastAsia="x-none"/>
    </w:rPr>
  </w:style>
  <w:style w:type="character" w:styleId="4">
    <w:name w:val="Заголовок 4 Знак"/>
    <w:qFormat/>
    <w:rPr>
      <w:rFonts w:eastAsia="Calibri"/>
      <w:b/>
      <w:bCs/>
      <w:sz w:val="24"/>
      <w:szCs w:val="24"/>
      <w:lang w:val="x-none" w:eastAsia="x-none"/>
    </w:rPr>
  </w:style>
  <w:style w:type="character" w:styleId="5">
    <w:name w:val="Заголовок 5 Знак"/>
    <w:qFormat/>
    <w:rPr>
      <w:b/>
      <w:bCs/>
      <w:i/>
      <w:iCs/>
      <w:sz w:val="26"/>
      <w:szCs w:val="26"/>
    </w:rPr>
  </w:style>
  <w:style w:type="character" w:styleId="9">
    <w:name w:val="Заголовок 9 Знак"/>
    <w:qFormat/>
    <w:rPr>
      <w:rFonts w:ascii="Arial" w:hAnsi="Arial" w:cs="Arial"/>
      <w:sz w:val="22"/>
      <w:szCs w:val="22"/>
    </w:rPr>
  </w:style>
  <w:style w:type="character" w:styleId="Style">
    <w:name w:val="Название Знак"/>
    <w:link w:val="18"/>
    <w:qFormat/>
    <w:rPr>
      <w:sz w:val="28"/>
    </w:rPr>
  </w:style>
  <w:style w:type="character" w:styleId="Style1">
    <w:name w:val="Подзаголовок Знак"/>
    <w:qFormat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qFormat/>
    <w:rPr>
      <w:i/>
      <w:iCs/>
    </w:rPr>
  </w:style>
  <w:style w:type="character" w:styleId="21">
    <w:name w:val="Цитата 2 Знак"/>
    <w:link w:val="Quote"/>
    <w:qFormat/>
    <w:rPr>
      <w:rFonts w:ascii="Calibri" w:hAnsi="Calibri" w:eastAsia="Calibri"/>
      <w:i/>
      <w:iCs/>
      <w:color w:val="000000"/>
      <w:lang w:val="x-none" w:eastAsia="x-none"/>
    </w:rPr>
  </w:style>
  <w:style w:type="character" w:styleId="Style2">
    <w:name w:val="Выделенная цитата Знак"/>
    <w:link w:val="IntenseQuote"/>
    <w:qFormat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qFormat/>
    <w:rPr>
      <w:i/>
      <w:iCs/>
      <w:color w:val="808080"/>
    </w:rPr>
  </w:style>
  <w:style w:type="character" w:styleId="IntenseEmphasis">
    <w:name w:val="Intense Emphasis"/>
    <w:qFormat/>
    <w:rPr>
      <w:b/>
      <w:bCs/>
      <w:i/>
      <w:iCs/>
      <w:color w:val="4F81BD"/>
    </w:rPr>
  </w:style>
  <w:style w:type="character" w:styleId="SubtleReference">
    <w:name w:val="Subtle Reference"/>
    <w:qFormat/>
    <w:rPr>
      <w:smallCaps/>
      <w:color w:val="C0504D"/>
      <w:u w:val="single"/>
    </w:rPr>
  </w:style>
  <w:style w:type="character" w:styleId="IntenseReference">
    <w:name w:val="Intense Reference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qFormat/>
    <w:rPr>
      <w:b/>
      <w:bCs/>
      <w:smallCaps/>
      <w:spacing w:val="5"/>
    </w:rPr>
  </w:style>
  <w:style w:type="character" w:styleId="Style3">
    <w:name w:val="Электронная подпись Знак"/>
    <w:link w:val="E-mailSignature"/>
    <w:qFormat/>
    <w:rPr>
      <w:rFonts w:eastAsia="Calibri"/>
      <w:sz w:val="24"/>
      <w:szCs w:val="24"/>
    </w:rPr>
  </w:style>
  <w:style w:type="character" w:styleId="13">
    <w:name w:val="Подпункт Знак1"/>
    <w:link w:val="Style21"/>
    <w:qFormat/>
    <w:rPr>
      <w:sz w:val="28"/>
    </w:rPr>
  </w:style>
  <w:style w:type="character" w:styleId="Style4">
    <w:name w:val="Текст сноски Знак"/>
    <w:qFormat/>
    <w:rPr/>
  </w:style>
  <w:style w:type="character" w:styleId="Style5">
    <w:name w:val="Основной текст Знак"/>
    <w:qFormat/>
    <w:rPr>
      <w:sz w:val="28"/>
      <w:szCs w:val="28"/>
    </w:rPr>
  </w:style>
  <w:style w:type="character" w:styleId="Blk">
    <w:name w:val="blk"/>
    <w:qFormat/>
    <w:rPr/>
  </w:style>
  <w:style w:type="character" w:styleId="Style6">
    <w:name w:val="Абзац списка Знак"/>
    <w:link w:val="ListParagraph"/>
    <w:qFormat/>
    <w:rPr>
      <w:rFonts w:eastAsia="Calibri"/>
      <w:sz w:val="24"/>
      <w:szCs w:val="24"/>
    </w:rPr>
  </w:style>
  <w:style w:type="character" w:styleId="Style7">
    <w:name w:val="комментарий"/>
    <w:qFormat/>
    <w:rPr>
      <w:b/>
      <w:i/>
      <w:shd w:fill="FFFF99" w:val="clear"/>
    </w:rPr>
  </w:style>
  <w:style w:type="character" w:styleId="Style8">
    <w:name w:val="Подподпункт Знак"/>
    <w:link w:val="Style29"/>
    <w:qFormat/>
    <w:rPr>
      <w:sz w:val="26"/>
      <w:szCs w:val="26"/>
    </w:rPr>
  </w:style>
  <w:style w:type="character" w:styleId="31">
    <w:name w:val="УРОВЕНЬ_Абзац_тип3 Знак"/>
    <w:link w:val="36"/>
    <w:qFormat/>
    <w:rPr>
      <w:rFonts w:eastAsia="Calibri"/>
      <w:sz w:val="26"/>
      <w:szCs w:val="28"/>
      <w:lang w:eastAsia="en-US"/>
    </w:rPr>
  </w:style>
  <w:style w:type="character" w:styleId="Style9">
    <w:name w:val="Верхний колонтитул Знак"/>
    <w:qFormat/>
    <w:rPr>
      <w:sz w:val="24"/>
      <w:szCs w:val="24"/>
    </w:rPr>
  </w:style>
  <w:style w:type="character" w:styleId="Style10">
    <w:name w:val="Текст примечания Знак"/>
    <w:link w:val="Annotationtext"/>
    <w:qFormat/>
    <w:rPr/>
  </w:style>
  <w:style w:type="character" w:styleId="Style11">
    <w:name w:val="Текст концевой сноски Знак"/>
    <w:basedOn w:val="DefaultParagraphFont"/>
    <w:qFormat/>
    <w:rPr/>
  </w:style>
  <w:style w:type="character" w:styleId="14">
    <w:name w:val="Знак концевой сноски1"/>
    <w:qFormat/>
    <w:rPr>
      <w:vertAlign w:val="superscript"/>
    </w:rPr>
  </w:style>
  <w:style w:type="character" w:styleId="EndnoteCharacters">
    <w:name w:val="Endnote Characters"/>
    <w:basedOn w:val="DefaultParagraphFont"/>
    <w:qFormat/>
    <w:rPr>
      <w:vertAlign w:val="superscript"/>
    </w:rPr>
  </w:style>
  <w:style w:type="character" w:styleId="22">
    <w:name w:val="Пункт2 Знак"/>
    <w:link w:val="25"/>
    <w:qFormat/>
    <w:rPr>
      <w:b/>
      <w:sz w:val="28"/>
    </w:rPr>
  </w:style>
  <w:style w:type="character" w:styleId="15">
    <w:name w:val="УРОВЕНЬ_1. Знак"/>
    <w:link w:val="112"/>
    <w:qFormat/>
    <w:rPr>
      <w:rFonts w:eastAsia="Calibri"/>
      <w:caps/>
      <w:sz w:val="28"/>
      <w:szCs w:val="28"/>
      <w:lang w:eastAsia="en-US"/>
    </w:rPr>
  </w:style>
  <w:style w:type="character" w:styleId="16">
    <w:name w:val="Неразрешенное упоминание1"/>
    <w:basedOn w:val="DefaultParagraphFont"/>
    <w:qFormat/>
    <w:rPr>
      <w:color w:val="605E5C"/>
      <w:shd w:fill="E1DFDD" w:val="clear"/>
    </w:rPr>
  </w:style>
  <w:style w:type="character" w:styleId="32">
    <w:name w:val="Основной текст с отступом 3 Знак"/>
    <w:link w:val="BodyTextIndent3"/>
    <w:qFormat/>
    <w:rPr>
      <w:sz w:val="16"/>
      <w:szCs w:val="16"/>
    </w:rPr>
  </w:style>
  <w:style w:type="character" w:styleId="Style12">
    <w:name w:val="Ссылка указателя"/>
    <w:qFormat/>
    <w:rPr/>
  </w:style>
  <w:style w:type="character" w:styleId="23">
    <w:name w:val="Гиперссылка2"/>
    <w:qFormat/>
    <w:rPr>
      <w:color w:val="000080"/>
      <w:u w:val="single"/>
    </w:rPr>
  </w:style>
  <w:style w:type="character" w:styleId="Style13">
    <w:name w:val="Символ нумерации"/>
    <w:qFormat/>
    <w:rPr/>
  </w:style>
  <w:style w:type="character" w:styleId="Hyperlink">
    <w:name w:val="Hyperlink"/>
    <w:rPr>
      <w:color w:val="000080"/>
      <w:u w:val="single"/>
    </w:rPr>
  </w:style>
  <w:style w:type="character" w:styleId="Style14">
    <w:name w:val="Маркеры"/>
    <w:qFormat/>
    <w:rPr>
      <w:rFonts w:ascii="OpenSymbol" w:hAnsi="OpenSymbol" w:eastAsia="OpenSymbol" w:cs="OpenSymbol"/>
    </w:rPr>
  </w:style>
  <w:style w:type="character" w:styleId="Strong">
    <w:name w:val="Strong"/>
    <w:qFormat/>
    <w:rPr>
      <w:b/>
      <w:bCs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5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>
    <w:name w:val="index heading11"/>
    <w:basedOn w:val="Title"/>
    <w:qFormat/>
    <w:pPr/>
    <w:rPr/>
  </w:style>
  <w:style w:type="paragraph" w:styleId="Caption11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>
    <w:name w:val="index heading111"/>
    <w:basedOn w:val="Title"/>
    <w:qFormat/>
    <w:pPr/>
    <w:rPr/>
  </w:style>
  <w:style w:type="paragraph" w:styleId="Caption1111">
    <w:name w:val="caption1111"/>
    <w:basedOn w:val="Normal"/>
    <w:next w:val="Normal"/>
    <w:qFormat/>
    <w:pPr/>
    <w:rPr>
      <w:rFonts w:eastAsia="Calibri"/>
      <w:b/>
      <w:bCs/>
      <w:color w:val="4F81BD"/>
      <w:sz w:val="18"/>
      <w:szCs w:val="18"/>
    </w:rPr>
  </w:style>
  <w:style w:type="paragraph" w:styleId="Indexheading1111">
    <w:name w:val="index heading1111"/>
    <w:basedOn w:val="Title"/>
    <w:qFormat/>
    <w:pPr/>
    <w:rPr/>
  </w:style>
  <w:style w:type="paragraph" w:styleId="Style17">
    <w:name w:val="Название раздела инструкции"/>
    <w:basedOn w:val="Normal"/>
    <w:autoRedefine/>
    <w:qFormat/>
    <w:pPr>
      <w:jc w:val="center"/>
    </w:pPr>
    <w:rPr>
      <w:b/>
    </w:rPr>
  </w:style>
  <w:style w:type="paragraph" w:styleId="Style18">
    <w:name w:val="Раздел положения"/>
    <w:basedOn w:val="Normal"/>
    <w:autoRedefine/>
    <w:qFormat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>
    <w:name w:val="Подраздел раздела положения"/>
    <w:basedOn w:val="Normal"/>
    <w:autoRedefine/>
    <w:qFormat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4"/>
    <w:pPr/>
    <w:rPr>
      <w:sz w:val="20"/>
      <w:szCs w:val="20"/>
    </w:rPr>
  </w:style>
  <w:style w:type="paragraph" w:styleId="17">
    <w:name w:val="Шапка 1"/>
    <w:basedOn w:val="Normal"/>
    <w:qFormat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4">
    <w:name w:val="Шапка 2"/>
    <w:basedOn w:val="Normal"/>
    <w:qFormat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>
    <w:name w:val="Шапка 3"/>
    <w:basedOn w:val="Normal"/>
    <w:qFormat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8">
    <w:name w:val="Название1"/>
    <w:basedOn w:val="Normal"/>
    <w:link w:val="Style"/>
    <w:qFormat/>
    <w:pPr>
      <w:jc w:val="center"/>
    </w:pPr>
    <w:rPr>
      <w:szCs w:val="20"/>
      <w:lang w:val="x-none" w:eastAsia="x-none"/>
    </w:rPr>
  </w:style>
  <w:style w:type="paragraph" w:styleId="Style20">
    <w:name w:val="Колонтитул"/>
    <w:basedOn w:val="Normal"/>
    <w:qFormat/>
    <w:pPr/>
    <w:rPr/>
  </w:style>
  <w:style w:type="paragraph" w:styleId="Header">
    <w:name w:val="Header"/>
    <w:basedOn w:val="Normal"/>
    <w:link w:val="Style9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pPr>
      <w:ind w:left="360" w:right="0" w:hanging="0"/>
    </w:pPr>
    <w:rPr>
      <w:sz w:val="24"/>
      <w:szCs w:val="24"/>
    </w:rPr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pPr>
      <w:spacing w:lineRule="auto" w:line="480" w:before="0" w:after="120"/>
      <w:ind w:left="283" w:right="0" w:hanging="0"/>
    </w:pPr>
    <w:rPr/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pPr>
      <w:spacing w:before="0" w:after="120"/>
      <w:ind w:left="283" w:right="0" w:hanging="0"/>
    </w:pPr>
    <w:rPr>
      <w:sz w:val="16"/>
      <w:szCs w:val="16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BlockText">
    <w:name w:val="Block Text"/>
    <w:basedOn w:val="Normal"/>
    <w:qFormat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1">
    <w:name w:val="Подпункт"/>
    <w:basedOn w:val="Normal"/>
    <w:link w:val="13"/>
    <w:qFormat/>
    <w:pPr>
      <w:tabs>
        <w:tab w:val="clear" w:pos="708"/>
        <w:tab w:val="left" w:pos="1134" w:leader="none"/>
      </w:tabs>
      <w:snapToGrid w:val="false"/>
      <w:spacing w:lineRule="auto" w:line="360"/>
      <w:ind w:left="1134" w:right="0" w:hanging="1134"/>
      <w:jc w:val="both"/>
    </w:pPr>
    <w:rPr>
      <w:szCs w:val="20"/>
      <w:lang w:val="x-none" w:eastAsia="x-none"/>
    </w:rPr>
  </w:style>
  <w:style w:type="paragraph" w:styleId="25">
    <w:name w:val="Пункт2"/>
    <w:basedOn w:val="Normal"/>
    <w:link w:val="22"/>
    <w:qFormat/>
    <w:pPr>
      <w:keepNext w:val="true"/>
      <w:numPr>
        <w:ilvl w:val="0"/>
        <w:numId w:val="0"/>
      </w:numPr>
      <w:tabs>
        <w:tab w:val="clear" w:pos="708"/>
        <w:tab w:val="left" w:pos="1134" w:leader="none"/>
      </w:tabs>
      <w:snapToGrid w:val="false"/>
      <w:spacing w:before="240" w:after="120"/>
      <w:ind w:left="1134" w:right="0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pPr>
      <w:tabs>
        <w:tab w:val="clear" w:pos="708"/>
        <w:tab w:val="right" w:pos="9911" w:leader="dot"/>
      </w:tabs>
      <w:spacing w:lineRule="auto" w:line="360"/>
      <w:ind w:left="280" w:right="0" w:hanging="0"/>
    </w:pPr>
    <w:rPr>
      <w:rFonts w:cs="Calibri"/>
      <w:b/>
      <w:sz w:val="20"/>
      <w:szCs w:val="20"/>
    </w:rPr>
  </w:style>
  <w:style w:type="paragraph" w:styleId="Style22">
    <w:name w:val="Раздел регламента"/>
    <w:basedOn w:val="Normal"/>
    <w:qFormat/>
    <w:pPr/>
    <w:rPr/>
  </w:style>
  <w:style w:type="paragraph" w:styleId="Style23">
    <w:name w:val="Приложение к регламенту"/>
    <w:basedOn w:val="Normal"/>
    <w:qFormat/>
    <w:pPr>
      <w:jc w:val="right"/>
    </w:pPr>
    <w:rPr/>
  </w:style>
  <w:style w:type="paragraph" w:styleId="TOC2">
    <w:name w:val="TOC 2"/>
    <w:basedOn w:val="Normal"/>
    <w:next w:val="Normal"/>
    <w:autoRedefine/>
    <w:pPr>
      <w:tabs>
        <w:tab w:val="clear" w:pos="708"/>
        <w:tab w:val="right" w:pos="9911" w:leader="dot"/>
      </w:tabs>
      <w:spacing w:lineRule="auto" w:line="360"/>
      <w:ind w:left="284" w:right="0" w:hanging="0"/>
    </w:pPr>
    <w:rPr>
      <w:rFonts w:cs="Calibri"/>
      <w:b/>
      <w:bCs/>
      <w:sz w:val="20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0"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qFormat/>
    <w:pPr/>
    <w:rPr>
      <w:b/>
      <w:bCs/>
    </w:rPr>
  </w:style>
  <w:style w:type="paragraph" w:styleId="19">
    <w:name w:val="Обычный (веб)1"/>
    <w:basedOn w:val="Normal"/>
    <w:qFormat/>
    <w:pPr>
      <w:spacing w:before="280" w:after="280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pPr>
      <w:ind w:left="1960" w:right="0" w:hanging="0"/>
    </w:pPr>
    <w:rPr>
      <w:rFonts w:ascii="Calibri" w:hAnsi="Calibri" w:cs="Calibri"/>
      <w:sz w:val="20"/>
      <w:szCs w:val="20"/>
    </w:rPr>
  </w:style>
  <w:style w:type="paragraph" w:styleId="TOC5">
    <w:name w:val="TOC 5"/>
    <w:basedOn w:val="Normal"/>
    <w:next w:val="Normal"/>
    <w:autoRedefine/>
    <w:pPr>
      <w:ind w:left="840" w:right="0" w:hanging="0"/>
    </w:pPr>
    <w:rPr>
      <w:rFonts w:ascii="Calibri" w:hAnsi="Calibri" w:cs="Calibri"/>
      <w:sz w:val="20"/>
      <w:szCs w:val="20"/>
    </w:rPr>
  </w:style>
  <w:style w:type="paragraph" w:styleId="TOC4">
    <w:name w:val="TOC 4"/>
    <w:basedOn w:val="Normal"/>
    <w:next w:val="Normal"/>
    <w:autoRedefine/>
    <w:pPr>
      <w:ind w:left="560" w:right="0" w:hanging="0"/>
    </w:pPr>
    <w:rPr>
      <w:rFonts w:cs="Calibri"/>
      <w:sz w:val="20"/>
      <w:szCs w:val="20"/>
    </w:rPr>
  </w:style>
  <w:style w:type="paragraph" w:styleId="26">
    <w:name w:val="Раздел положения 2"/>
    <w:basedOn w:val="Normal"/>
    <w:qFormat/>
    <w:pPr>
      <w:pageBreakBefore/>
      <w:numPr>
        <w:ilvl w:val="0"/>
        <w:numId w:val="0"/>
      </w:numPr>
      <w:jc w:val="both"/>
      <w:outlineLvl w:val="0"/>
    </w:pPr>
    <w:rPr>
      <w:b/>
    </w:rPr>
  </w:style>
  <w:style w:type="paragraph" w:styleId="Style24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qFormat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link w:val="Style1"/>
    <w:qFormat/>
    <w:pPr>
      <w:ind w:left="1066" w:right="0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6"/>
    <w:qFormat/>
    <w:pPr>
      <w:spacing w:before="0" w:after="0"/>
      <w:ind w:left="720" w:right="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qFormat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2"/>
    <w:qFormat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qFormat/>
    <w:pPr>
      <w:keepLines/>
      <w:spacing w:before="480" w:after="60"/>
      <w:outlineLvl w:val="9"/>
    </w:pPr>
    <w:rPr>
      <w:rFonts w:ascii="Cambria" w:hAnsi="Cambria"/>
      <w:bCs w:val="false"/>
      <w:color w:val="365F91"/>
    </w:rPr>
  </w:style>
  <w:style w:type="paragraph" w:styleId="E-mailSignature">
    <w:name w:val="E-mail Signature"/>
    <w:basedOn w:val="Normal"/>
    <w:link w:val="Style3"/>
    <w:qFormat/>
    <w:pPr/>
    <w:rPr>
      <w:rFonts w:eastAsia="Calibri"/>
      <w:sz w:val="24"/>
      <w:szCs w:val="24"/>
      <w:lang w:val="x-none" w:eastAsia="x-none"/>
    </w:rPr>
  </w:style>
  <w:style w:type="paragraph" w:styleId="Style25">
    <w:name w:val="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>
    <w:name w:val="Нумерованный список ур3"/>
    <w:basedOn w:val="Normal"/>
    <w:qFormat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>
    <w:name w:val="Маркированный список 41"/>
    <w:basedOn w:val="Normal"/>
    <w:qFormat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7">
    <w:name w:val="Нумерованный список ур2"/>
    <w:basedOn w:val="Normal"/>
    <w:qFormat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>
    <w:name w:val="ConsPlusNormal"/>
    <w:qFormat/>
    <w:pPr>
      <w:widowControl w:val="false"/>
      <w:suppressAutoHyphens w:val="true"/>
      <w:overflowPunct w:val="false"/>
      <w:bidi w:val="0"/>
      <w:spacing w:before="0" w:after="0"/>
      <w:ind w:left="0" w:right="0"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>
    <w:name w:val="Знак Знак3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>
    <w:name w:val="Пункт"/>
    <w:basedOn w:val="Normal"/>
    <w:qFormat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10">
    <w:name w:val="Абзац списка1"/>
    <w:basedOn w:val="Normal"/>
    <w:qFormat/>
    <w:pPr>
      <w:spacing w:lineRule="auto" w:line="276" w:before="0" w:after="200"/>
      <w:ind w:left="720" w:right="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7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>
    <w:name w:val="Таблица шапка"/>
    <w:basedOn w:val="Normal"/>
    <w:qFormat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29">
    <w:name w:val="Подподпункт"/>
    <w:basedOn w:val="Style21"/>
    <w:link w:val="Style8"/>
    <w:qFormat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right="0" w:hanging="567"/>
    </w:pPr>
    <w:rPr>
      <w:sz w:val="26"/>
      <w:szCs w:val="26"/>
      <w:lang w:val="ru-RU" w:eastAsia="ru-RU"/>
    </w:rPr>
  </w:style>
  <w:style w:type="paragraph" w:styleId="Style30">
    <w:name w:val="УРОВЕНЬ_(а)"/>
    <w:basedOn w:val="ListParagraph"/>
    <w:qFormat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>
    <w:name w:val="УРОВЕНЬ_-"/>
    <w:basedOn w:val="ListParagraph"/>
    <w:qFormat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8">
    <w:name w:val="УРОВЕНЬ_Абзац_тип2"/>
    <w:basedOn w:val="ListParagraph"/>
    <w:qFormat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>
    <w:name w:val="УРОВЕНЬ_Абзац_тип3"/>
    <w:basedOn w:val="ListParagraph"/>
    <w:link w:val="31"/>
    <w:qFormat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>
    <w:name w:val="УРОВЕНЬ_Подпись"/>
    <w:basedOn w:val="ListParagraph"/>
    <w:qFormat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11">
    <w:name w:val="Стиль Заголовок 1 + по ширине"/>
    <w:basedOn w:val="Heading1"/>
    <w:qFormat/>
    <w:pPr>
      <w:keepLines/>
      <w:tabs>
        <w:tab w:val="clear" w:pos="0"/>
        <w:tab w:val="left" w:pos="567" w:leader="none"/>
      </w:tabs>
      <w:spacing w:before="480" w:after="240"/>
      <w:ind w:left="567" w:right="0" w:hanging="567"/>
      <w:jc w:val="both"/>
    </w:pPr>
    <w:rPr>
      <w:rFonts w:ascii="Arial" w:hAnsi="Arial" w:eastAsia="Times New Roman"/>
      <w:bCs w:val="false"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1"/>
    <w:pPr/>
    <w:rPr>
      <w:sz w:val="20"/>
      <w:szCs w:val="20"/>
    </w:rPr>
  </w:style>
  <w:style w:type="paragraph" w:styleId="29">
    <w:name w:val="Заголовок 2 КВВ"/>
    <w:basedOn w:val="Normal"/>
    <w:qFormat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>
    <w:name w:val="Таблица текст"/>
    <w:basedOn w:val="Normal"/>
    <w:qFormat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qFormat/>
    <w:pPr>
      <w:spacing w:before="280" w:after="280"/>
    </w:pPr>
    <w:rPr>
      <w:sz w:val="24"/>
      <w:szCs w:val="24"/>
    </w:rPr>
  </w:style>
  <w:style w:type="paragraph" w:styleId="112">
    <w:name w:val="УРОВЕНЬ_1."/>
    <w:basedOn w:val="ListParagraph"/>
    <w:link w:val="15"/>
    <w:qFormat/>
    <w:pPr>
      <w:keepNext w:val="true"/>
      <w:keepLines/>
      <w:numPr>
        <w:ilvl w:val="0"/>
        <w:numId w:val="0"/>
      </w:numPr>
      <w:spacing w:lineRule="auto" w:line="276" w:before="240" w:after="120"/>
      <w:ind w:left="0" w:righ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pPr>
      <w:ind w:left="1120" w:right="0" w:hanging="0"/>
    </w:pPr>
    <w:rPr>
      <w:rFonts w:ascii="Calibri" w:hAnsi="Calibri" w:cs="Calibri"/>
      <w:sz w:val="20"/>
      <w:szCs w:val="20"/>
    </w:rPr>
  </w:style>
  <w:style w:type="paragraph" w:styleId="TOC7">
    <w:name w:val="TOC 7"/>
    <w:basedOn w:val="Normal"/>
    <w:next w:val="Normal"/>
    <w:autoRedefine/>
    <w:pPr>
      <w:ind w:left="1400" w:right="0" w:hanging="0"/>
    </w:pPr>
    <w:rPr>
      <w:rFonts w:ascii="Calibri" w:hAnsi="Calibri" w:cs="Calibri"/>
      <w:sz w:val="20"/>
      <w:szCs w:val="20"/>
    </w:rPr>
  </w:style>
  <w:style w:type="paragraph" w:styleId="TOC8">
    <w:name w:val="TOC 8"/>
    <w:basedOn w:val="Normal"/>
    <w:next w:val="Normal"/>
    <w:autoRedefine/>
    <w:pPr>
      <w:ind w:left="1680" w:right="0" w:hanging="0"/>
    </w:pPr>
    <w:rPr>
      <w:rFonts w:ascii="Calibri" w:hAnsi="Calibri" w:cs="Calibri"/>
      <w:sz w:val="20"/>
      <w:szCs w:val="20"/>
    </w:rPr>
  </w:style>
  <w:style w:type="paragraph" w:styleId="Style33">
    <w:name w:val="Содержимое врезки"/>
    <w:basedOn w:val="Normal"/>
    <w:qFormat/>
    <w:pPr/>
    <w:rPr/>
  </w:style>
  <w:style w:type="paragraph" w:styleId="Style34">
    <w:name w:val="Содержимое таблицы"/>
    <w:basedOn w:val="Normal"/>
    <w:qFormat/>
    <w:pPr>
      <w:widowControl w:val="false"/>
      <w:suppressLineNumbers/>
    </w:pPr>
    <w:rPr/>
  </w:style>
  <w:style w:type="paragraph" w:styleId="Style35">
    <w:name w:val="Заголовок таблицы"/>
    <w:basedOn w:val="Style34"/>
    <w:qFormat/>
    <w:pPr>
      <w:jc w:val="center"/>
    </w:pPr>
    <w:rPr>
      <w:b/>
      <w:bCs/>
    </w:rPr>
  </w:style>
  <w:style w:type="numbering" w:styleId="113">
    <w:name w:val="Стиль1"/>
    <w:qFormat/>
  </w:style>
  <w:style w:type="numbering" w:styleId="210">
    <w:name w:val="Стиль2"/>
    <w:qFormat/>
  </w:style>
  <w:style w:type="numbering" w:styleId="35638917061">
    <w:name w:val="3563891706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983</TotalTime>
  <Application>AlterOffice/3.4.0.9$Linux_X86_64 LibreOffice_project/b8daf9e823b1a5463a2f48435ddc2e8696e7d4fc</Application>
  <AppVersion>15.0000</AppVersion>
  <Pages>8</Pages>
  <Words>988</Words>
  <Characters>6588</Characters>
  <CharactersWithSpaces>7385</CharactersWithSpaces>
  <Paragraphs>186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2025-08-25T01:56:00Z</dcterms:created>
  <dc:creator>Быстров Олег Геннадьевич</dc:creator>
  <dc:description/>
  <dc:language>ru-RU</dc:language>
  <cp:lastModifiedBy>lashmanovaet</cp:lastModifiedBy>
  <cp:lastPrinted>2024-10-02T10:26:00Z</cp:lastPrinted>
  <dcterms:modified xsi:type="dcterms:W3CDTF">2026-10-07T16:00:08Z</dcterms:modified>
  <cp:revision>18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