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9.xml" ContentType="application/vnd.openxmlformats-officedocument.wordprocessingml.header+xml"/>
  <Override PartName="/word/media/image1.wmf" ContentType="image/x-wmf"/>
  <Override PartName="/word/header8.xml" ContentType="application/vnd.openxmlformats-officedocument.wordprocessingml.header+xml"/>
  <Override PartName="/word/header11.xml" ContentType="application/vnd.openxmlformats-officedocument.wordprocessingml.header+xml"/>
  <Override PartName="/word/embeddings/oleObject1.xlsx" ContentType="application/vnd.openxmlformats-officedocument.spreadsheetml.sheet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Условиям процедуры Мониторинга Рынка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ОКПД2: 27.11.43.000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sz w:val="26"/>
          <w:szCs w:val="26"/>
        </w:rPr>
      </w:pPr>
      <w:r>
        <w:rPr>
          <w:rFonts w:eastAsia="Calibri"/>
          <w:sz w:val="26"/>
          <w:szCs w:val="26"/>
        </w:rPr>
        <w:t xml:space="preserve">На </w:t>
      </w:r>
      <w:bookmarkStart w:id="0" w:name="_GoBack"/>
      <w:r>
        <w:rPr>
          <w:rFonts w:eastAsia="Calibri"/>
          <w:sz w:val="26"/>
          <w:szCs w:val="26"/>
        </w:rPr>
        <w:t>выполнение работ по разработке рабочей документации и авторскому надзору по монтажу однофазных трансформаторов 110 кВ трансформаторной группы 1Т Камской ГЭС</w:t>
      </w:r>
      <w:bookmarkEnd w:id="0"/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Цель оказания услуг </w:t>
            </w:r>
            <w:r>
              <w:rPr>
                <w:rStyle w:val="Style14"/>
                <w:i/>
                <w:shd w:fill="FFFF99" w:val="clear"/>
              </w:rPr>
              <w:t>[Опциональный раздел]</w:t>
            </w:r>
            <w:r>
              <w:rPr>
                <w:rStyle w:val="Style1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Существующее положение </w:t>
            </w:r>
            <w:r>
              <w:rPr>
                <w:rStyle w:val="Style14"/>
                <w:i/>
                <w:shd w:fill="FFFF99" w:val="clear"/>
              </w:rPr>
              <w:t>[Опциональный раздел]</w:t>
            </w:r>
            <w:r>
              <w:rPr>
                <w:rStyle w:val="Style1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</w:r>
            <w:r>
              <w:rPr>
                <w:rStyle w:val="Style14"/>
                <w:i/>
                <w:shd w:fill="FFFF99" w:val="clear"/>
              </w:rPr>
              <w:t>[Опциональный раздел]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Иные требования и сведения общего характера </w:t>
            </w:r>
            <w:r>
              <w:rPr>
                <w:rStyle w:val="Style14"/>
                <w:i/>
                <w:shd w:fill="FFFF99" w:val="clear"/>
              </w:rPr>
              <w:t>[Опциональный раздел]</w:t>
            </w:r>
            <w:r>
              <w:rPr>
                <w:rStyle w:val="Style1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перечню и объему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</w:r>
            <w:r>
              <w:rPr>
                <w:rStyle w:val="Style1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срокам оказания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</w:r>
            <w:r>
              <w:rPr>
                <w:rStyle w:val="Style1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</w:t>
            </w:r>
            <w:r>
              <w:rPr>
                <w:rStyle w:val="Style14"/>
                <w:vanish w:val="false"/>
                <w:lang w:val="en-US"/>
              </w:rPr>
              <w:t>3</w:t>
            </w:r>
            <w:r>
              <w:rPr>
                <w:rStyle w:val="Style14"/>
                <w:vanish w:val="false"/>
              </w:rPr>
              <w:t>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lang w:val="en-US"/>
            </w:rPr>
          </w:pPr>
          <w:hyperlink w:anchor="_Toc5464371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  <w:tab/>
              <w:t>1</w:t>
            </w:r>
          </w:hyperlink>
          <w:r>
            <w:rPr>
              <w:lang w:val="en-US"/>
            </w:rPr>
            <w:t>2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lang w:val="en-US"/>
            </w:rPr>
          </w:pPr>
          <w:hyperlink w:anchor="_Toc54643712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</w:t>
            </w:r>
          </w:hyperlink>
          <w:r>
            <w:rPr>
              <w:lang w:val="en-US"/>
            </w:rPr>
            <w:t>2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3">
            <w:r>
              <w:rPr>
                <w:webHidden/>
                <w:rStyle w:val="Style14"/>
                <w:vanish w:val="false"/>
              </w:rPr>
              <w:t>Требования к оформлению и составлению документации по ценообразованию</w:t>
            </w:r>
            <w:r>
              <w:rPr>
                <w:rStyle w:val="Style14"/>
              </w:rPr>
              <w:tab/>
              <w:t>1</w:t>
            </w:r>
          </w:hyperlink>
          <w:r>
            <w:rPr>
              <w:lang w:val="en-US"/>
            </w:rPr>
            <w:t>3</w:t>
          </w:r>
          <w:r>
            <w:rPr>
              <w:lang w:val="en-US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hanging="357" w:left="357"/>
        <w:jc w:val="center"/>
        <w:rPr>
          <w:caps/>
          <w:lang w:val="ru-RU"/>
        </w:rPr>
      </w:pPr>
      <w:bookmarkStart w:id="1" w:name="_Toc54643694"/>
      <w:r>
        <w:rPr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4"/>
        </w:numPr>
        <w:rPr/>
      </w:pPr>
      <w:bookmarkStart w:id="2" w:name="_Toc54643695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ПАО – публичное акционерное общество;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Т - Трансформатор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ОПН – ограничитель перенапряжений;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УРЗА – устройство релейной защиты и автоматики;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АПТ – автоматическое пожаротушение;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ППР – проект производства работ;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ВН - высокое напряжение;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НН – низкое напряжение;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Д – дутье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КЗ – короткое замыкание;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АСУТП - автоматизированная система управления технологическим процессом;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КИВ – контроль изоляции ввода;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РЗА- релейная защита и автоматика;</w:t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  <w:t>КД- Конструкторская документация.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4"/>
        </w:numPr>
        <w:rPr>
          <w:sz w:val="28"/>
          <w:szCs w:val="28"/>
        </w:rPr>
      </w:pPr>
      <w:bookmarkStart w:id="4" w:name="_Toc54643696"/>
      <w:bookmarkStart w:id="5" w:name="_Toc46743506"/>
      <w:r>
        <w:rPr>
          <w:sz w:val="28"/>
          <w:szCs w:val="28"/>
        </w:rPr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/>
      </w:pPr>
      <w:r>
        <w:rPr>
          <w:rFonts w:eastAsia="Calibri"/>
          <w:i/>
          <w:lang w:eastAsia="x-none"/>
        </w:rPr>
        <w:t>«Выполнение работ по разработке рабочей документации и авторскому надзору по монтажу однофазных трансформаторов 110 кВ трансформаторной группы 1Т Камской ГЭС»</w:t>
        <w:br/>
      </w:r>
      <w:bookmarkStart w:id="6" w:name="_Toc54643697"/>
    </w:p>
    <w:p>
      <w:pPr>
        <w:pStyle w:val="ListParagraph"/>
        <w:widowControl w:val="false"/>
        <w:numPr>
          <w:ilvl w:val="1"/>
          <w:numId w:val="4"/>
        </w:numPr>
        <w:tabs>
          <w:tab w:val="clear" w:pos="708"/>
          <w:tab w:val="left" w:pos="426" w:leader="none"/>
        </w:tabs>
        <w:spacing w:before="120" w:after="120"/>
        <w:contextualSpacing/>
        <w:jc w:val="both"/>
        <w:rPr>
          <w:b/>
          <w:sz w:val="28"/>
          <w:szCs w:val="28"/>
        </w:rPr>
      </w:pPr>
      <w:bookmarkStart w:id="7" w:name="_Toc46743507"/>
      <w:r>
        <w:rPr>
          <w:b/>
          <w:sz w:val="28"/>
          <w:szCs w:val="28"/>
        </w:rPr>
        <w:t xml:space="preserve">Цель </w:t>
      </w:r>
      <w:bookmarkEnd w:id="7"/>
      <w:r>
        <w:rPr>
          <w:b/>
          <w:sz w:val="28"/>
          <w:szCs w:val="28"/>
        </w:rPr>
        <w:t>оказания услуг</w:t>
      </w:r>
      <w:bookmarkEnd w:id="6"/>
    </w:p>
    <w:p>
      <w:pPr>
        <w:pStyle w:val="Normal"/>
        <w:shd w:val="clear" w:color="auto" w:fill="FFFFFF" w:themeFill="background1"/>
        <w:spacing w:before="240" w:after="60"/>
        <w:ind w:firstLine="709"/>
        <w:jc w:val="both"/>
        <w:rPr>
          <w:rFonts w:eastAsia="Calibri"/>
          <w:i/>
          <w:i/>
          <w:lang w:eastAsia="x-none"/>
        </w:rPr>
      </w:pPr>
      <w:r>
        <w:rPr>
          <w:rFonts w:eastAsia="Calibri"/>
          <w:lang w:eastAsia="x-none"/>
        </w:rPr>
        <w:t>Замены устаревшего оборудования, повышения надежности схемы выдачи мощности и снижения аварийности.</w:t>
      </w:r>
    </w:p>
    <w:p>
      <w:pPr>
        <w:pStyle w:val="Heading2"/>
        <w:numPr>
          <w:ilvl w:val="1"/>
          <w:numId w:val="4"/>
        </w:numPr>
        <w:rPr>
          <w:sz w:val="28"/>
          <w:szCs w:val="28"/>
        </w:rPr>
      </w:pPr>
      <w:bookmarkStart w:id="8" w:name="_Toc46743508"/>
      <w:bookmarkStart w:id="9" w:name="_Toc54643698"/>
      <w:r>
        <w:rPr>
          <w:sz w:val="28"/>
          <w:szCs w:val="28"/>
        </w:rPr>
        <w:t>Существующее положение</w:t>
      </w:r>
      <w:bookmarkEnd w:id="8"/>
      <w:bookmarkEnd w:id="9"/>
    </w:p>
    <w:p>
      <w:pPr>
        <w:pStyle w:val="Normal"/>
        <w:ind w:firstLine="709"/>
        <w:jc w:val="both"/>
        <w:rPr/>
      </w:pPr>
      <w:bookmarkStart w:id="10" w:name="_Toc54643699"/>
      <w:r>
        <w:rPr>
          <w:b/>
          <w:i/>
        </w:rPr>
        <w:t>На Камской ГЭС, на кровле надводосливных помещений установлены 3 однофазных трансформаторов типа ОДГ-63333/110(1Т), осуществляющие выдачу электрической мощности от гидрогенераторов ГЭС, а также резервные однофазные трансформаторы ОДГ-63333/110 в количестве 3 единиц., производства «Белоозерский ЭМЗ» (республика Беларусь).</w:t>
      </w:r>
    </w:p>
    <w:p>
      <w:pPr>
        <w:pStyle w:val="Normal"/>
        <w:ind w:firstLine="709"/>
        <w:jc w:val="both"/>
        <w:rPr>
          <w:i/>
          <w:i/>
        </w:rPr>
      </w:pPr>
      <w:r>
        <w:rPr>
          <w:i/>
        </w:rPr>
      </w:r>
    </w:p>
    <w:p>
      <w:pPr>
        <w:pStyle w:val="Normal"/>
        <w:ind w:firstLine="709"/>
        <w:jc w:val="both"/>
        <w:rPr/>
      </w:pPr>
      <w:r>
        <w:rPr>
          <w:b/>
          <w:i/>
        </w:rPr>
        <w:t>За время эксплуатации на трансформаторах данного типа выявлены следующие дефекты:</w:t>
      </w:r>
    </w:p>
    <w:p>
      <w:pPr>
        <w:pStyle w:val="ListParagraph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191" w:type="dxa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2143"/>
        <w:gridCol w:w="8047"/>
      </w:tblGrid>
      <w:tr>
        <w:trPr/>
        <w:tc>
          <w:tcPr>
            <w:tcW w:w="2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Cs w:val="22"/>
              </w:rPr>
              <w:t>Трансформатор</w:t>
            </w:r>
          </w:p>
        </w:tc>
        <w:tc>
          <w:tcPr>
            <w:tcW w:w="80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Cs w:val="22"/>
              </w:rPr>
              <w:t>Описание дефекта</w:t>
            </w:r>
          </w:p>
        </w:tc>
      </w:tr>
      <w:tr>
        <w:trPr/>
        <w:tc>
          <w:tcPr>
            <w:tcW w:w="2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Зав.001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Реконстр:1992г.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КР: 2007 г.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Статус: в экспл.</w:t>
            </w:r>
          </w:p>
        </w:tc>
        <w:tc>
          <w:tcPr>
            <w:tcW w:w="80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1996 год – Аварийный останов из-за нагрева контактов шпилек. Плохо подтянуты шпильки на переходных контактах вводов 10 кВ. Перепаяны вводы 10 кВ с заменой гибкой связи и вводных шпилек. Ремонт выполнен на ГЭС.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2006 год - Превышение граничной концентрации этилена. Выполнена дегазация.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2007 год - Превышение этана, метана, этилена. Обнаружено отсутствие изоляции между магнитопроводом и нижней, верхней ярмовыми балками.</w:t>
            </w:r>
          </w:p>
        </w:tc>
      </w:tr>
      <w:tr>
        <w:trPr/>
        <w:tc>
          <w:tcPr>
            <w:tcW w:w="214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Зав.002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Реконстр:1993г.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КР: 2021 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Статус: в </w:t>
            </w:r>
            <w:r>
              <w:rPr>
                <w:rFonts w:eastAsia="Calibri"/>
                <w:i/>
                <w:iCs/>
                <w:sz w:val="24"/>
                <w:szCs w:val="24"/>
                <w:lang w:val="en-US"/>
              </w:rPr>
              <w:t>экспл.</w:t>
            </w:r>
          </w:p>
        </w:tc>
        <w:tc>
          <w:tcPr>
            <w:tcW w:w="80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2021 год - Срабатывание газовой защиты на сигнал. В результате осмотра обнаружено: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отгорела металлосвязь, соединяющая пакет магнитопровода и верхнюю ярмовую балку со стороны ВН;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следы подгара на картоне стяжных полубандажей верхней ярмовой балки;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повреждение изоляционных прокладок нижней ярмовой балки;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- следы оплавления листов магнитопровода верхней ярмовой балки (1 пакет на ширину 3 см). </w:t>
            </w:r>
          </w:p>
        </w:tc>
      </w:tr>
      <w:tr>
        <w:trPr/>
        <w:tc>
          <w:tcPr>
            <w:tcW w:w="214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Зав.003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Реконстр:1995г.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Статус: в экспл.</w:t>
            </w:r>
          </w:p>
        </w:tc>
        <w:tc>
          <w:tcPr>
            <w:tcW w:w="80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2019 год - Рост концентрации этилена до граничной концентрации, затем ситуация стабилизировалась, рост прекратился.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2024 год - Поставлен на контроль с 10.09.2024 по причине превышения граничной концентрации этилена, этана.</w:t>
            </w:r>
          </w:p>
        </w:tc>
      </w:tr>
      <w:tr>
        <w:trPr/>
        <w:tc>
          <w:tcPr>
            <w:tcW w:w="214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Зав.004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Реконстр:1995г.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КР: 2011 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Статус: в резерве</w:t>
            </w:r>
          </w:p>
        </w:tc>
        <w:tc>
          <w:tcPr>
            <w:tcW w:w="80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2018 год - Повреждение изоляции (картонной прокладки  и обмоточной лакоткани) между прессующей шпилькой (шайбой) и прессующим кольцом обмотки  НН стержня А.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2024 год - Постоянная положительная динамика роста концентрации газов, превышение граничной концентрации по этилену.</w:t>
            </w:r>
          </w:p>
        </w:tc>
      </w:tr>
      <w:tr>
        <w:trPr/>
        <w:tc>
          <w:tcPr>
            <w:tcW w:w="214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‍</w:t>
            </w:r>
            <w:r>
              <w:rPr>
                <w:rFonts w:eastAsia="Calibri"/>
                <w:i/>
                <w:iCs/>
                <w:sz w:val="24"/>
                <w:szCs w:val="24"/>
              </w:rPr>
              <w:t>Зав.005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Реконстр:2001г.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СР: 2025 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Статус: в резерве</w:t>
            </w:r>
          </w:p>
        </w:tc>
        <w:tc>
          <w:tcPr>
            <w:tcW w:w="80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2024 год — Срабатывание газовой защиты на сигнал. </w:t>
            </w:r>
            <w:r>
              <w:rPr>
                <w:i/>
                <w:iCs/>
                <w:sz w:val="24"/>
                <w:szCs w:val="24"/>
              </w:rPr>
              <w:t>В результате осмотра обнаружено: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- </w:t>
            </w:r>
            <w:r>
              <w:rPr>
                <w:rFonts w:eastAsia="新細明體" w:cs="Times New Roman" w:cstheme="majorBidi" w:eastAsiaTheme="majorEastAsia"/>
                <w:bCs/>
                <w:i/>
                <w:iCs/>
                <w:sz w:val="24"/>
                <w:szCs w:val="24"/>
              </w:rPr>
              <w:t xml:space="preserve">следы электрического пробоя на картоне </w:t>
            </w:r>
            <w:r>
              <w:rPr>
                <w:i/>
                <w:iCs/>
                <w:sz w:val="24"/>
                <w:szCs w:val="24"/>
              </w:rPr>
              <w:t>стяжных полубандажей верхней ярмовой балки;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- </w:t>
            </w:r>
            <w:r>
              <w:rPr>
                <w:rFonts w:eastAsia="新細明體" w:cs="Times New Roman" w:cstheme="majorBidi" w:eastAsiaTheme="majorEastAsia"/>
                <w:bCs/>
                <w:i/>
                <w:iCs/>
                <w:sz w:val="24"/>
                <w:szCs w:val="24"/>
              </w:rPr>
              <w:t>следы температурного нагрева от действия дуги на полубандаже и листах стали магнитопровода</w:t>
            </w:r>
            <w:r>
              <w:rPr>
                <w:i/>
                <w:iCs/>
                <w:sz w:val="24"/>
                <w:szCs w:val="24"/>
              </w:rPr>
              <w:t xml:space="preserve"> . </w:t>
            </w:r>
          </w:p>
        </w:tc>
      </w:tr>
      <w:tr>
        <w:trPr/>
        <w:tc>
          <w:tcPr>
            <w:tcW w:w="2143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Зав.007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Реконстр:2003г.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АВР: 2008 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АВР: 2017 г.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Статус: выведен из экспл.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80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2008 год - Отключение от газовой защиты. Замена обмотки ВН. 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2017 год - Отключение от газовой защиты. Повреждение магнитопровода при замыкании магнитопровода на ярмовую балку.</w:t>
            </w:r>
          </w:p>
        </w:tc>
      </w:tr>
      <w:tr>
        <w:trPr/>
        <w:tc>
          <w:tcPr>
            <w:tcW w:w="214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80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2021 год - Отключение трансформатора от действия ДЗТ. При вскрытии бака трансформатора выявлено повреждение обмотки ВН на стержне «А». Восстановление признано нецелесообразным. Трансформатор выведен из эксплуатации.</w:t>
            </w:r>
          </w:p>
        </w:tc>
      </w:tr>
    </w:tbl>
    <w:p>
      <w:pPr>
        <w:pStyle w:val="Normal"/>
        <w:ind w:firstLine="709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Normal"/>
        <w:ind w:firstLine="709"/>
        <w:jc w:val="both"/>
        <w:rPr>
          <w:i/>
          <w:i/>
        </w:rPr>
      </w:pPr>
      <w:r>
        <w:rPr>
          <w:i/>
        </w:rPr>
        <w:t>На данном типе трансформаторов систематически выявляются дефекты, приводящие к аварийным отключениям оборудования. Трансформаторы типа ОДГ-63333/110  второй трансформаторной группы 2Т были заменены на новые в 2022-2023г.</w:t>
      </w:r>
    </w:p>
    <w:p>
      <w:pPr>
        <w:pStyle w:val="Normal"/>
        <w:ind w:firstLine="709"/>
        <w:jc w:val="both"/>
        <w:rPr>
          <w:i/>
          <w:i/>
        </w:rPr>
      </w:pPr>
      <w:r>
        <w:rPr>
          <w:i/>
        </w:rPr>
        <w:t>В настоящий момент принято решение о замене трех трансформаторов 1 блока Камской ГЭС.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lang w:val="ru-RU"/>
        </w:rPr>
      </w:pPr>
      <w:r>
        <w:rPr/>
        <w:t>Таблица 1</w:t>
      </w:r>
      <w:r>
        <w:rPr>
          <w:lang w:val="ru-RU"/>
        </w:rPr>
        <w:t>.</w:t>
      </w:r>
      <w:r>
        <w:rPr/>
        <w:t xml:space="preserve"> </w:t>
      </w:r>
      <w:r>
        <w:rPr>
          <w:lang w:val="ru-RU"/>
        </w:rPr>
        <w:t>Перечень объектов заказчика</w:t>
      </w:r>
      <w:bookmarkEnd w:id="10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58"/>
        <w:gridCol w:w="2130"/>
        <w:gridCol w:w="2129"/>
        <w:gridCol w:w="1984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 xml:space="preserve">Трансформаторная группа 1Т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Камская ГЭС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Г. Пермь ул. Соликамская д.329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widowControl w:val="false"/>
        <w:numPr>
          <w:ilvl w:val="1"/>
          <w:numId w:val="4"/>
        </w:numPr>
        <w:spacing w:before="120" w:after="120"/>
        <w:ind w:hanging="6" w:left="0"/>
        <w:contextualSpacing/>
        <w:jc w:val="both"/>
        <w:rPr>
          <w:i/>
          <w:i/>
          <w:iCs/>
          <w:sz w:val="28"/>
          <w:szCs w:val="28"/>
        </w:rPr>
      </w:pPr>
      <w:bookmarkStart w:id="11" w:name="_Toc54643700"/>
      <w:bookmarkStart w:id="12" w:name="_Toc46743509"/>
      <w:bookmarkStart w:id="13" w:name="_Hlk49857604"/>
      <w:r>
        <w:rPr>
          <w:sz w:val="28"/>
          <w:szCs w:val="28"/>
        </w:rPr>
        <w:t xml:space="preserve">Информация в отношении исполнения договора, </w:t>
      </w:r>
      <w:bookmarkStart w:id="14" w:name="_Hlk46492347"/>
      <w:r>
        <w:rPr>
          <w:sz w:val="28"/>
          <w:szCs w:val="28"/>
        </w:rPr>
        <w:t xml:space="preserve">которая должна быть учтена при подготовке заявки </w:t>
      </w:r>
      <w:bookmarkEnd w:id="14"/>
      <w:r>
        <w:rPr>
          <w:sz w:val="28"/>
          <w:szCs w:val="28"/>
        </w:rPr>
        <w:t xml:space="preserve">(в том числе перечень ресурсов, услуг и документов, предоставляемых </w:t>
      </w:r>
      <w:r>
        <w:rPr>
          <w:sz w:val="28"/>
          <w:szCs w:val="28"/>
          <w:lang w:val="ru-RU"/>
        </w:rPr>
        <w:t>заказчиком</w:t>
      </w:r>
      <w:r>
        <w:rPr>
          <w:sz w:val="28"/>
          <w:szCs w:val="28"/>
        </w:rPr>
        <w:t xml:space="preserve"> на этапе исполнения договора)</w:t>
      </w:r>
      <w:bookmarkEnd w:id="12"/>
      <w:bookmarkEnd w:id="13"/>
      <w:r>
        <w:rPr>
          <w:sz w:val="28"/>
          <w:szCs w:val="28"/>
          <w:lang w:val="ru-RU"/>
        </w:rPr>
        <w:t xml:space="preserve"> </w:t>
      </w:r>
      <w:bookmarkStart w:id="15" w:name="_Toc50125126"/>
      <w:bookmarkStart w:id="16" w:name="_Toc46743510"/>
      <w:bookmarkStart w:id="17" w:name="_Toc54643701"/>
      <w:bookmarkEnd w:id="11"/>
    </w:p>
    <w:p>
      <w:pPr>
        <w:pStyle w:val="Heading4"/>
        <w:widowControl w:val="false"/>
        <w:numPr>
          <w:ilvl w:val="0"/>
        </w:numPr>
        <w:tabs>
          <w:tab w:val="clear" w:pos="0"/>
          <w:tab w:val="left" w:pos="426" w:leader="none"/>
        </w:tabs>
        <w:spacing w:before="120" w:after="120"/>
        <w:ind w:hanging="0" w:left="432"/>
        <w:contextualSpacing/>
        <w:jc w:val="both"/>
        <w:rPr/>
      </w:pPr>
      <w:r>
        <w:rPr/>
      </w:r>
    </w:p>
    <w:p>
      <w:pPr>
        <w:pStyle w:val="Heading4"/>
        <w:widowControl w:val="false"/>
        <w:numPr>
          <w:ilvl w:val="0"/>
        </w:numPr>
        <w:tabs>
          <w:tab w:val="clear" w:pos="0"/>
          <w:tab w:val="left" w:pos="426" w:leader="none"/>
        </w:tabs>
        <w:spacing w:before="120" w:after="120"/>
        <w:ind w:hanging="0" w:left="432"/>
        <w:contextualSpacing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Документы предоставляются Подрядчику по запросу Подрядчика после заключения Договора: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/>
          <w:i/>
          <w:iCs/>
        </w:rPr>
      </w:pPr>
      <w:r>
        <w:rPr>
          <w:i/>
          <w:iCs/>
        </w:rPr>
        <w:t>1. Однолинейные схемы электроустановок, оснащаемых системой контроля перегрева контактных соединений;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/>
          <w:i/>
          <w:iCs/>
        </w:rPr>
      </w:pPr>
      <w:r>
        <w:rPr>
          <w:i/>
          <w:iCs/>
        </w:rPr>
        <w:t>2. Заводские чертежи и планировки помещений размещения электрооборудования;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/>
          <w:i/>
          <w:iCs/>
        </w:rPr>
      </w:pPr>
      <w:r>
        <w:rPr>
          <w:i/>
          <w:iCs/>
        </w:rPr>
        <w:t>3. Существующие технологические схемы;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/>
          <w:i/>
          <w:iCs/>
        </w:rPr>
      </w:pPr>
      <w:r>
        <w:rPr>
          <w:i/>
          <w:iCs/>
        </w:rPr>
        <w:t>4. Инструкции и паспорта на эксплуатируемое оборудование;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/>
          <w:i/>
          <w:iCs/>
        </w:rPr>
      </w:pPr>
      <w:r>
        <w:rPr>
          <w:i/>
          <w:iCs/>
        </w:rPr>
        <w:t>5. Существующие чертежи.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rStyle w:val="Style8"/>
          <w:b w:val="false"/>
          <w:iCs/>
        </w:rPr>
      </w:pPr>
      <w:r>
        <w:rPr>
          <w:rStyle w:val="Style8"/>
          <w:b w:val="false"/>
          <w:iCs/>
        </w:rPr>
        <w:t xml:space="preserve"> </w:t>
      </w:r>
      <w:bookmarkEnd w:id="17"/>
    </w:p>
    <w:p>
      <w:pPr>
        <w:pStyle w:val="Normal"/>
        <w:keepNext w:val="true"/>
        <w:numPr>
          <w:ilvl w:val="0"/>
          <w:numId w:val="0"/>
        </w:numPr>
        <w:spacing w:before="120" w:after="60"/>
        <w:ind w:hanging="432" w:left="432"/>
        <w:outlineLvl w:val="3"/>
        <w:rPr>
          <w:rFonts w:eastAsia="Calibri"/>
          <w:b/>
          <w:bCs/>
          <w:lang w:eastAsia="x-none"/>
        </w:rPr>
      </w:pPr>
      <w:bookmarkStart w:id="18" w:name="_Toc54647812"/>
      <w:r>
        <w:rPr>
          <w:rFonts w:eastAsia="Calibri"/>
          <w:b/>
          <w:bCs/>
          <w:lang w:eastAsia="x-none"/>
        </w:rPr>
        <w:t xml:space="preserve">1.6. </w:t>
      </w:r>
      <w:r>
        <w:rPr>
          <w:rFonts w:eastAsia="Calibri"/>
          <w:b/>
          <w:bCs/>
          <w:lang w:val="x-none" w:eastAsia="x-none"/>
        </w:rPr>
        <w:t>Иные требования и сведения общего характера</w:t>
      </w:r>
      <w:r>
        <w:rPr>
          <w:rFonts w:eastAsia="Calibri"/>
          <w:b/>
          <w:bCs/>
          <w:lang w:eastAsia="x-none"/>
        </w:rPr>
        <w:t xml:space="preserve"> </w:t>
      </w:r>
      <w:bookmarkEnd w:id="18"/>
    </w:p>
    <w:p>
      <w:pPr>
        <w:pStyle w:val="Normal"/>
        <w:keepNext w:val="true"/>
        <w:numPr>
          <w:ilvl w:val="0"/>
          <w:numId w:val="0"/>
        </w:numPr>
        <w:spacing w:before="120" w:after="60"/>
        <w:ind w:firstLine="426" w:left="0"/>
        <w:jc w:val="both"/>
        <w:outlineLvl w:val="3"/>
        <w:rPr>
          <w:rFonts w:eastAsia="Calibri"/>
          <w:bCs/>
          <w:i/>
          <w:i/>
          <w:sz w:val="24"/>
          <w:szCs w:val="24"/>
          <w:lang w:val="x-none" w:eastAsia="x-none"/>
        </w:rPr>
      </w:pPr>
      <w:r>
        <w:rPr>
          <w:rFonts w:eastAsia="Calibri"/>
          <w:bCs/>
          <w:i/>
          <w:sz w:val="24"/>
          <w:szCs w:val="24"/>
          <w:lang w:val="x-none" w:eastAsia="x-none"/>
        </w:rPr>
        <w:t xml:space="preserve"> </w:t>
      </w:r>
      <w:r>
        <w:rPr>
          <w:rFonts w:eastAsia="Calibri"/>
          <w:bCs/>
          <w:i/>
          <w:sz w:val="24"/>
          <w:szCs w:val="24"/>
          <w:lang w:val="x-none" w:eastAsia="x-none"/>
        </w:rPr>
        <w:t>На объектах филиала ПАО «РусГидро»-«Камская ГЭС» установлен порядок пропускного и внутриобъектового режимов. Порядок допуска лиц, пропуска транспортных средств и перемещение материальных ценностей прописан в инструкции по пропускному и внутриобъектовому режимам филиала ПАО «РусГидро»-«Камская ГЭС».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rStyle w:val="Style8"/>
          <w:b w:val="false"/>
          <w:bCs/>
          <w:sz w:val="24"/>
          <w:szCs w:val="24"/>
          <w:lang w:val="x-none"/>
        </w:rPr>
      </w:pPr>
      <w:r>
        <w:rPr>
          <w:b w:val="false"/>
          <w:bCs/>
          <w:sz w:val="24"/>
          <w:szCs w:val="24"/>
          <w:lang w:val="x-none"/>
        </w:rPr>
      </w:r>
    </w:p>
    <w:p>
      <w:pPr>
        <w:pStyle w:val="Heading1"/>
        <w:keepLines/>
        <w:numPr>
          <w:ilvl w:val="0"/>
          <w:numId w:val="4"/>
        </w:numPr>
        <w:ind w:hanging="357" w:left="357"/>
        <w:jc w:val="center"/>
        <w:rPr>
          <w:iCs/>
          <w:caps/>
          <w:lang w:val="ru-RU"/>
        </w:rPr>
      </w:pPr>
      <w:bookmarkStart w:id="19" w:name="_Toc51339693"/>
      <w:bookmarkStart w:id="20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9"/>
      <w:bookmarkEnd w:id="20"/>
    </w:p>
    <w:p>
      <w:pPr>
        <w:pStyle w:val="Heading4"/>
        <w:numPr>
          <w:ilvl w:val="1"/>
          <w:numId w:val="4"/>
        </w:numPr>
        <w:rPr>
          <w:sz w:val="28"/>
          <w:szCs w:val="28"/>
          <w:lang w:val="ru-RU"/>
        </w:rPr>
      </w:pPr>
      <w:bookmarkStart w:id="21" w:name="_Toc54643703"/>
      <w:r>
        <w:rPr>
          <w:sz w:val="28"/>
          <w:szCs w:val="28"/>
        </w:rPr>
        <w:t xml:space="preserve">Требования к объемам и срокам </w:t>
      </w:r>
      <w:r>
        <w:rPr>
          <w:sz w:val="28"/>
          <w:szCs w:val="28"/>
          <w:lang w:val="ru-RU"/>
        </w:rPr>
        <w:t>оказания услуг</w:t>
      </w:r>
      <w:bookmarkEnd w:id="21"/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lang w:eastAsia="x-none"/>
        </w:rPr>
      </w:pPr>
      <w:bookmarkStart w:id="22" w:name="_Toc54647815"/>
      <w:r>
        <w:rPr>
          <w:rFonts w:eastAsia="Calibri"/>
          <w:b/>
          <w:lang w:val="x-none" w:eastAsia="x-none"/>
        </w:rPr>
        <w:t xml:space="preserve">Таблица </w:t>
      </w:r>
      <w:r>
        <w:rPr>
          <w:rFonts w:eastAsia="Calibri"/>
          <w:b/>
          <w:lang w:eastAsia="x-none"/>
        </w:rPr>
        <w:t>1.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 xml:space="preserve">Требования по срокам </w:t>
      </w:r>
      <w:bookmarkEnd w:id="22"/>
      <w:r>
        <w:rPr>
          <w:rFonts w:eastAsia="Calibri"/>
          <w:b/>
          <w:lang w:eastAsia="x-none"/>
        </w:rPr>
        <w:t>оказания услуг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3541"/>
        <w:gridCol w:w="1988"/>
        <w:gridCol w:w="3115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 xml:space="preserve">Наименование </w:t>
            </w:r>
            <w:r>
              <w:rPr>
                <w:lang w:val="en-US"/>
              </w:rPr>
              <w:t>услуг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началу срока оказания услуг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Требования к окончанию срока оказания услуг 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1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/>
              <w:jc w:val="center"/>
              <w:rPr/>
            </w:pPr>
            <w:r>
              <w:rPr>
                <w:b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/>
              <w:jc w:val="center"/>
              <w:rPr/>
            </w:pPr>
            <w:r>
              <w:rPr>
                <w:b/>
              </w:rPr>
              <w:t>4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164" w:leader="none"/>
              </w:tabs>
              <w:spacing w:lineRule="auto" w:line="259" w:before="0" w:after="160"/>
              <w:ind w:hanging="338" w:left="360" w:right="-99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</w:rPr>
              <w:t>На выполнение работ по разработке рабочей, сметной документации и авторскому надзору по монтажу трех однофазных трансформаторов 110 кВ Камской ГЭС</w:t>
            </w:r>
            <w:r>
              <w:rPr/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 даты заключения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eastAsia="zh-CN"/>
              </w:rPr>
              <w:t>30.11.2028 г.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4"/>
        </w:numPr>
        <w:rPr>
          <w:sz w:val="28"/>
          <w:szCs w:val="28"/>
        </w:rPr>
      </w:pPr>
      <w:bookmarkStart w:id="23" w:name="_Toc54643704"/>
      <w:r>
        <w:rPr>
          <w:sz w:val="28"/>
          <w:szCs w:val="28"/>
          <w:lang w:val="ru-RU"/>
        </w:rPr>
        <w:t>Требования к перечню и объему услуг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lang w:val="ru-RU"/>
        </w:rPr>
      </w:pPr>
      <w:bookmarkStart w:id="24" w:name="_Toc54643705"/>
      <w:bookmarkStart w:id="25" w:name="_Toc51339695"/>
      <w:r>
        <w:rPr/>
        <w:t xml:space="preserve">Таблица </w:t>
      </w:r>
      <w:r>
        <w:rPr>
          <w:lang w:val="ru-RU"/>
        </w:rPr>
        <w:t>2.</w:t>
      </w:r>
      <w:r>
        <w:rPr/>
        <w:t xml:space="preserve"> </w:t>
      </w:r>
      <w:r>
        <w:rPr>
          <w:lang w:val="ru-RU"/>
        </w:rPr>
        <w:t xml:space="preserve">Перечень </w:t>
      </w:r>
      <w:bookmarkEnd w:id="25"/>
      <w:r>
        <w:rPr>
          <w:lang w:val="ru-RU"/>
        </w:rPr>
        <w:t>и объем оказываемых услуг</w:t>
      </w:r>
      <w:bookmarkEnd w:id="2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1"/>
        <w:gridCol w:w="2120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sz w:val="26"/>
                <w:szCs w:val="26"/>
              </w:rPr>
              <w:t>На выполнение работ по разработке рабочей по сборке четырех и монтажу трех однофазных трансформаторов 110 кВ Камской ГЭС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комп.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Авторскому надзору по сборке четырех и монтажу трех однофазных однофазных трансформаторов 110 кВ Камской ГЭС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Шт.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</w:t>
            </w:r>
            <w:bookmarkEnd w:id="15"/>
            <w:bookmarkEnd w:id="16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4"/>
        </w:numPr>
        <w:rPr>
          <w:sz w:val="28"/>
          <w:szCs w:val="28"/>
        </w:rPr>
      </w:pPr>
      <w:bookmarkStart w:id="26" w:name="_Toc54643708"/>
      <w:bookmarkStart w:id="27" w:name="_Toc50125131"/>
      <w:bookmarkStart w:id="28" w:name="_Toc51339698"/>
      <w:bookmarkStart w:id="29" w:name="_Toc54643709"/>
      <w:bookmarkStart w:id="30" w:name="_Toc46743511"/>
      <w:r>
        <w:rPr>
          <w:sz w:val="28"/>
          <w:szCs w:val="28"/>
        </w:rPr>
        <w:t xml:space="preserve">Требования к </w:t>
      </w:r>
      <w:bookmarkEnd w:id="30"/>
      <w:r>
        <w:rPr>
          <w:sz w:val="28"/>
          <w:szCs w:val="28"/>
          <w:lang w:val="ru-RU"/>
        </w:rPr>
        <w:t>качеству услуг</w:t>
      </w:r>
      <w:bookmarkEnd w:id="26"/>
      <w:bookmarkEnd w:id="27"/>
      <w:bookmarkEnd w:id="28"/>
      <w:bookmarkEnd w:id="29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rPr>
          <w:b/>
          <w:bCs/>
          <w:lang w:val="en-US"/>
        </w:rPr>
      </w:pPr>
      <w:r>
        <w:rPr>
          <w:b/>
          <w:bCs/>
        </w:rPr>
        <w:t>Наименование услуг</w:t>
      </w:r>
      <w:r>
        <w:rPr>
          <w:b/>
          <w:bCs/>
          <w:lang w:val="en-US"/>
        </w:rPr>
        <w:t>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</w:rPr>
      </w:pPr>
      <w:r>
        <w:rPr>
          <w:rFonts w:eastAsia="Calibri"/>
        </w:rPr>
        <w:t>«На выполнение работ по разработке рабочей, сметной документации и авторскому надзору по монтажу трех однофазных трансформаторов 110 кВ Камской ГЭС</w:t>
      </w:r>
      <w:r>
        <w:rPr>
          <w:rFonts w:eastAsia="Calibri"/>
          <w:b/>
          <w:i/>
        </w:rPr>
        <w:t>»</w:t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i/>
          <w:i/>
          <w:iCs/>
          <w:shd w:fill="FFFF99" w:val="clear"/>
          <w:lang w:val="en-US"/>
        </w:rPr>
      </w:pPr>
      <w:r>
        <w:rPr>
          <w:b/>
          <w:bCs/>
        </w:rPr>
        <w:t xml:space="preserve">Таблица 3. Требования к качеству </w:t>
      </w:r>
      <w:r>
        <w:rPr>
          <w:b/>
          <w:bCs/>
          <w:lang w:val="en-US"/>
        </w:rPr>
        <w:t>услуг</w:t>
      </w:r>
    </w:p>
    <w:tbl>
      <w:tblPr>
        <w:tblStyle w:val="affff9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3404"/>
        <w:gridCol w:w="2691"/>
        <w:gridCol w:w="2928"/>
        <w:gridCol w:w="2743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1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1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проектно-изыскательских работ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Предпроектное обследование: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Обследование существующих строительных конструкций;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Обследование серверов. На этапе предпроектного обследования, провести полноценный анализ и расчет, с последующим расширением, необходимого количества переменных процесса, обновлением экранных форм, расширение системы хранения данных  для полной интеграции  вновь вводимой системы в общестанционную систему;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Обследование элементов распределительного устройства на отм. 113 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Обследование существующих контрольных и силовых кабелей трансформаторов, а также их кабельных трасс.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Разработка задания на проектирование;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Разработка рабочей документации. В РД в обязательном порядке предусмотреть: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устройство новых, или учесть имеющиеся грузоподъёмные приспособления для монтажа-демонтажа, последующего технического обслуживания и ремонта;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расчет технологической схемы пожаротушения;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замена старых либо вышедших из строя кабельных связей и трасс (по результатам предпроектного обследования);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оснащение системы мониторинга сервером верхнего уровня для хранения, обработки и отображения информации. (трансформатор оснащен следующими датчиками: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Измерение температур верхних слоёв масла;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Измерения частичных разрядов (ЧР) в изоляции трансформатора индикаторного типа с адаптером (устройством присоединения) для тест-вывода (ПИН) в/ввода в диапазоне частот до 30МГц с механизмом фильтрации помех;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Измерение tg D и эл.емкости в/вводов с адаптера для ПИН в/ввода;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Определения газосодержания в масле (датчик индикаторного типа);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Определение влажности масла.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интеграцию электрических схем управления, автоматики и защиты в существующие системы ГЭС;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привязку нового оборудования к существующему оборудованию с учётом стеснённых условий и расположения оборудования других систем;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Согласование рабочей документации с Заказчиком и Пермским РДУ;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 Разработка смет. В сметной документации предусмотреть: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затраты на демонтаж, последующий монтаж оборудования, проведение пуско-наладочных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 Разработка ПОР (проект организации работ) с учётом размеров материалов и, разработать схемы расстановки оборудования.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 Согласование с Заказчиком полного комплекта документации.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требованиями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Форма предоставления проектной документации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Представить результаты обследования, рабочую и сметную документацию в электронном виде в формате: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для чертежей и схем - AutoCad 2007;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пояснительных записок – Word 2010;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таблиц – Excel 2010;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смет – Гранд-Смета версия не ниже 11;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не редактируемом виде: в формате PDF.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Представить результаты обследования, рабочую и сметную документацию на бумажном носителе (в количестве 3х экземпляров).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требованиями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1.1.3</w:t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Особые требования к разработке рабочей документации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Необходимо согласовать сроки проведения предпроектного обследования с графиком отключения основного оборудования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Авторский надзор в течение всего периода строительства и ввода в эксплуатацию объекта;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При разработке проекта руководствоваться всеми необходимыми нормативными документами с последними изменениями и дополнениями, в пояснительной записке обязательно указать перечень нормативных документов, используемых при проектировании (правила ППБ, ПТЭ, ПТБ, ГОСТ, СНИП, ПУЭ, СТО 17230282.27.010.001-2007, СТО 17330282.27.140.014-2008, и др.);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разработать проект на основании требований Постановления правительства РФ № 87 от 16 февраля 2008г «О составе разделов проектной документации и требованиях к их содержанию».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требованиями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4"/>
        </w:numPr>
        <w:ind w:hanging="357" w:left="357"/>
        <w:jc w:val="center"/>
        <w:rPr>
          <w:lang w:val="ru-RU"/>
        </w:rPr>
      </w:pPr>
      <w:bookmarkStart w:id="32" w:name="_Toc54643710"/>
      <w:bookmarkStart w:id="33" w:name="_Toc53393312"/>
      <w:bookmarkStart w:id="34" w:name="_Toc53395937"/>
      <w:r>
        <w:rPr>
          <w:lang w:val="ru-RU"/>
        </w:rPr>
        <w:t>Требования к документации по ценообразованию</w:t>
      </w:r>
      <w:bookmarkEnd w:id="33"/>
      <w:bookmarkEnd w:id="34"/>
      <w:r>
        <w:rPr>
          <w:lang w:val="ru-RU"/>
        </w:rPr>
        <w:t xml:space="preserve"> на этапе закупки</w:t>
      </w:r>
      <w:bookmarkEnd w:id="3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Heading1"/>
        <w:keepLines/>
        <w:numPr>
          <w:ilvl w:val="0"/>
          <w:numId w:val="0"/>
        </w:numPr>
        <w:ind w:firstLine="426" w:left="0"/>
        <w:rPr>
          <w:b w:val="false"/>
          <w:iCs/>
          <w:caps/>
        </w:rPr>
      </w:pPr>
      <w:r>
        <w:rPr>
          <w:b w:val="false"/>
          <w:iCs/>
        </w:rPr>
        <w:t xml:space="preserve">3.1. </w:t>
      </w:r>
      <w:r>
        <w:rPr>
          <w:b w:val="false"/>
          <w:iCs/>
          <w:lang w:val="ru-RU"/>
        </w:rPr>
        <w:t>В</w:t>
      </w:r>
      <w:r>
        <w:rPr>
          <w:b w:val="false"/>
          <w:iCs/>
        </w:rPr>
        <w:t xml:space="preserve">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Heading1"/>
        <w:keepLines/>
        <w:numPr>
          <w:ilvl w:val="0"/>
          <w:numId w:val="4"/>
        </w:numPr>
        <w:ind w:hanging="357" w:left="357"/>
        <w:jc w:val="center"/>
        <w:rPr>
          <w:lang w:val="ru-RU"/>
        </w:rPr>
      </w:pPr>
      <w:bookmarkStart w:id="35" w:name="_Toc54281228"/>
      <w:bookmarkStart w:id="36" w:name="_Toc54643711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5"/>
      <w:bookmarkEnd w:id="36"/>
    </w:p>
    <w:p>
      <w:pPr>
        <w:pStyle w:val="Heading1"/>
        <w:keepLines/>
        <w:numPr>
          <w:ilvl w:val="0"/>
          <w:numId w:val="0"/>
        </w:numPr>
        <w:shd w:val="clear" w:color="auto" w:fill="FFFFFF" w:themeFill="background1"/>
        <w:ind w:firstLine="284" w:left="0"/>
        <w:jc w:val="both"/>
        <w:rPr>
          <w:i/>
          <w:i/>
          <w:iCs/>
        </w:rPr>
      </w:pPr>
      <w:r>
        <w:rPr>
          <w:rStyle w:val="Style8"/>
          <w:rFonts w:eastAsia="Times New Roman"/>
          <w:b/>
          <w:bCs/>
          <w:i w:val="false"/>
          <w:iCs/>
          <w:shd w:fill="FFFFFF" w:val="clear"/>
          <w:lang w:val="ru-RU" w:eastAsia="ru-RU"/>
        </w:rPr>
        <w:t>4.1. По результатам настоящей закупки заключается договор с твердой ценой. Сметная документация составляется Подрядчиком в соответствии с требованиями, указанными в приложении №1 к настоящим Техническим требованиям.</w:t>
      </w:r>
    </w:p>
    <w:p>
      <w:pPr>
        <w:pStyle w:val="Heading1"/>
        <w:keepLines/>
        <w:numPr>
          <w:ilvl w:val="0"/>
          <w:numId w:val="4"/>
        </w:numPr>
        <w:ind w:hanging="73" w:left="357"/>
        <w:rPr>
          <w:iCs/>
          <w:lang w:val="ru-RU"/>
        </w:rPr>
      </w:pPr>
      <w:bookmarkStart w:id="37" w:name="_Toc46743519"/>
      <w:bookmarkStart w:id="38" w:name="_Toc51339699"/>
      <w:bookmarkEnd w:id="37"/>
      <w:bookmarkEnd w:id="38"/>
      <w:r>
        <w:rPr>
          <w:iCs/>
          <w:lang w:val="ru-RU"/>
        </w:rPr>
        <w:t>Приложения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 w:val="false"/>
          <w:i w:val="false"/>
          <w:iCs/>
          <w:shd w:fill="FFFFFF" w:val="clear"/>
        </w:rPr>
      </w:pPr>
      <w:r>
        <w:rPr>
          <w:rStyle w:val="Style8"/>
          <w:bCs/>
          <w:i w:val="false"/>
          <w:iCs/>
          <w:shd w:fill="FFFFFF" w:val="clear"/>
        </w:rPr>
        <w:t>Приложение 1.</w:t>
      </w:r>
      <w:r>
        <w:rPr>
          <w:rStyle w:val="Style8"/>
          <w:b w:val="false"/>
          <w:bCs/>
          <w:i w:val="false"/>
          <w:iCs/>
          <w:shd w:fill="FFFFFF" w:val="clear"/>
        </w:rPr>
        <w:t xml:space="preserve"> Требования к оформлению и составлению сметной документации на выполнение проектных работ.</w:t>
      </w:r>
    </w:p>
    <w:p>
      <w:pPr>
        <w:pStyle w:val="Normal"/>
        <w:rPr>
          <w:rStyle w:val="Style8"/>
          <w:bCs/>
          <w:i w:val="false"/>
          <w:i w:val="false"/>
          <w:caps/>
        </w:rPr>
      </w:pPr>
      <w:r>
        <w:rPr>
          <w:bCs/>
          <w:i w:val="false"/>
          <w:caps/>
        </w:rPr>
      </w:r>
      <w:bookmarkStart w:id="39" w:name="_Ref40301253"/>
      <w:bookmarkStart w:id="40" w:name="_Ref40301253"/>
      <w:bookmarkEnd w:id="40"/>
      <w:r>
        <w:br w:type="page"/>
      </w:r>
    </w:p>
    <w:p>
      <w:pPr>
        <w:pStyle w:val="ConsPlusNormal"/>
        <w:tabs>
          <w:tab w:val="clear" w:pos="708"/>
          <w:tab w:val="left" w:pos="993" w:leader="none"/>
        </w:tabs>
        <w:ind w:hanging="0" w:left="567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Приложение № 1 к ТТ </w:t>
      </w:r>
    </w:p>
    <w:p>
      <w:pPr>
        <w:pStyle w:val="ConsPlusNormal"/>
        <w:tabs>
          <w:tab w:val="clear" w:pos="708"/>
          <w:tab w:val="left" w:pos="993" w:leader="none"/>
        </w:tabs>
        <w:ind w:hanging="0" w:left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выполнение работ по разработке рабочей</w:t>
      </w:r>
    </w:p>
    <w:p>
      <w:pPr>
        <w:pStyle w:val="ConsPlusNormal"/>
        <w:tabs>
          <w:tab w:val="clear" w:pos="708"/>
          <w:tab w:val="left" w:pos="993" w:leader="none"/>
        </w:tabs>
        <w:ind w:hanging="0" w:left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документации и авторскому надзору </w:t>
      </w:r>
    </w:p>
    <w:p>
      <w:pPr>
        <w:pStyle w:val="ConsPlusNormal"/>
        <w:tabs>
          <w:tab w:val="clear" w:pos="708"/>
          <w:tab w:val="left" w:pos="993" w:leader="none"/>
        </w:tabs>
        <w:ind w:hanging="0" w:left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монтажу однофазных трансформаторов 110 кВ </w:t>
      </w:r>
    </w:p>
    <w:p>
      <w:pPr>
        <w:pStyle w:val="ConsPlusNormal"/>
        <w:tabs>
          <w:tab w:val="clear" w:pos="708"/>
          <w:tab w:val="left" w:pos="993" w:leader="none"/>
        </w:tabs>
        <w:ind w:hanging="0" w:left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трансформаторной группы 1Т Камской ГЭС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Требования к оформлению и составлению</w:t>
      </w:r>
    </w:p>
    <w:p>
      <w:pPr>
        <w:pStyle w:val="Normal"/>
        <w:jc w:val="center"/>
        <w:rPr>
          <w:b/>
        </w:rPr>
      </w:pPr>
      <w:r>
        <w:rPr>
          <w:b/>
        </w:rPr>
        <w:t>сметной документации на выполнение проектных работ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993" w:leader="none"/>
        </w:tabs>
        <w:ind w:firstLine="283"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Настоящие требования разработаны для единого подхода к определению стоимости проектных работ.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993" w:leader="none"/>
        </w:tabs>
        <w:ind w:firstLine="283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Затраты на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93" w:leader="none"/>
        </w:tabs>
        <w:ind w:firstLine="283" w:left="284"/>
        <w:jc w:val="both"/>
        <w:rPr/>
      </w:pPr>
      <w:r>
        <w:rPr/>
        <w:t xml:space="preserve">Сметы на проектные работы составлять на основании технических требований (технического задания) заказчика, графиков производства работ, программы изысканий.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/>
      </w:pPr>
      <w:r>
        <w:rPr/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 620 (далее-МУ) или иных актуальных методических указаний.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/>
      </w:pPr>
      <w:r>
        <w:rPr/>
        <w:t>При определении стоимости проектных работ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/>
      </w:pPr>
      <w:r>
        <w:rPr/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/>
      </w:pPr>
      <w:r>
        <w:rPr/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/>
      </w:pPr>
      <w:r>
        <w:rPr/>
        <w:t>Пересчет сметной стоимости проектных работ по состоянию на 01.01.2001г, 01.01.1995г. (1991г.) следует производить согласно индексам на указанные (проектные)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426" w:leader="none"/>
          <w:tab w:val="left" w:pos="993" w:leader="none"/>
        </w:tabs>
        <w:ind w:firstLine="283" w:left="284"/>
        <w:jc w:val="both"/>
        <w:rPr/>
      </w:pPr>
      <w:r>
        <w:rPr/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>
        <w:rPr>
          <w:lang w:val="en-US"/>
        </w:rPr>
        <w:t>II</w:t>
      </w:r>
      <w:r>
        <w:rPr/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 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/>
      </w:pPr>
      <w:r>
        <w:rPr/>
        <w:t>Решение о стоимости работ принимать коллегиально на уровне Департамента закупок и Департамента капитального строительства (в лице Управления организации проектной деятельности) с учетом индивидуального подхода по каждому объекту.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/>
      </w:pPr>
      <w:r>
        <w:rPr/>
        <w:t>При определении стоимости проектных работ,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/>
      </w:pPr>
      <w:r>
        <w:rPr/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МУ, либо по нормативному акту, пришедшему на смену данному документу.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работ, цены на которые отсутствуют в СБЦ, МНЗ</w:t>
      </w:r>
      <w:bookmarkStart w:id="41" w:name="_GoBack_Копия_1"/>
      <w:bookmarkEnd w:id="41"/>
      <w:r>
        <w:rPr>
          <w:rFonts w:ascii="Times New Roman" w:hAnsi="Times New Roman"/>
          <w:sz w:val="24"/>
          <w:szCs w:val="24"/>
        </w:rPr>
        <w:t xml:space="preserve"> и СЦ, внесенных в </w:t>
      </w:r>
      <w:r>
        <w:rPr>
          <w:rFonts w:cs="Times New Roman" w:ascii="Times New Roman" w:hAnsi="Times New Roman"/>
          <w:sz w:val="24"/>
          <w:szCs w:val="24"/>
        </w:rPr>
        <w:t>ФРСН</w:t>
      </w:r>
      <w:r>
        <w:rPr>
          <w:rFonts w:ascii="Times New Roman" w:hAnsi="Times New Roman"/>
          <w:sz w:val="24"/>
          <w:szCs w:val="24"/>
        </w:rPr>
        <w:t xml:space="preserve">, возможно определять сметным расчетом по себестоимости и сложившемуся уровню рентабельности (форма </w:t>
      </w:r>
      <w:hyperlink r:id="rId7">
        <w:r>
          <w:rPr>
            <w:rStyle w:val="Hyperlink"/>
            <w:rFonts w:ascii="Times New Roman" w:hAnsi="Times New Roman"/>
            <w:sz w:val="24"/>
            <w:szCs w:val="24"/>
          </w:rPr>
          <w:t>3п</w:t>
        </w:r>
      </w:hyperlink>
      <w:r>
        <w:rPr>
          <w:rFonts w:ascii="Times New Roman" w:hAnsi="Times New Roman"/>
          <w:sz w:val="24"/>
          <w:szCs w:val="24"/>
        </w:rPr>
        <w:t>) по согласованию с Заказчиком.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>
      <w:pPr>
        <w:pStyle w:val="ConsPlusNormal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Сметы на проектные работы предоставляются в форматах: «Excel» и «</w:t>
      </w:r>
      <w:r>
        <w:rPr>
          <w:rFonts w:cs="Times New Roman" w:ascii="Times New Roman" w:hAnsi="Times New Roman"/>
          <w:sz w:val="24"/>
          <w:szCs w:val="24"/>
          <w:lang w:val="en-US"/>
        </w:rPr>
        <w:t>pdf</w:t>
      </w:r>
      <w:r>
        <w:rPr>
          <w:rFonts w:cs="Times New Roman" w:ascii="Times New Roman" w:hAnsi="Times New Roman"/>
          <w:sz w:val="24"/>
          <w:szCs w:val="24"/>
        </w:rPr>
        <w:t>» (с подписями и печатью). Сметная документация в формате «Exce</w:t>
      </w:r>
      <w:r>
        <w:rPr>
          <w:rFonts w:cs="Times New Roman" w:ascii="Times New Roman" w:hAnsi="Times New Roman"/>
          <w:sz w:val="24"/>
          <w:szCs w:val="24"/>
          <w:lang w:val="en-US"/>
        </w:rPr>
        <w:t>l</w:t>
      </w:r>
      <w:r>
        <w:rPr>
          <w:rFonts w:cs="Times New Roman" w:ascii="Times New Roman" w:hAnsi="Times New Roman"/>
          <w:sz w:val="24"/>
          <w:szCs w:val="24"/>
        </w:rPr>
        <w:t xml:space="preserve">» должна быть представлена в одном файле с внесением ССРСС, ЛСР и других расчетов на отдельные листы (вкладки) документа. </w:t>
      </w:r>
      <w:r>
        <w:rPr>
          <w:rFonts w:ascii="Times New Roman" w:hAnsi="Times New Roman"/>
          <w:sz w:val="24"/>
          <w:szCs w:val="24"/>
        </w:rPr>
        <w:t xml:space="preserve">Результаты вычислений </w:t>
      </w:r>
      <w:r>
        <w:rPr>
          <w:rFonts w:cs="Times New Roman" w:ascii="Times New Roman" w:hAnsi="Times New Roman"/>
          <w:sz w:val="24"/>
          <w:szCs w:val="24"/>
        </w:rPr>
        <w:t xml:space="preserve">(построчные) </w:t>
      </w:r>
      <w:r>
        <w:rPr>
          <w:rFonts w:ascii="Times New Roman" w:hAnsi="Times New Roman"/>
          <w:sz w:val="24"/>
          <w:szCs w:val="24"/>
        </w:rPr>
        <w:t xml:space="preserve">и итоговые данные в </w:t>
      </w:r>
      <w:r>
        <w:rPr>
          <w:rFonts w:cs="Times New Roman" w:ascii="Times New Roman" w:hAnsi="Times New Roman"/>
          <w:sz w:val="24"/>
          <w:szCs w:val="24"/>
        </w:rPr>
        <w:t xml:space="preserve">ЛСР (ЛС), приводятся в рублях, при базисно-индексном методе, с округлением до двух знаков после запятой (до копеек);при ресурсно-индексном и ресурсным методах, а также сметных расчетах на отдельные виды затрат - с округлением до целых единиц в сводной смете - в рублях с округлением до целых единиц. 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Командировочные расходы, учтенные в смете, подтверждаются отдельным расчетом.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Лимиты командировочных расходов при производстве проектных работ не более: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080" w:leader="none"/>
        </w:tabs>
        <w:ind w:firstLine="425" w:left="426"/>
        <w:jc w:val="both"/>
        <w:rPr>
          <w:color w:val="000000"/>
        </w:rPr>
      </w:pPr>
      <w:r>
        <w:rPr>
          <w:color w:val="000000"/>
        </w:rPr>
        <w:t>суточные - 700 руб./сутки;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080" w:leader="none"/>
        </w:tabs>
        <w:ind w:firstLine="425" w:left="426"/>
        <w:jc w:val="both"/>
        <w:rPr>
          <w:color w:val="000000"/>
        </w:rPr>
      </w:pPr>
      <w:r>
        <w:rPr>
          <w:color w:val="000000"/>
        </w:rPr>
        <w:t>проживание – 5000 руб./сутки;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080" w:leader="none"/>
        </w:tabs>
        <w:ind w:firstLine="425" w:left="426"/>
        <w:jc w:val="both"/>
        <w:rPr>
          <w:b/>
          <w:i/>
          <w:i/>
          <w:color w:val="000000" w:themeColor="text1"/>
        </w:rPr>
      </w:pPr>
      <w:r>
        <w:rPr>
          <w:color w:val="000000"/>
        </w:rPr>
        <w:t>проезд: поезд (купе) или самолет (класс–эконом с багажом до 20 (двадцати) кг, ручная кладь до 10 (десяти) кг).</w:t>
      </w:r>
      <w:r>
        <w:rPr/>
        <w:t xml:space="preserve">    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одновременной разработке проектной и полной или частичной разработке рабочей </w:t>
      </w:r>
    </w:p>
    <w:p>
      <w:pPr>
        <w:pStyle w:val="Normal"/>
        <w:tabs>
          <w:tab w:val="clear" w:pos="708"/>
          <w:tab w:val="left" w:pos="284" w:leader="none"/>
          <w:tab w:val="left" w:pos="99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284" w:leader="none"/>
          <w:tab w:val="left" w:pos="993" w:leader="none"/>
        </w:tabs>
        <w:ind w:firstLine="283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Выполнение обследований и обмерных работ на объектах, подлежащих реконструкции, </w:t>
      </w:r>
    </w:p>
    <w:p>
      <w:pPr>
        <w:pStyle w:val="Normal"/>
        <w:tabs>
          <w:tab w:val="clear" w:pos="708"/>
          <w:tab w:val="left" w:pos="284" w:leader="none"/>
          <w:tab w:val="left" w:pos="99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расширению и техническому перевооружению рассчитывается по соответствующим Справочникам и относится в </w:t>
      </w:r>
      <w:r>
        <w:rPr>
          <w:color w:val="000000"/>
          <w:sz w:val="24"/>
          <w:szCs w:val="24"/>
        </w:rPr>
        <w:t>главу 1 ССРСС.</w:t>
      </w:r>
      <w:r>
        <w:rPr>
          <w:sz w:val="24"/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>
      <w:pPr>
        <w:pStyle w:val="Normal"/>
        <w:tabs>
          <w:tab w:val="clear" w:pos="708"/>
          <w:tab w:val="left" w:pos="284" w:leader="none"/>
          <w:tab w:val="left" w:pos="99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21. </w:t>
      </w:r>
      <w:r>
        <w:rPr>
          <w:rFonts w:eastAsia="Geneva"/>
          <w:sz w:val="24"/>
          <w:szCs w:val="24"/>
        </w:rPr>
        <w:t>Для пересчета сметной стоимости в прогнозный уровень цен применяются актуальные на момент составения сметной документации текущие индексы – дефляторы в соответствии с  прогнозом социально-экономического развития Министерства экономического развития РФ (прогноз «базовый», значение «в среднем за год»).</w:t>
      </w:r>
    </w:p>
    <w:p>
      <w:pPr>
        <w:pStyle w:val="ListParagraph"/>
        <w:tabs>
          <w:tab w:val="clear" w:pos="708"/>
          <w:tab w:val="left" w:pos="851" w:leader="none"/>
          <w:tab w:val="left" w:pos="1134" w:leader="none"/>
          <w:tab w:val="left" w:pos="1276" w:leader="none"/>
        </w:tabs>
        <w:ind w:firstLine="624" w:left="0"/>
        <w:jc w:val="both"/>
        <w:rPr/>
      </w:pPr>
      <w:r>
        <w:rPr>
          <w:rFonts w:eastAsia="Geneva"/>
          <w:lang w:eastAsia="zh-CN"/>
        </w:rPr>
        <w:t>22.  Индексы-дефляторы применяются по данным Министерства экономического развития РФ, без разбивки по месяцам, и только в том случае, если период выполнения работ составляет более одного года.</w:t>
      </w:r>
    </w:p>
    <w:p>
      <w:pPr>
        <w:pStyle w:val="ListParagraph"/>
        <w:tabs>
          <w:tab w:val="clear" w:pos="708"/>
          <w:tab w:val="left" w:pos="851" w:leader="none"/>
          <w:tab w:val="left" w:pos="1134" w:leader="none"/>
          <w:tab w:val="left" w:pos="1276" w:leader="none"/>
        </w:tabs>
        <w:ind w:firstLine="624" w:left="0"/>
        <w:jc w:val="both"/>
        <w:rPr>
          <w:rFonts w:eastAsia="Geneva"/>
          <w:sz w:val="22"/>
          <w:szCs w:val="22"/>
        </w:rPr>
      </w:pPr>
      <w:r>
        <w:rPr>
          <w:rFonts w:eastAsia="Geneva"/>
          <w:sz w:val="22"/>
          <w:szCs w:val="22"/>
        </w:rPr>
      </w:r>
    </w:p>
    <w:p>
      <w:pPr>
        <w:pStyle w:val="Normal"/>
        <w:ind w:left="6237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ind w:left="623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6237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>
      <w:pPr>
        <w:pStyle w:val="Normal"/>
        <w:tabs>
          <w:tab w:val="clear" w:pos="708"/>
          <w:tab w:val="left" w:pos="5812" w:leader="none"/>
        </w:tabs>
        <w:ind w:left="6237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 сметной документации на выполнение проектных работ</w:t>
      </w:r>
    </w:p>
    <w:p>
      <w:pPr>
        <w:pStyle w:val="Normal"/>
        <w:shd w:val="clear" w:color="auto" w:fill="FFFFFF"/>
        <w:ind w:firstLine="284" w:right="-709"/>
        <w:jc w:val="right"/>
        <w:rPr>
          <w:b/>
          <w:bCs/>
          <w:iCs/>
          <w:spacing w:val="-4"/>
        </w:rPr>
      </w:pPr>
      <w:r>
        <w:rPr>
          <w:b/>
          <w:bCs/>
          <w:iCs/>
          <w:spacing w:val="-4"/>
        </w:rPr>
      </w:r>
    </w:p>
    <w:tbl>
      <w:tblPr>
        <w:tblW w:w="93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56"/>
      </w:tblGrid>
      <w:tr>
        <w:trPr/>
        <w:tc>
          <w:tcPr>
            <w:tcW w:w="9356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Образец сметы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на основные и дополнительные работы,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а также сопутствующие работы (форма 2п)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СМЕТА 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на проектные работы 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________________________________________________________________________________________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(наименование объекта)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Заказчик ________________________________________________________________________________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(наименование организации)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Проектная организация ___________________________________________________________________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(наименование организации)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Составлена в уровне цен на ___________ 20__ г.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tbl>
            <w:tblPr>
              <w:tblW w:w="9379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noHBand="0" w:noVBand="1" w:firstColumn="1" w:lastRow="0" w:lastColumn="0" w:firstRow="1"/>
            </w:tblPr>
            <w:tblGrid>
              <w:gridCol w:w="453"/>
              <w:gridCol w:w="1812"/>
              <w:gridCol w:w="3287"/>
              <w:gridCol w:w="1984"/>
              <w:gridCol w:w="1843"/>
            </w:tblGrid>
            <w:tr>
              <w:trPr/>
              <w:tc>
                <w:tcPr>
                  <w:tcW w:w="4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 пп</w:t>
                  </w:r>
                </w:p>
              </w:tc>
              <w:tc>
                <w:tcPr>
                  <w:tcW w:w="1812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Наименование объекта </w:t>
                  </w:r>
                </w:p>
              </w:tc>
              <w:tc>
                <w:tcPr>
                  <w:tcW w:w="3287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Наименование, номера глав, таблиц, параграфов и пунктов МНЗ (СБЦ)  </w:t>
                  </w: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Расчет стоимости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ind w:left="187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Сметная стоимость, руб.</w:t>
                  </w:r>
                </w:p>
              </w:tc>
            </w:tr>
            <w:tr>
              <w:trPr>
                <w:trHeight w:val="255" w:hRule="atLeast"/>
              </w:trPr>
              <w:tc>
                <w:tcPr>
                  <w:tcW w:w="453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12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8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3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ind w:left="187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>
              <w:trPr/>
              <w:tc>
                <w:tcPr>
                  <w:tcW w:w="453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812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328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843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ind w:left="18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453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812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328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843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ind w:left="18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453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812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328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843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ind w:left="18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453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5099" w:type="dxa"/>
                  <w:gridSpan w:val="2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Итого без учета НДС</w:t>
                  </w: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843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ind w:left="18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Руководитель проектной организации _____________________________________________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[подпись (инициалы, фамилия)]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Главный инженер проекта _______________________________________________________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[подпись (инициалы, фамилия)]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Начальник ___________________ отдела __________________________________________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  <w:iCs/>
              </w:rPr>
            </w:pPr>
            <w:r>
              <w:rPr/>
              <w:t xml:space="preserve">                             </w:t>
            </w:r>
            <w:r>
              <w:rPr>
                <w:i/>
                <w:iCs/>
              </w:rPr>
              <w:t>(наименование)                            [подпись (инициалы, фамилия)]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Заказчик ___________________________________________________________________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[должность, подпись (инициалы, фамилия)]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jc w:val="right"/>
        <w:rPr/>
      </w:pPr>
      <w:r>
        <w:rPr/>
      </w:r>
      <w:r>
        <w:br w:type="page"/>
      </w:r>
    </w:p>
    <w:p>
      <w:pPr>
        <w:pStyle w:val="Normal"/>
        <w:ind w:left="5811"/>
        <w:jc w:val="right"/>
        <w:rPr/>
      </w:pPr>
      <w:r>
        <w:rPr/>
      </w:r>
    </w:p>
    <w:p>
      <w:pPr>
        <w:pStyle w:val="Normal"/>
        <w:ind w:left="5811"/>
        <w:rPr>
          <w:sz w:val="20"/>
        </w:rPr>
      </w:pPr>
      <w:r>
        <w:rPr>
          <w:sz w:val="20"/>
        </w:rPr>
        <w:t>Приложение № 2</w:t>
      </w:r>
    </w:p>
    <w:p>
      <w:pPr>
        <w:pStyle w:val="Normal"/>
        <w:ind w:left="5811"/>
        <w:rPr>
          <w:sz w:val="20"/>
        </w:rPr>
      </w:pPr>
      <w:r>
        <w:rPr>
          <w:sz w:val="20"/>
        </w:rPr>
        <w:t>к Требованиям к оформлению и составлению сметной документации на выполнение проектных работ</w:t>
      </w:r>
    </w:p>
    <w:p>
      <w:pPr>
        <w:pStyle w:val="Normal"/>
        <w:ind w:left="5811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 xml:space="preserve">ПОЯСНИТЕЛЬНАЯ ЗАПИСКА </w:t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>по заполнению формы №3п</w:t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</w:rPr>
        <w:t>при составлении смет на проектные работы</w:t>
      </w:r>
    </w:p>
    <w:p>
      <w:pPr>
        <w:pStyle w:val="Normal"/>
        <w:tabs>
          <w:tab w:val="clear" w:pos="708"/>
          <w:tab w:val="left" w:pos="1080" w:leader="none"/>
        </w:tabs>
        <w:ind w:firstLine="540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numPr>
          <w:ilvl w:val="0"/>
          <w:numId w:val="5"/>
        </w:numPr>
        <w:ind w:firstLine="284" w:left="0"/>
        <w:rPr/>
      </w:pPr>
      <w:r>
        <w:rPr/>
        <w:t>При составлении калькуляции затрат (форма №3п), разработанной организацией, выполняющей проектные работы, Заказчику предоставляется обоснование расчета. Сметные расчеты составляются в ценах текущего периода.</w:t>
      </w:r>
    </w:p>
    <w:p>
      <w:pPr>
        <w:pStyle w:val="ListParagraph"/>
        <w:numPr>
          <w:ilvl w:val="0"/>
          <w:numId w:val="5"/>
        </w:numPr>
        <w:ind w:firstLine="284" w:left="0"/>
        <w:rPr/>
      </w:pPr>
      <w:r>
        <w:rPr/>
        <w:t>Калькуляцией затрат (форма №3п) рекомендуется определять стоимость работ, цены на которые отсутствуют в МНЗ и СБЦ, внесенных в ФРСН и других нормативных сборниках, внесенных в ФРСН.</w:t>
      </w:r>
    </w:p>
    <w:p>
      <w:pPr>
        <w:pStyle w:val="ListParagraph"/>
        <w:numPr>
          <w:ilvl w:val="0"/>
          <w:numId w:val="5"/>
        </w:numPr>
        <w:ind w:firstLine="284" w:left="0"/>
        <w:rPr/>
      </w:pPr>
      <w:r>
        <w:rPr/>
        <w:t>Стоимость работ и расходов в соответствии с калькуляцией затрат определяется согласно положениям Методики №707 с учетом следующего:</w:t>
      </w:r>
    </w:p>
    <w:p>
      <w:pPr>
        <w:pStyle w:val="ListParagraph"/>
        <w:numPr>
          <w:ilvl w:val="1"/>
          <w:numId w:val="6"/>
        </w:numPr>
        <w:ind w:hanging="360" w:left="851"/>
        <w:rPr/>
      </w:pPr>
      <w:r>
        <w:rPr/>
        <w:t>Стоимость проектных работ (</w:t>
      </w: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/>
        <w:t>) в соответствии с калькуляцией затрат определяется по формуле:</w:t>
      </w:r>
    </w:p>
    <w:p>
      <w:pPr>
        <w:pStyle w:val="ListParagraph"/>
        <w:ind w:left="851"/>
        <w:jc w:val="center"/>
        <w:rPr>
          <w:i/>
          <w:i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С</m:t>
              </m:r>
            </m:e>
            <m:sub>
              <m:r>
                <w:rPr>
                  <w:rFonts w:ascii="Cambria Math" w:hAnsi="Cambria Math"/>
                </w:rPr>
                <m:t xml:space="preserve">пр</m:t>
              </m:r>
            </m:sub>
          </m:sSub>
          <m:r>
            <w:rPr>
              <w:rFonts w:ascii="Cambria Math" w:hAnsi="Cambria Math"/>
            </w:rPr>
            <m:t xml:space="preserve">=</m:t>
          </m:r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Т</m:t>
              </m:r>
            </m:e>
            <m:sub>
              <m:r>
                <w:rPr>
                  <w:rFonts w:ascii="Cambria Math" w:hAnsi="Cambria Math"/>
                </w:rPr>
                <m:t xml:space="preserve">п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Ч</m:t>
              </m:r>
            </m:e>
            <m:sub>
              <m:r>
                <w:rPr>
                  <w:rFonts w:ascii="Cambria Math" w:hAnsi="Cambria Math"/>
                </w:rPr>
                <m:t xml:space="preserve">общ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</m:oMath>
      </m:oMathPara>
    </w:p>
    <w:p>
      <w:pPr>
        <w:pStyle w:val="ListParagraph"/>
        <w:ind w:left="851"/>
        <w:rPr/>
      </w:pPr>
      <w:r>
        <w:rPr/>
        <w:t>где:</w:t>
      </w:r>
    </w:p>
    <w:p>
      <w:pPr>
        <w:pStyle w:val="ListParagraph"/>
        <w:ind w:hanging="357" w:left="1712"/>
        <w:rPr/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vertAlign w:val="subscript"/>
        </w:rPr>
        <w:t xml:space="preserve"> </w:t>
      </w:r>
      <w:r>
        <w:rPr/>
        <w:t xml:space="preserve"> </w:t>
      </w:r>
      <w:r>
        <w:rPr/>
        <w:t>- стоимость работ, определенная в соответствии с калькуляцией затрат, рублей;</w:t>
      </w:r>
    </w:p>
    <w:p>
      <w:pPr>
        <w:pStyle w:val="ListParagraph"/>
        <w:ind w:hanging="357" w:left="1712"/>
        <w:rPr/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Вср</m:t>
        </m:r>
      </m:oMath>
      <w:r>
        <w:rPr/>
        <w:t xml:space="preserve"> </w:t>
      </w:r>
      <w:r>
        <w:rPr/>
        <w:t>- среднедневная выработка одного непосредственного исполнителя, рублей;</w:t>
      </w:r>
    </w:p>
    <w:p>
      <w:pPr>
        <w:pStyle w:val="ListParagraph"/>
        <w:ind w:hanging="357" w:left="1712"/>
        <w:rPr/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Тп</m:t>
        </m:r>
      </m:oMath>
      <w:r>
        <w:rPr/>
        <w:t xml:space="preserve"> </w:t>
      </w:r>
      <w:r>
        <w:rPr/>
        <w:t>- плановая продолжительность выполнения работ, предусмотренных калькуляцией затрат, дни;</w:t>
      </w:r>
    </w:p>
    <w:p>
      <w:pPr>
        <w:pStyle w:val="ListParagraph"/>
        <w:ind w:hanging="357" w:left="1712"/>
        <w:rPr/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Чобщ</m:t>
        </m:r>
      </m:oMath>
      <w:r>
        <w:rPr/>
        <w:t xml:space="preserve"> </w:t>
      </w:r>
      <w:r>
        <w:rPr/>
        <w:t>- общая численность непосредственных исполнителей, занятых в выполнении работ, предусмотренных калькуляцией затрат, чел.;</w:t>
      </w:r>
    </w:p>
    <w:p>
      <w:pPr>
        <w:pStyle w:val="ListParagraph"/>
        <w:ind w:hanging="357" w:left="1712"/>
        <w:rPr/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Ккв-уч</m:t>
        </m:r>
      </m:oMath>
      <w:r>
        <w:rPr/>
        <w:t xml:space="preserve"> </w:t>
      </w:r>
      <w:r>
        <w:rPr/>
        <w:t>- корректирующий коэффициент, учитывающий степень участия исполнителей различной квалификации в выполнении работ, предусмотренных калькуляцией затрат (далее - коэффициент квалификации-участия);</w:t>
      </w:r>
    </w:p>
    <w:p>
      <w:pPr>
        <w:pStyle w:val="ListParagraph"/>
        <w:numPr>
          <w:ilvl w:val="1"/>
          <w:numId w:val="6"/>
        </w:numPr>
        <w:ind w:hanging="360" w:left="851"/>
        <w:rPr/>
      </w:pPr>
      <w:r>
        <w:rPr/>
        <w:t>среднедневная выработка (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В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/>
        <w:t>) определяется по формуле:</w:t>
      </w:r>
    </w:p>
    <w:p>
      <w:pPr>
        <w:pStyle w:val="ListParagraph"/>
        <w:ind w:left="851"/>
        <w:rPr/>
      </w:pPr>
      <w:r>
        <w:rPr/>
      </w:r>
    </w:p>
    <w:p>
      <w:pPr>
        <w:pStyle w:val="ListParagraph"/>
        <w:ind w:left="851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sSub>
                <m:e>
                  <m:r>
                    <w:rPr>
                      <w:rFonts w:ascii="Cambria Math" w:hAnsi="Cambria Math"/>
                    </w:rPr>
                    <m:t xml:space="preserve">ЗП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ср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d>
                <m:dPr>
                  <m:begChr m:val="("/>
                  <m:endChr m:val=")"/>
                </m:dPr>
                <m:e>
                  <m:r>
                    <w:rPr>
                      <w:rFonts w:ascii="Cambria Math" w:hAnsi="Cambria Math"/>
                    </w:rPr>
                    <m:t xml:space="preserve">1</m:t>
                  </m:r>
                  <m:r>
                    <w:rPr>
                      <w:rFonts w:ascii="Cambria Math" w:hAnsi="Cambria Math"/>
                    </w:rPr>
                    <m:t xml:space="preserve">+</m:t>
                  </m:r>
                  <m:r>
                    <w:rPr>
                      <w:rFonts w:ascii="Cambria Math" w:hAnsi="Cambria Math"/>
                    </w:rPr>
                    <m:t xml:space="preserve">Р</m:t>
                  </m:r>
                </m:e>
              </m:d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К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з</m:t>
                  </m:r>
                </m:sub>
              </m:sSub>
            </m:den>
          </m:f>
        </m:oMath>
      </m:oMathPara>
    </w:p>
    <w:p>
      <w:pPr>
        <w:pStyle w:val="ListParagraph"/>
        <w:ind w:left="851"/>
        <w:rPr/>
      </w:pPr>
      <w:r>
        <w:rPr/>
        <w:t>где:</w:t>
      </w:r>
    </w:p>
    <w:p>
      <w:pPr>
        <w:pStyle w:val="ListParagraph"/>
        <w:ind w:left="851"/>
        <w:rPr/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Р</m:t>
        </m:r>
      </m:oMath>
      <w:r>
        <w:rPr/>
        <w:t xml:space="preserve"> </w:t>
      </w:r>
      <w:r>
        <w:rPr/>
        <w:t xml:space="preserve">- коэффициент уровня рентабельности (сметной прибыли), принимается Р = 0,1 (1%) согласно </w:t>
      </w:r>
      <w:hyperlink w:anchor="P1643">
        <w:r>
          <w:rPr>
            <w:rStyle w:val="Hyperlink"/>
          </w:rPr>
          <w:t>таблице 1.2</w:t>
        </w:r>
      </w:hyperlink>
      <w:r>
        <w:rPr/>
        <w:t>, приведенной в приложении N 2 к Методике №707;</w:t>
      </w:r>
    </w:p>
    <w:p>
      <w:pPr>
        <w:pStyle w:val="ListParagraph"/>
        <w:ind w:left="851"/>
        <w:rPr/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ЗП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/>
        <w:t xml:space="preserve"> </w:t>
      </w:r>
      <w:r>
        <w:rPr/>
        <w:t>- среднедневная заработная плата, тыс. руб. принимается по данным Росстата о среднемесячной номинальной начисленной заработной плате работающих в экономике, по видам экономической деятельности в Российской Федерации для научных исследований и разработок (</w:t>
      </w:r>
      <w:hyperlink r:id="rId8">
        <w:r>
          <w:rPr>
            <w:rStyle w:val="Hyperlink"/>
          </w:rPr>
          <w:t>код 72.</w:t>
        </w:r>
      </w:hyperlink>
      <w:r>
        <w:rPr/>
        <w:t xml:space="preserve"> согласно ОК 029-2014 (КДЕС ред. 2) "Общероссийский классификатор видов экономической деятельности" (далее - Общероссийский классификатор) за год, предшествующий году определения сметной стоимости работ (среднее значение за период январь - декабрь), исходя из усредненного на основании производственного календаря количества рабочих дней в месяце для года, предшествующего году определения сметной стоимости работ. Для работ по объектам, являющимся особо опасными, технически сложными, уникальными объектами согласно </w:t>
      </w:r>
      <w:hyperlink r:id="rId9">
        <w:r>
          <w:rPr>
            <w:rStyle w:val="Hyperlink"/>
          </w:rPr>
          <w:t>статье 48.1</w:t>
        </w:r>
      </w:hyperlink>
      <w:r>
        <w:rPr/>
        <w:t xml:space="preserve"> Градостроительного кодекса Российской Федерации, а также для работ по подготовке проектной документации, содержащей материалы в форме информационной модели, среднемесячная заработная плата принимается для деятельности в области инженерно-технического проектирования (</w:t>
      </w:r>
      <w:hyperlink r:id="rId10">
        <w:r>
          <w:rPr>
            <w:rStyle w:val="Hyperlink"/>
          </w:rPr>
          <w:t>код 71.12</w:t>
        </w:r>
      </w:hyperlink>
      <w:r>
        <w:rPr/>
        <w:t xml:space="preserve"> согласно ОК 029-2014 (КДЕС ред. 2) Общероссийского классификатора)</w:t>
      </w:r>
      <w:r>
        <w:rPr>
          <w:rStyle w:val="FootnoteReference"/>
        </w:rPr>
        <w:footnoteReference w:id="2"/>
      </w:r>
      <w:r>
        <w:rPr/>
        <w:t>;</w:t>
      </w:r>
    </w:p>
    <w:p>
      <w:pPr>
        <w:pStyle w:val="ListParagraph"/>
        <w:ind w:left="851"/>
        <w:rPr/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Кз</m:t>
        </m:r>
      </m:oMath>
      <w:r>
        <w:rPr/>
        <w:t xml:space="preserve"> </w:t>
      </w:r>
      <w:r>
        <w:rPr/>
        <w:t>- коэффициент, учитывающий долю оплаты труда производственного персонала в себестоимости работ: К3 принимается в размере 40,06%;</w:t>
      </w:r>
    </w:p>
    <w:p>
      <w:pPr>
        <w:pStyle w:val="ListParagraph"/>
        <w:numPr>
          <w:ilvl w:val="1"/>
          <w:numId w:val="6"/>
        </w:numPr>
        <w:ind w:hanging="360" w:left="851"/>
        <w:rPr/>
      </w:pPr>
      <w:r>
        <w:rPr/>
        <w:t>коэффициент, квалификации-участия (</w:t>
      </w: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К</m:t>
            </m:r>
          </m:e>
          <m:sub>
            <m:r>
              <w:rPr>
                <w:rFonts w:ascii="Cambria Math" w:hAnsi="Cambria Math"/>
              </w:rPr>
              <m:t xml:space="preserve">кв</m:t>
            </m:r>
            <m:r>
              <w:rPr>
                <w:rFonts w:ascii="Cambria Math" w:hAnsi="Cambria Math"/>
              </w:rPr>
              <m:t xml:space="preserve">−</m:t>
            </m:r>
            <m:r>
              <w:rPr>
                <w:rFonts w:ascii="Cambria Math" w:hAnsi="Cambria Math"/>
              </w:rPr>
              <m:t xml:space="preserve">уч</m:t>
            </m:r>
          </m:sub>
        </m:sSub>
      </m:oMath>
      <w:r>
        <w:rPr/>
        <w:t>), определяется по формуле:</w:t>
      </w:r>
    </w:p>
    <w:p>
      <w:pPr>
        <w:pStyle w:val="ListParagraph"/>
        <w:ind w:left="851"/>
        <w:rPr/>
      </w:pPr>
      <w:r>
        <w:rPr/>
      </w:r>
    </w:p>
    <w:p>
      <w:pPr>
        <w:pStyle w:val="ListParagraph"/>
        <w:ind w:left="851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nary>
                <m:naryPr>
                  <m:chr m:val="∑"/>
                </m:naryPr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  <m:r>
                    <w:rPr>
                      <w:rFonts w:ascii="Cambria Math" w:hAnsi="Cambria Math"/>
                    </w:rPr>
                    <m:t xml:space="preserve">=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b>
                <m:sup>
                  <m:r>
                    <w:rPr>
                      <w:rFonts w:ascii="Cambria Math" w:hAnsi="Cambria Math"/>
                    </w:rPr>
                    <m:t xml:space="preserve">n</m:t>
                  </m:r>
                </m:sup>
                <m:e>
                  <m:f>
                    <m:num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фi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Т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П</m:t>
                          </m:r>
                        </m:sub>
                      </m:sSub>
                    </m:den>
                  </m:f>
                </m:e>
              </m:nary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И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общ</m:t>
                  </m:r>
                </m:sub>
              </m:sSub>
            </m:den>
          </m:f>
        </m:oMath>
      </m:oMathPara>
    </w:p>
    <w:p>
      <w:pPr>
        <w:pStyle w:val="ListParagraph"/>
        <w:ind w:left="851"/>
        <w:rPr/>
      </w:pPr>
      <w:r>
        <w:rPr/>
        <w:t>где:</w:t>
      </w:r>
    </w:p>
    <w:p>
      <w:pPr>
        <w:pStyle w:val="ListParagraph"/>
        <w:ind w:left="851"/>
        <w:rPr/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/>
        <w:t xml:space="preserve"> </w:t>
      </w:r>
      <w:r>
        <w:rPr/>
        <w:t xml:space="preserve">- индекс квалификации непосредственных исполнителей согласно </w:t>
      </w:r>
      <w:hyperlink w:anchor="P1654">
        <w:r>
          <w:rPr>
            <w:rStyle w:val="Hyperlink"/>
          </w:rPr>
          <w:t>таблицам 1.3</w:t>
        </w:r>
      </w:hyperlink>
      <w:r>
        <w:rPr/>
        <w:t xml:space="preserve"> - </w:t>
      </w:r>
      <w:hyperlink w:anchor="P1701">
        <w:r>
          <w:rPr>
            <w:rStyle w:val="Hyperlink"/>
          </w:rPr>
          <w:t>1.4</w:t>
        </w:r>
      </w:hyperlink>
      <w:r>
        <w:rPr/>
        <w:t xml:space="preserve">, приведенным в приложении N 2 к Методике №707. Для отдельных отраслей индексы, приведенные в </w:t>
      </w:r>
      <w:hyperlink w:anchor="P1654">
        <w:r>
          <w:rPr>
            <w:rStyle w:val="Hyperlink"/>
          </w:rPr>
          <w:t>таблицах 1.3</w:t>
        </w:r>
      </w:hyperlink>
      <w:r>
        <w:rPr/>
        <w:t xml:space="preserve"> - </w:t>
      </w:r>
      <w:hyperlink w:anchor="P1701">
        <w:r>
          <w:rPr>
            <w:rStyle w:val="Hyperlink"/>
          </w:rPr>
          <w:t>1.4</w:t>
        </w:r>
      </w:hyperlink>
      <w:r>
        <w:rPr/>
        <w:t xml:space="preserve"> приложения N 2 к Методике №707, подлежат уточнению при предоставлении соответствующих обоснований (бухгалтерских справок и аналогичных документов), документально подтвержденных уполномоченными лицами проектной организации;</w:t>
      </w:r>
    </w:p>
    <w:p>
      <w:pPr>
        <w:pStyle w:val="ListParagraph"/>
        <w:ind w:left="851"/>
        <w:rPr/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Ч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/>
        <w:t xml:space="preserve"> </w:t>
      </w:r>
      <w:r>
        <w:rPr/>
        <w:t>- численность исполнителей одинаковой квалификации, чел.;</w:t>
      </w:r>
    </w:p>
    <w:p>
      <w:pPr>
        <w:pStyle w:val="ListParagraph"/>
        <w:ind w:left="851"/>
        <w:rPr/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фi</m:t>
            </m:r>
          </m:sub>
        </m:sSub>
      </m:oMath>
      <w:r>
        <w:rPr/>
        <w:t xml:space="preserve"> </w:t>
      </w:r>
      <w:r>
        <w:rPr/>
        <w:t>- фактическое время работы исполнителей одинаковой квалификации, дни.</w:t>
      </w:r>
    </w:p>
    <w:p>
      <w:pPr>
        <w:pStyle w:val="ListParagraph"/>
        <w:ind w:left="851"/>
        <w:rPr/>
      </w:pPr>
      <w:r>
        <w:rPr/>
        <w:t xml:space="preserve">Численность и должностные категории (квалификация) исполнителей, фактическое время работы исполнителей одинаковой квалификации определяются на основании положений документов по стандартизации согласно </w:t>
      </w:r>
      <w:hyperlink r:id="rId11">
        <w:r>
          <w:rPr>
            <w:rStyle w:val="Hyperlink"/>
          </w:rPr>
          <w:t>статье 14</w:t>
        </w:r>
      </w:hyperlink>
      <w:r>
        <w:rPr/>
        <w:t xml:space="preserve"> Федерального закона от 29 июня 2015 г. N 162-ФЗ "О стандартизации в Российской Федерации" (Собрание законодательства Российской Федерации, 2015, N 27, ст. 3953; 2021, N 1, ст. 62), стандартов процесса подготовки проектной документации согласно </w:t>
      </w:r>
      <w:hyperlink r:id="rId12">
        <w:r>
          <w:rPr>
            <w:rStyle w:val="Hyperlink"/>
          </w:rPr>
          <w:t>пункту 10 части 8 статьи 55.20</w:t>
        </w:r>
      </w:hyperlink>
      <w:r>
        <w:rPr/>
        <w:t xml:space="preserve"> Градостроительного кодекса Российской Федерации (Собрание законодательства Российской Федерации, 2005, N 1, ст. 16; 2018, N 32, ст. 5133), норм проектирования, данных о трудоемкости объектов-аналогов, результатов опроса, проведенного среди не менее трех проектных организаций, специализирующихся на выполнение проектных работ, на которые подготавливается смета, таблиц технологического процесса выполнения проектных работ по объекту, продолжительности выполняемых работ, указанных в календарном плане к договору на выполнение проектных работ, данных о времени и количестве исполнителей определенной квалификации, принимающих участие в выполнении проектных работ, которые должны быть подписаны руководителем проектной организации, предоставляющей такие данные, и заверены ее печатью.</w:t>
      </w:r>
    </w:p>
    <w:p>
      <w:pPr>
        <w:pStyle w:val="ListParagraph"/>
        <w:numPr>
          <w:ilvl w:val="1"/>
          <w:numId w:val="6"/>
        </w:numPr>
        <w:ind w:hanging="360" w:left="851"/>
        <w:rPr/>
      </w:pPr>
      <w:r>
        <w:rPr/>
        <w:t>стоимость проектных работ, определяемых в соответствии с калькуляцией затрат, не учитывает командировочные расходы, определяемые дополнительно.</w:t>
      </w:r>
    </w:p>
    <w:p>
      <w:pPr>
        <w:pStyle w:val="ListParagraph"/>
        <w:ind w:firstLine="284" w:left="0"/>
        <w:rPr/>
      </w:pPr>
      <w:r>
        <w:rPr/>
      </w:r>
    </w:p>
    <w:p>
      <w:pPr>
        <w:pStyle w:val="ListParagraph"/>
        <w:numPr>
          <w:ilvl w:val="0"/>
          <w:numId w:val="6"/>
        </w:numPr>
        <w:ind w:firstLine="284" w:left="0"/>
        <w:rPr/>
      </w:pPr>
      <w:r>
        <w:rPr/>
        <w:t>Для обоснования командировочных расходов предоставляется отдельно выполненный расчет (форма 4п)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>
      <w:pPr>
        <w:pStyle w:val="ListParagraph"/>
        <w:ind w:firstLine="284" w:left="0"/>
        <w:rPr/>
      </w:pPr>
      <w:r>
        <w:rPr/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ListParagraph"/>
        <w:ind w:firstLine="284" w:left="0"/>
        <w:rPr/>
      </w:pPr>
      <w:r>
        <w:rPr/>
        <w:t>Лимиты командировочных расходов при производстве проектных работ не более:</w:t>
      </w:r>
    </w:p>
    <w:p>
      <w:pPr>
        <w:pStyle w:val="ListParagraph"/>
        <w:numPr>
          <w:ilvl w:val="0"/>
          <w:numId w:val="2"/>
        </w:numPr>
        <w:ind w:hanging="357" w:left="1712"/>
        <w:rPr/>
      </w:pPr>
      <w:r>
        <w:rPr/>
        <w:t>суточные - 700 руб./сутки;</w:t>
      </w:r>
    </w:p>
    <w:p>
      <w:pPr>
        <w:pStyle w:val="ListParagraph"/>
        <w:numPr>
          <w:ilvl w:val="0"/>
          <w:numId w:val="2"/>
        </w:numPr>
        <w:ind w:hanging="357" w:left="1712"/>
        <w:rPr/>
      </w:pPr>
      <w:r>
        <w:rPr/>
        <w:t>проживание – 5000 руб./сутки;</w:t>
      </w:r>
    </w:p>
    <w:p>
      <w:pPr>
        <w:pStyle w:val="ListParagraph"/>
        <w:numPr>
          <w:ilvl w:val="0"/>
          <w:numId w:val="2"/>
        </w:numPr>
        <w:ind w:hanging="357" w:left="1712"/>
        <w:rPr/>
      </w:pPr>
      <w:r>
        <w:rPr/>
        <w:t>проезд: поезд (купе) или самолет (класс–эконом с багажом до 20 (двадцати) кг, ручная кладь до 10 (десяти) кг).</w:t>
      </w:r>
    </w:p>
    <w:p>
      <w:pPr>
        <w:pStyle w:val="ListParagraph"/>
        <w:ind w:firstLine="284" w:left="0"/>
        <w:rPr/>
      </w:pPr>
      <w:r>
        <w:rPr/>
        <w:t>При учете командировочных расходов стоимость проезда (авиа-, ж/д, …) определяется Методом анализа ТКП в соответствии с Методикой ПЦ.</w:t>
      </w:r>
    </w:p>
    <w:p>
      <w:pPr>
        <w:sectPr>
          <w:headerReference w:type="default" r:id="rId13"/>
          <w:headerReference w:type="first" r:id="rId14"/>
          <w:footnotePr>
            <w:numFmt w:val="decimal"/>
          </w:footnotePr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ListParagraph"/>
        <w:ind w:firstLine="284" w:left="0"/>
        <w:rPr/>
      </w:pPr>
      <w:r>
        <w:rPr/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before="0" w:after="0"/>
        <w:ind w:left="12616"/>
        <w:contextualSpacing/>
        <w:rPr>
          <w:sz w:val="20"/>
          <w:szCs w:val="20"/>
        </w:rPr>
      </w:pPr>
      <w:r>
        <w:rPr>
          <w:sz w:val="20"/>
          <w:szCs w:val="20"/>
        </w:rPr>
        <w:t>Приложение №1</w:t>
      </w:r>
    </w:p>
    <w:p>
      <w:pPr>
        <w:pStyle w:val="Normal"/>
        <w:spacing w:before="0" w:after="0"/>
        <w:ind w:left="12616"/>
        <w:contextualSpacing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>
      <w:pPr>
        <w:pStyle w:val="Normal"/>
        <w:spacing w:before="0" w:after="0"/>
        <w:ind w:left="12616"/>
        <w:contextualSpacing/>
        <w:rPr>
          <w:sz w:val="20"/>
          <w:szCs w:val="20"/>
        </w:rPr>
      </w:pPr>
      <w:r>
        <w:rPr>
          <w:sz w:val="20"/>
          <w:szCs w:val="20"/>
        </w:rPr>
        <w:t>по заполнению формы 3П</w:t>
      </w:r>
    </w:p>
    <w:p>
      <w:pPr>
        <w:pStyle w:val="Normal"/>
        <w:spacing w:before="0" w:after="0"/>
        <w:ind w:left="6373"/>
        <w:contextualSpacing/>
        <w:rPr/>
      </w:pPr>
      <w:r>
        <w:rPr/>
      </w:r>
    </w:p>
    <w:p>
      <w:pPr>
        <w:pStyle w:val="Normal"/>
        <w:spacing w:before="0" w:after="0"/>
        <w:contextualSpacing/>
        <w:jc w:val="center"/>
        <w:rPr/>
      </w:pPr>
      <w:r>
        <w:rPr/>
        <w:t>Образец сметы</w:t>
      </w:r>
    </w:p>
    <w:p>
      <w:pPr>
        <w:pStyle w:val="Normal"/>
        <w:spacing w:before="0" w:after="0"/>
        <w:contextualSpacing/>
        <w:jc w:val="center"/>
        <w:rPr/>
      </w:pPr>
      <w:r>
        <w:rPr/>
        <w:t>на проектные работы в соответствии</w:t>
      </w:r>
    </w:p>
    <w:p>
      <w:pPr>
        <w:pStyle w:val="Normal"/>
        <w:spacing w:before="0" w:after="0"/>
        <w:contextualSpacing/>
        <w:jc w:val="center"/>
        <w:rPr/>
      </w:pPr>
      <w:r>
        <w:rPr/>
        <w:t>с калькуляцией затрат (форма 3п)</w:t>
      </w:r>
    </w:p>
    <w:p>
      <w:pPr>
        <w:pStyle w:val="Normal"/>
        <w:spacing w:before="0" w:after="0"/>
        <w:contextualSpacing/>
        <w:jc w:val="center"/>
        <w:rPr/>
      </w:pPr>
      <w:r>
        <w:rPr/>
      </w:r>
    </w:p>
    <w:p>
      <w:pPr>
        <w:pStyle w:val="Normal"/>
        <w:spacing w:before="0" w:after="0"/>
        <w:contextualSpacing/>
        <w:jc w:val="center"/>
        <w:rPr/>
      </w:pPr>
      <w:r>
        <w:rPr/>
        <w:t>СМЕТА №</w:t>
      </w:r>
    </w:p>
    <w:p>
      <w:pPr>
        <w:pStyle w:val="Normal"/>
        <w:spacing w:before="0" w:after="0"/>
        <w:contextualSpacing/>
        <w:jc w:val="center"/>
        <w:rPr/>
      </w:pPr>
      <w:r>
        <w:rPr/>
        <w:t>на проектные работы</w:t>
      </w:r>
    </w:p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spacing w:before="0" w:after="0"/>
        <w:ind w:firstLine="1134" w:left="720" w:right="1246"/>
        <w:contextualSpacing/>
        <w:jc w:val="both"/>
        <w:rPr/>
      </w:pPr>
      <w:r>
        <w:rPr/>
        <w:t>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</w:rPr>
      </w:pPr>
      <w:r>
        <w:rPr>
          <w:i/>
          <w:iCs/>
        </w:rPr>
        <w:t>(наименование объекта)</w:t>
      </w:r>
    </w:p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spacing w:before="0" w:after="0"/>
        <w:ind w:left="720" w:right="142"/>
        <w:contextualSpacing/>
        <w:jc w:val="both"/>
        <w:rPr/>
      </w:pPr>
      <w:r>
        <w:rPr/>
        <w:t>Заказчик ________________________________________________________________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</w:rPr>
      </w:pPr>
      <w:r>
        <w:rPr>
          <w:i/>
          <w:iCs/>
        </w:rPr>
        <w:t>(наименование организации)</w:t>
      </w:r>
    </w:p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spacing w:before="0" w:after="0"/>
        <w:ind w:left="720" w:right="1246"/>
        <w:contextualSpacing/>
        <w:jc w:val="both"/>
        <w:rPr/>
      </w:pPr>
      <w:r>
        <w:rPr/>
        <w:t>Проектная организация 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</w:rPr>
      </w:pPr>
      <w:r>
        <w:rPr>
          <w:i/>
          <w:iCs/>
        </w:rPr>
        <w:t>(наименование организации)</w:t>
      </w:r>
    </w:p>
    <w:p>
      <w:pPr>
        <w:pStyle w:val="Normal"/>
        <w:spacing w:before="0" w:after="0"/>
        <w:ind w:left="720" w:right="1246"/>
        <w:contextualSpacing/>
        <w:jc w:val="both"/>
        <w:rPr/>
      </w:pPr>
      <w:r>
        <w:rPr/>
        <w:t>Составлена в уровне цен на ___________ 20__ г.</w:t>
      </w:r>
    </w:p>
    <w:p>
      <w:pPr>
        <w:pStyle w:val="Normal"/>
        <w:spacing w:before="0" w:after="0"/>
        <w:contextualSpacing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pacing w:before="0" w:after="0"/>
        <w:contextualSpacing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pacing w:before="0" w:after="0"/>
        <w:contextualSpacing/>
        <w:jc w:val="center"/>
        <w:rPr/>
      </w:pPr>
      <w:r>
        <w:rPr/>
        <w:t>Расчет коэффициента, учитывающего степень</w:t>
      </w:r>
    </w:p>
    <w:p>
      <w:pPr>
        <w:pStyle w:val="Normal"/>
        <w:spacing w:before="0" w:after="0"/>
        <w:contextualSpacing/>
        <w:jc w:val="center"/>
        <w:rPr/>
      </w:pPr>
      <w:r>
        <w:rPr/>
        <w:t>участия исполнителей различной</w:t>
      </w:r>
    </w:p>
    <w:p>
      <w:pPr>
        <w:pStyle w:val="Normal"/>
        <w:spacing w:before="0" w:after="0"/>
        <w:contextualSpacing/>
        <w:jc w:val="center"/>
        <w:rPr/>
      </w:pPr>
      <w:r>
        <w:rPr/>
        <w:t>квалификации в выполнении проектных работ (Ккв-уч)</w:t>
      </w:r>
    </w:p>
    <w:tbl>
      <w:tblPr>
        <w:tblW w:w="1544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57"/>
        <w:gridCol w:w="1419"/>
        <w:gridCol w:w="1558"/>
        <w:gridCol w:w="1845"/>
        <w:gridCol w:w="1841"/>
        <w:gridCol w:w="2693"/>
        <w:gridCol w:w="5527"/>
      </w:tblGrid>
      <w:tr>
        <w:trPr/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firstLine="60" w:left="-6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должностей исполнителей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firstLine="6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Фактическое время участия исполнителя в работе, Тф (дни)</w:t>
            </w:r>
          </w:p>
        </w:tc>
        <w:tc>
          <w:tcPr>
            <w:tcW w:w="18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firstLine="5" w:left="8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Плановая продолжительность выполнения работ, предусмотренных калькуляцией, Тп (дни)</w:t>
            </w:r>
          </w:p>
        </w:tc>
        <w:tc>
          <w:tcPr>
            <w:tcW w:w="184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56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исполнителей одной квалификации Чi (чел)</w:t>
            </w: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уровня квалификации специалистов исполнителей работы И</w:t>
            </w:r>
            <w:r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55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firstLine="6" w:left="-66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Коэффициент квалификации (участия) специалистов одной квалификации,</w:t>
            </w:r>
          </w:p>
          <w:p>
            <w:pPr>
              <w:pStyle w:val="Normal"/>
              <w:widowControl w:val="false"/>
              <w:spacing w:before="0" w:after="0"/>
              <w:ind w:firstLine="6" w:left="76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∑</w:t>
            </w:r>
            <w:r>
              <w:rPr>
                <w:sz w:val="20"/>
                <w:szCs w:val="20"/>
              </w:rPr>
              <w:t>(гр.3/итог гр.4 х гр.5 х гр.6) / ∑гр.5</w:t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81" w:left="7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52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51" w:left="720"/>
              <w:contextualSpacing/>
              <w:jc w:val="center"/>
              <w:rPr>
                <w:sz w:val="20"/>
                <w:szCs w:val="20"/>
              </w:rPr>
            </w:pPr>
            <w:hyperlink w:anchor="P3816">
              <w:r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84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52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51" w:left="720"/>
              <w:contextualSpacing/>
              <w:jc w:val="center"/>
              <w:rPr>
                <w:sz w:val="20"/>
                <w:szCs w:val="20"/>
              </w:rPr>
            </w:pPr>
            <w:hyperlink w:anchor="P3816">
              <w:r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84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52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51" w:left="720"/>
              <w:contextualSpacing/>
              <w:jc w:val="center"/>
              <w:rPr>
                <w:sz w:val="20"/>
                <w:szCs w:val="20"/>
              </w:rPr>
            </w:pPr>
            <w:hyperlink w:anchor="P3816">
              <w:r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84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52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hyperlink w:anchor="P3816">
              <w:r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51" w:left="7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20" w:left="7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hyperlink w:anchor="P3816">
              <w:r>
                <w:rPr>
                  <w:color w:val="0000FF"/>
                  <w:sz w:val="20"/>
                  <w:szCs w:val="20"/>
                  <w:u w:val="single"/>
                </w:rPr>
                <w:t>*</w:t>
              </w:r>
            </w:hyperlink>
          </w:p>
        </w:tc>
        <w:tc>
          <w:tcPr>
            <w:tcW w:w="552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contextualSpacing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pacing w:before="0" w:after="0"/>
        <w:contextualSpacing/>
        <w:jc w:val="both"/>
        <w:rPr>
          <w:rFonts w:eastAsia="Calibri"/>
        </w:rPr>
      </w:pPr>
      <w:r>
        <w:rPr>
          <w:rFonts w:eastAsia="Calibri"/>
        </w:rPr>
        <w:t>Примечание: &lt;*&gt; Графы для расчета коэффициента в таблице не заполняются</w:t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/>
      </w:pPr>
      <w:r>
        <w:rPr/>
        <w:t>Расчет стоимости работ в соответствии</w:t>
      </w:r>
    </w:p>
    <w:p>
      <w:pPr>
        <w:pStyle w:val="Normal"/>
        <w:spacing w:before="0" w:after="0"/>
        <w:contextualSpacing/>
        <w:jc w:val="center"/>
        <w:rPr/>
      </w:pPr>
      <w:r>
        <w:rPr/>
        <w:t xml:space="preserve">с калькуляцией затрат 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870" w:type="dxa"/>
        <w:jc w:val="left"/>
        <w:tblInd w:w="-7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1710"/>
        <w:gridCol w:w="960"/>
        <w:gridCol w:w="856"/>
        <w:gridCol w:w="1065"/>
        <w:gridCol w:w="1080"/>
        <w:gridCol w:w="1470"/>
        <w:gridCol w:w="1306"/>
        <w:gridCol w:w="1487"/>
        <w:gridCol w:w="2550"/>
        <w:gridCol w:w="3384"/>
      </w:tblGrid>
      <w:tr>
        <w:trPr/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57"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Среднемесячная зарплата исполнителей, руб.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57"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Кол-во рабочих дней в месяце, дни</w:t>
            </w:r>
          </w:p>
        </w:tc>
        <w:tc>
          <w:tcPr>
            <w:tcW w:w="8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57" w:left="170"/>
              <w:jc w:val="center"/>
              <w:rPr/>
            </w:pPr>
            <w:r>
              <w:rPr>
                <w:rFonts w:cs="Times New Roman" w:ascii="Times New Roman" w:hAnsi="Times New Roman"/>
              </w:rPr>
              <w:t>Среднедневная зарплата исполнителей, руб.</w:t>
            </w:r>
          </w:p>
          <w:p>
            <w:pPr>
              <w:pStyle w:val="ConsPlusNormal"/>
              <w:ind w:firstLine="57" w:left="170"/>
              <w:jc w:val="center"/>
              <w:rPr/>
            </w:pPr>
            <w:r>
              <w:rPr>
                <w:rFonts w:cs="Times New Roman" w:ascii="Times New Roman" w:hAnsi="Times New Roman"/>
              </w:rPr>
              <w:t>(</w:t>
            </w:r>
            <w:hyperlink w:anchor="P3831">
              <w:r>
                <w:rPr>
                  <w:rStyle w:val="Hyperlink"/>
                  <w:rFonts w:cs="Times New Roman" w:ascii="Times New Roman" w:hAnsi="Times New Roman"/>
                </w:rPr>
                <w:t>гр 1</w:t>
              </w:r>
            </w:hyperlink>
            <w:r>
              <w:rPr>
                <w:rFonts w:cs="Times New Roman" w:ascii="Times New Roman" w:hAnsi="Times New Roman"/>
              </w:rPr>
              <w:t xml:space="preserve"> / </w:t>
            </w:r>
            <w:hyperlink w:anchor="P3832">
              <w:r>
                <w:rPr>
                  <w:rStyle w:val="Hyperlink"/>
                  <w:rFonts w:cs="Times New Roman" w:ascii="Times New Roman" w:hAnsi="Times New Roman"/>
                </w:rPr>
                <w:t>гр 2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57" w:left="170"/>
              <w:jc w:val="center"/>
              <w:rPr/>
            </w:pPr>
            <w:r>
              <w:rPr>
                <w:rFonts w:cs="Times New Roman" w:ascii="Times New Roman" w:hAnsi="Times New Roman"/>
              </w:rPr>
              <w:t>Удельный вес зарплаты в себестоимости работ - Кз, %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57"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Рентабель-ность, %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tabs>
                <w:tab w:val="clear" w:pos="708"/>
                <w:tab w:val="left" w:pos="1065" w:leader="none"/>
              </w:tabs>
              <w:ind w:hanging="0" w:left="227"/>
              <w:jc w:val="center"/>
              <w:rPr/>
            </w:pPr>
            <w:r>
              <w:rPr>
                <w:rFonts w:cs="Times New Roman" w:ascii="Times New Roman" w:hAnsi="Times New Roman"/>
              </w:rPr>
              <w:t>Среднедневная единичная выработка, руб. (</w:t>
            </w:r>
            <w:hyperlink w:anchor="P3833">
              <w:r>
                <w:rPr>
                  <w:rStyle w:val="Hyperlink"/>
                  <w:rFonts w:cs="Times New Roman" w:ascii="Times New Roman" w:hAnsi="Times New Roman"/>
                </w:rPr>
                <w:t>гр. 3</w:t>
              </w:r>
            </w:hyperlink>
            <w:r>
              <w:rPr>
                <w:rFonts w:cs="Times New Roman" w:ascii="Times New Roman" w:hAnsi="Times New Roman"/>
              </w:rPr>
              <w:t xml:space="preserve"> x (1 + </w:t>
            </w:r>
            <w:hyperlink w:anchor="P3835">
              <w:r>
                <w:rPr>
                  <w:rStyle w:val="Hyperlink"/>
                  <w:rFonts w:cs="Times New Roman" w:ascii="Times New Roman" w:hAnsi="Times New Roman"/>
                </w:rPr>
                <w:t>гр. 5</w:t>
              </w:r>
            </w:hyperlink>
            <w:r>
              <w:rPr>
                <w:rFonts w:cs="Times New Roman" w:ascii="Times New Roman" w:hAnsi="Times New Roman"/>
              </w:rPr>
              <w:t xml:space="preserve">)) / </w:t>
            </w:r>
            <w:hyperlink w:anchor="P3834">
              <w:r>
                <w:rPr>
                  <w:rStyle w:val="Hyperlink"/>
                  <w:rFonts w:cs="Times New Roman" w:ascii="Times New Roman" w:hAnsi="Times New Roman"/>
                </w:rPr>
                <w:t>гр. 4</w:t>
              </w:r>
            </w:hyperlink>
          </w:p>
        </w:tc>
        <w:tc>
          <w:tcPr>
            <w:tcW w:w="13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57" w:left="1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Продолжи-тельность разработки (дни)</w:t>
            </w:r>
          </w:p>
        </w:tc>
        <w:tc>
          <w:tcPr>
            <w:tcW w:w="14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57"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(чел.)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57" w:left="340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Коэффициент квалификации (участия) </w:t>
            </w:r>
          </w:p>
          <w:p>
            <w:pPr>
              <w:pStyle w:val="ConsPlusNormal"/>
              <w:ind w:firstLine="57" w:left="340"/>
              <w:jc w:val="center"/>
              <w:rPr/>
            </w:pPr>
            <w:r>
              <w:rPr>
                <w:rFonts w:cs="Times New Roman" w:ascii="Times New Roman" w:hAnsi="Times New Roman"/>
              </w:rPr>
              <w:t>Ккв-уч</w:t>
            </w:r>
          </w:p>
        </w:tc>
        <w:tc>
          <w:tcPr>
            <w:tcW w:w="33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Стоимость работ, руб. </w:t>
            </w:r>
          </w:p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 = (</w:t>
            </w:r>
            <w:hyperlink w:anchor="P3836">
              <w:r>
                <w:rPr>
                  <w:rStyle w:val="Hyperlink"/>
                  <w:rFonts w:cs="Times New Roman" w:ascii="Times New Roman" w:hAnsi="Times New Roman"/>
                </w:rPr>
                <w:t>гр. 6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7">
              <w:r>
                <w:rPr>
                  <w:rStyle w:val="Hyperlink"/>
                  <w:rFonts w:cs="Times New Roman" w:ascii="Times New Roman" w:hAnsi="Times New Roman"/>
                </w:rPr>
                <w:t>гр. 7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8">
              <w:r>
                <w:rPr>
                  <w:rStyle w:val="Hyperlink"/>
                  <w:rFonts w:cs="Times New Roman" w:ascii="Times New Roman" w:hAnsi="Times New Roman"/>
                </w:rPr>
                <w:t>гр. 8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9">
              <w:r>
                <w:rPr>
                  <w:rStyle w:val="Hyperlink"/>
                  <w:rFonts w:cs="Times New Roman" w:ascii="Times New Roman" w:hAnsi="Times New Roman"/>
                </w:rPr>
                <w:t>гр. 9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</w:tr>
      <w:tr>
        <w:trPr/>
        <w:tc>
          <w:tcPr>
            <w:tcW w:w="17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57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3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48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25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338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3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</w:tr>
      <w:tr>
        <w:trPr/>
        <w:tc>
          <w:tcPr>
            <w:tcW w:w="17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38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eastAsia="Calibri" w:cs="Times New Roman" w:eastAsiaTheme="minorHAnsi"/>
          <w:sz w:val="24"/>
          <w:szCs w:val="24"/>
        </w:rPr>
      </w:pPr>
      <w:r>
        <w:rPr>
          <w:rFonts w:eastAsia="Calibri" w:cs="Times New Roman" w:eastAsiaTheme="minorHAnsi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720" w:right="2947"/>
        <w:contextualSpacing/>
        <w:jc w:val="both"/>
        <w:rPr>
          <w:rFonts w:eastAsia="Calibri" w:eastAsiaTheme="minorHAnsi"/>
        </w:rPr>
      </w:pPr>
      <w:r>
        <w:rPr/>
        <w:t>Руководитель</w:t>
      </w:r>
    </w:p>
    <w:p>
      <w:pPr>
        <w:pStyle w:val="Normal"/>
        <w:spacing w:before="0" w:after="0"/>
        <w:ind w:left="720" w:right="2947"/>
        <w:contextualSpacing/>
        <w:jc w:val="both"/>
        <w:rPr/>
      </w:pPr>
      <w:r>
        <w:rPr/>
        <w:t>проектной организации _______________________________________________________________________________</w:t>
      </w:r>
    </w:p>
    <w:p>
      <w:pPr>
        <w:pStyle w:val="Normal"/>
        <w:spacing w:before="0" w:after="0"/>
        <w:ind w:left="720" w:right="2947"/>
        <w:contextualSpacing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spacing w:before="0" w:after="0"/>
        <w:ind w:left="720" w:right="2947"/>
        <w:contextualSpacing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spacing w:before="0" w:after="0"/>
        <w:ind w:left="720" w:right="2947"/>
        <w:contextualSpacing/>
        <w:jc w:val="both"/>
        <w:rPr/>
      </w:pPr>
      <w:r>
        <w:rPr/>
        <w:t>Главный инженер</w:t>
      </w:r>
    </w:p>
    <w:p>
      <w:pPr>
        <w:pStyle w:val="Normal"/>
        <w:spacing w:before="0" w:after="0"/>
        <w:ind w:left="720" w:right="2947"/>
        <w:contextualSpacing/>
        <w:jc w:val="both"/>
        <w:rPr/>
      </w:pPr>
      <w:r>
        <w:rPr/>
        <w:t>проекта _______________________________________________________________________________________________</w:t>
      </w:r>
    </w:p>
    <w:p>
      <w:pPr>
        <w:pStyle w:val="Normal"/>
        <w:spacing w:before="0" w:after="0"/>
        <w:ind w:left="720" w:right="2947"/>
        <w:contextualSpacing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spacing w:before="0" w:after="0"/>
        <w:ind w:left="720" w:right="2947"/>
        <w:contextualSpacing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spacing w:before="0" w:after="0"/>
        <w:ind w:left="720" w:right="2947"/>
        <w:contextualSpacing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ConsPlusNormal"/>
        <w:ind w:hanging="0"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jc w:val="center"/>
        <w:rPr/>
      </w:pPr>
      <w:r>
        <w:rPr/>
      </w:r>
      <w:r>
        <w:br w:type="page"/>
      </w:r>
    </w:p>
    <w:p>
      <w:pPr>
        <w:pStyle w:val="Normal"/>
        <w:spacing w:before="0" w:after="0"/>
        <w:contextualSpacing/>
        <w:jc w:val="center"/>
        <w:rPr/>
      </w:pPr>
      <w:r>
        <w:rPr/>
        <w:t>Образец сметного расчета</w:t>
      </w:r>
    </w:p>
    <w:p>
      <w:pPr>
        <w:pStyle w:val="Normal"/>
        <w:spacing w:before="0" w:after="0"/>
        <w:contextualSpacing/>
        <w:jc w:val="center"/>
        <w:rPr/>
      </w:pPr>
      <w:r>
        <w:rPr/>
        <w:t>на командировочные расходы (форма 4п)</w:t>
      </w:r>
    </w:p>
    <w:p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W w:w="15030" w:type="dxa"/>
        <w:jc w:val="left"/>
        <w:tblInd w:w="-20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915"/>
        <w:gridCol w:w="1306"/>
        <w:gridCol w:w="1816"/>
        <w:gridCol w:w="1530"/>
        <w:gridCol w:w="1247"/>
        <w:gridCol w:w="1530"/>
        <w:gridCol w:w="1697"/>
        <w:gridCol w:w="1692"/>
        <w:gridCol w:w="3295"/>
      </w:tblGrid>
      <w:tr>
        <w:trPr>
          <w:trHeight w:val="644" w:hRule="atLeast"/>
        </w:trPr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tabs>
                <w:tab w:val="clear" w:pos="708"/>
                <w:tab w:val="left" w:pos="705" w:leader="none"/>
              </w:tabs>
              <w:ind w:hanging="737" w:left="737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3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57" w:right="57"/>
              <w:jc w:val="center"/>
              <w:rPr/>
            </w:pPr>
            <w:r>
              <w:rPr>
                <w:rFonts w:cs="Times New Roman" w:ascii="Times New Roman" w:hAnsi="Times New Roman"/>
              </w:rPr>
              <w:t>Пункт назначения</w:t>
            </w:r>
          </w:p>
        </w:tc>
        <w:tc>
          <w:tcPr>
            <w:tcW w:w="18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170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Количество специалистов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113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Проезд к месту командировки (туда и обратно)</w:t>
            </w:r>
          </w:p>
        </w:tc>
        <w:tc>
          <w:tcPr>
            <w:tcW w:w="12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tabs>
                <w:tab w:val="clear" w:pos="708"/>
                <w:tab w:val="left" w:pos="1020" w:leader="none"/>
              </w:tabs>
              <w:ind w:hanging="0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Проживание в номере гостиницы класса "3 звезды", </w:t>
            </w:r>
          </w:p>
          <w:p>
            <w:pPr>
              <w:pStyle w:val="ConsPlusNormal"/>
              <w:tabs>
                <w:tab w:val="clear" w:pos="708"/>
                <w:tab w:val="left" w:pos="1020" w:leader="none"/>
              </w:tabs>
              <w:ind w:hanging="0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1 чел/сутки.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57" w:left="227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Суточные</w:t>
            </w:r>
          </w:p>
          <w:p>
            <w:pPr>
              <w:pStyle w:val="ConsPlusNormal"/>
              <w:ind w:hanging="57" w:left="227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1 сутки/руб.</w:t>
            </w:r>
          </w:p>
        </w:tc>
        <w:tc>
          <w:tcPr>
            <w:tcW w:w="16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57" w:left="340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Продолжи-тельность командировки, сутки</w:t>
            </w:r>
          </w:p>
        </w:tc>
        <w:tc>
          <w:tcPr>
            <w:tcW w:w="16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0" w:left="283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Продолжи-тельность проживания в гостинице, сутки</w:t>
            </w:r>
          </w:p>
        </w:tc>
        <w:tc>
          <w:tcPr>
            <w:tcW w:w="32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hanging="340" w:left="737" w:right="-57"/>
              <w:jc w:val="center"/>
              <w:rPr/>
            </w:pPr>
            <w:r>
              <w:rPr>
                <w:rFonts w:cs="Times New Roman" w:ascii="Times New Roman" w:hAnsi="Times New Roman"/>
              </w:rPr>
              <w:t>Итого затрат, рубли</w:t>
            </w:r>
          </w:p>
        </w:tc>
      </w:tr>
      <w:tr>
        <w:trPr/>
        <w:tc>
          <w:tcPr>
            <w:tcW w:w="9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3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81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24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69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6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32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</w:tr>
      <w:tr>
        <w:trPr/>
        <w:tc>
          <w:tcPr>
            <w:tcW w:w="9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1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9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1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9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1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403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по сметному расчету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ind w:firstLine="6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eastAsia="Calibri" w:cs="Times New Roman" w:eastAsiaTheme="minorHAnsi"/>
          <w:sz w:val="22"/>
          <w:szCs w:val="22"/>
        </w:rPr>
      </w:pPr>
      <w:r>
        <w:rPr>
          <w:rFonts w:eastAsia="Calibri" w:cs="Times New Roman" w:eastAsiaTheme="minorHAnsi" w:ascii="Times New Roman" w:hAnsi="Times New Roman"/>
          <w:sz w:val="22"/>
          <w:szCs w:val="22"/>
        </w:rPr>
      </w:r>
    </w:p>
    <w:p>
      <w:pPr>
        <w:pStyle w:val="Normal"/>
        <w:spacing w:before="0" w:after="0"/>
        <w:ind w:left="720" w:right="2947"/>
        <w:contextualSpacing/>
        <w:jc w:val="both"/>
        <w:rPr>
          <w:rFonts w:eastAsia="Calibri" w:eastAsiaTheme="minorHAnsi"/>
        </w:rPr>
      </w:pPr>
      <w:r>
        <w:rPr/>
        <w:t>Руководитель</w:t>
      </w:r>
    </w:p>
    <w:p>
      <w:pPr>
        <w:pStyle w:val="Normal"/>
        <w:spacing w:before="0" w:after="0"/>
        <w:ind w:left="720" w:right="2947"/>
        <w:contextualSpacing/>
        <w:rPr/>
      </w:pPr>
      <w:r>
        <w:rPr/>
        <w:t>проектной организации _______________________________________________________________________________</w:t>
      </w:r>
    </w:p>
    <w:p>
      <w:pPr>
        <w:pStyle w:val="Normal"/>
        <w:spacing w:before="0" w:after="0"/>
        <w:ind w:left="720" w:right="2947"/>
        <w:contextualSpacing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spacing w:before="0" w:after="0"/>
        <w:ind w:left="720" w:right="2947"/>
        <w:contextualSpacing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spacing w:before="0" w:after="0"/>
        <w:ind w:left="720" w:right="2947"/>
        <w:contextualSpacing/>
        <w:jc w:val="both"/>
        <w:rPr/>
      </w:pPr>
      <w:r>
        <w:rPr/>
        <w:t>Главный инженер</w:t>
      </w:r>
    </w:p>
    <w:p>
      <w:pPr>
        <w:pStyle w:val="Normal"/>
        <w:spacing w:before="0" w:after="0"/>
        <w:ind w:left="720" w:right="2947"/>
        <w:contextualSpacing/>
        <w:jc w:val="both"/>
        <w:rPr/>
      </w:pPr>
      <w:r>
        <w:rPr/>
        <w:t>проекта _____________________________________________________________________________________________</w:t>
      </w:r>
    </w:p>
    <w:p>
      <w:pPr>
        <w:pStyle w:val="Normal"/>
        <w:spacing w:before="0" w:after="0"/>
        <w:ind w:left="720" w:right="2947"/>
        <w:contextualSpacing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spacing w:before="0" w:after="0"/>
        <w:ind w:left="720" w:right="2947"/>
        <w:contextualSpacing/>
        <w:jc w:val="center"/>
        <w:rPr>
          <w:i/>
          <w:i/>
          <w:iCs/>
        </w:rPr>
      </w:pPr>
      <w:r>
        <w:rPr>
          <w:i/>
          <w:iCs/>
        </w:rPr>
      </w:r>
    </w:p>
    <w:p>
      <w:pPr>
        <w:sectPr>
          <w:headerReference w:type="default" r:id="rId17"/>
          <w:headerReference w:type="first" r:id="rId18"/>
          <w:footnotePr>
            <w:numFmt w:val="decimal"/>
          </w:footnotePr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  <w:pStyle w:val="Normal"/>
        <w:spacing w:before="0" w:after="0"/>
        <w:ind w:left="720" w:right="2947"/>
        <w:contextualSpacing/>
        <w:jc w:val="center"/>
        <w:rPr>
          <w:i/>
          <w:i/>
          <w:iCs/>
        </w:rPr>
      </w:pPr>
      <w:r>
        <w:rPr/>
        <mc:AlternateContent>
          <mc:Choice Requires="wps">
            <w:drawing>
              <wp:anchor behindDoc="0" distT="0" distB="0" distL="635" distR="0" simplePos="0" locked="0" layoutInCell="0" allowOverlap="1" relativeHeight="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3" name="_x0000_tole_rId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17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object>
          <v:shapetype id="_x0000_tole_rId15" coordsize="21600,21600" o:spt="ole_rId1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5" type="_x0000_tole_rId15" style="width:78pt;height:47.25pt;mso-wrap-distance-right:0pt" filled="f" o:ole="">
            <v:imagedata r:id="rId16" o:title=""/>
          </v:shape>
          <o:OLEObject Type="Embed" ProgID="Excel.Sheet.12" ShapeID="ole_rId15" DrawAspect="Icon" ObjectID="_596585895" r:id="rId15"/>
        </w:object>
      </w:r>
    </w:p>
    <w:p>
      <w:pPr>
        <w:pStyle w:val="Normal"/>
        <w:spacing w:before="0" w:after="0"/>
        <w:ind w:left="5783" w:right="624"/>
        <w:contextualSpacing/>
        <w:jc w:val="right"/>
        <w:rPr>
          <w:sz w:val="20"/>
        </w:rPr>
      </w:pPr>
      <w:r>
        <w:rPr>
          <w:sz w:val="20"/>
        </w:rPr>
        <w:t>Приложение № 3</w:t>
      </w:r>
    </w:p>
    <w:p>
      <w:pPr>
        <w:pStyle w:val="Normal"/>
        <w:ind w:left="5811"/>
        <w:jc w:val="right"/>
        <w:rPr>
          <w:sz w:val="20"/>
        </w:rPr>
      </w:pPr>
      <w:r>
        <w:rPr>
          <w:sz w:val="20"/>
        </w:rPr>
        <w:t>к Требованиям к оформлению и составлению сметной документации на выполнение проектных работ</w:t>
      </w:r>
    </w:p>
    <w:tbl>
      <w:tblPr>
        <w:tblW w:w="14853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10"/>
        <w:gridCol w:w="242"/>
        <w:gridCol w:w="2183"/>
        <w:gridCol w:w="1095"/>
        <w:gridCol w:w="306"/>
        <w:gridCol w:w="236"/>
        <w:gridCol w:w="1580"/>
      </w:tblGrid>
      <w:tr>
        <w:trPr>
          <w:trHeight w:val="20" w:hRule="atLeast"/>
        </w:trPr>
        <w:tc>
          <w:tcPr>
            <w:tcW w:w="9210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  <w:bookmarkStart w:id="42" w:name="RANGE!A1%25252525252525252525253AD25"/>
            <w:bookmarkStart w:id="43" w:name="RANGE!A1%25252525252525252525253AD25"/>
            <w:bookmarkEnd w:id="43"/>
          </w:p>
          <w:p>
            <w:pPr>
              <w:pStyle w:val="Normal"/>
              <w:widowControl w:val="false"/>
              <w:ind w:left="7035"/>
              <w:jc w:val="center"/>
              <w:rPr/>
            </w:pPr>
            <w:r>
              <w:rPr/>
              <w:t xml:space="preserve">                                                                                                </w:t>
            </w:r>
            <w:r>
              <w:rPr/>
              <w:t>к Договору                                             от______202___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                                                                                                    № </w:t>
            </w:r>
            <w:r>
              <w:rPr/>
              <w:t xml:space="preserve">_________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СОГЛАСОВАНО:                                                                                   УТВЕРЖДЕНО:                                                                                                                                                                </w:t>
            </w:r>
          </w:p>
        </w:tc>
        <w:tc>
          <w:tcPr>
            <w:tcW w:w="2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  <w:t xml:space="preserve">         </w:t>
            </w:r>
          </w:p>
        </w:tc>
        <w:tc>
          <w:tcPr>
            <w:tcW w:w="2183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           </w:t>
            </w:r>
          </w:p>
        </w:tc>
        <w:tc>
          <w:tcPr>
            <w:tcW w:w="1401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627" w:leader="none"/>
              </w:tabs>
              <w:ind w:hanging="1332" w:left="-526"/>
              <w:jc w:val="right"/>
              <w:rPr/>
            </w:pPr>
            <w:r>
              <w:rPr/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8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0" w:hRule="atLeast"/>
        </w:trPr>
        <w:tc>
          <w:tcPr>
            <w:tcW w:w="9210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78" w:type="dxa"/>
            <w:gridSpan w:val="2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2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58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1635" w:type="dxa"/>
            <w:gridSpan w:val="3"/>
            <w:tcBorders/>
          </w:tcPr>
          <w:tbl>
            <w:tblPr>
              <w:tblW w:w="9969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noHBand="0" w:noVBand="0" w:firstColumn="0" w:lastRow="0" w:lastColumn="0" w:firstRow="0"/>
            </w:tblPr>
            <w:tblGrid>
              <w:gridCol w:w="565"/>
              <w:gridCol w:w="19"/>
              <w:gridCol w:w="578"/>
              <w:gridCol w:w="744"/>
              <w:gridCol w:w="175"/>
              <w:gridCol w:w="1368"/>
              <w:gridCol w:w="35"/>
              <w:gridCol w:w="302"/>
              <w:gridCol w:w="184"/>
              <w:gridCol w:w="1127"/>
              <w:gridCol w:w="96"/>
              <w:gridCol w:w="93"/>
              <w:gridCol w:w="725"/>
              <w:gridCol w:w="1419"/>
              <w:gridCol w:w="2001"/>
              <w:gridCol w:w="149"/>
              <w:gridCol w:w="245"/>
              <w:gridCol w:w="144"/>
            </w:tblGrid>
            <w:tr>
              <w:trPr/>
              <w:tc>
                <w:tcPr>
                  <w:tcW w:w="9580" w:type="dxa"/>
                  <w:gridSpan w:val="16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СВОДНАЯ СМЕТА №</w:t>
                  </w:r>
                </w:p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на проектные работы </w:t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9015" w:type="dxa"/>
                  <w:gridSpan w:val="15"/>
                  <w:tcBorders>
                    <w:bottom w:val="single" w:sz="4" w:space="0" w:color="000000"/>
                  </w:tcBorders>
                </w:tcPr>
                <w:p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9015" w:type="dxa"/>
                  <w:gridSpan w:val="15"/>
                  <w:tcBorders>
                    <w:top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стройки)</w:t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341" w:type="dxa"/>
                  <w:gridSpan w:val="3"/>
                  <w:tcBorders/>
                </w:tcPr>
                <w:p>
                  <w:pPr>
                    <w:pStyle w:val="ConsPlusNormal"/>
                    <w:ind w:firstLine="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Заказчик</w:t>
                  </w:r>
                </w:p>
              </w:tc>
              <w:tc>
                <w:tcPr>
                  <w:tcW w:w="7919" w:type="dxa"/>
                  <w:gridSpan w:val="13"/>
                  <w:tcBorders>
                    <w:bottom w:val="single" w:sz="4" w:space="0" w:color="000000"/>
                  </w:tcBorders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341" w:type="dxa"/>
                  <w:gridSpan w:val="3"/>
                  <w:tcBorders/>
                </w:tcPr>
                <w:p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7919" w:type="dxa"/>
                  <w:gridSpan w:val="13"/>
                  <w:tcBorders>
                    <w:top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  <w:vAlign w:val="bottom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3405" w:type="dxa"/>
                  <w:gridSpan w:val="8"/>
                  <w:tcBorders/>
                </w:tcPr>
                <w:p>
                  <w:pPr>
                    <w:pStyle w:val="ConsPlusNormal"/>
                    <w:ind w:hanging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Изыскательская организация</w:t>
                  </w:r>
                </w:p>
              </w:tc>
              <w:tc>
                <w:tcPr>
                  <w:tcW w:w="5855" w:type="dxa"/>
                  <w:gridSpan w:val="8"/>
                  <w:tcBorders>
                    <w:bottom w:val="single" w:sz="4" w:space="0" w:color="000000"/>
                  </w:tcBorders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bottom w:val="single" w:sz="4" w:space="0" w:color="000000"/>
                  </w:tcBorders>
                </w:tcPr>
                <w:p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  <w:vAlign w:val="bottom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919" w:type="dxa"/>
                  <w:gridSpan w:val="6"/>
                  <w:tcBorders>
                    <w:top w:val="single" w:sz="4" w:space="0" w:color="000000"/>
                  </w:tcBorders>
                </w:tcPr>
                <w:p>
                  <w:pPr>
                    <w:pStyle w:val="ConsPlusNormal"/>
                    <w:ind w:hanging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Проектная организация</w:t>
                  </w:r>
                </w:p>
              </w:tc>
              <w:tc>
                <w:tcPr>
                  <w:tcW w:w="6341" w:type="dxa"/>
                  <w:gridSpan w:val="10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bottom w:val="single" w:sz="4" w:space="0" w:color="000000"/>
                  </w:tcBorders>
                </w:tcPr>
                <w:p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>
                <w:trHeight w:val="352" w:hRule="atLeast"/>
              </w:trPr>
              <w:tc>
                <w:tcPr>
                  <w:tcW w:w="565" w:type="dxa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top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84" w:type="dxa"/>
                  <w:gridSpan w:val="2"/>
                  <w:tcBorders/>
                </w:tcPr>
                <w:p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8847" w:type="dxa"/>
                  <w:gridSpan w:val="13"/>
                  <w:tcBorders/>
                </w:tcPr>
                <w:p>
                  <w:pPr>
                    <w:pStyle w:val="ConsPlusNormal"/>
                    <w:ind w:hanging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Составлена в уровне цен на ________________ 20__ г.</w:t>
                  </w:r>
                </w:p>
              </w:tc>
              <w:tc>
                <w:tcPr>
                  <w:tcW w:w="149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rPr/>
                  </w:pPr>
                  <w:r>
                    <w:rPr/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w="1162" w:type="dxa"/>
                  <w:gridSpan w:val="3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N№ п/п</w:t>
                  </w:r>
                </w:p>
              </w:tc>
              <w:tc>
                <w:tcPr>
                  <w:tcW w:w="2287" w:type="dxa"/>
                  <w:gridSpan w:val="3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Наименование смет на проектные работы</w:t>
                  </w:r>
                </w:p>
              </w:tc>
              <w:tc>
                <w:tcPr>
                  <w:tcW w:w="1744" w:type="dxa"/>
                  <w:gridSpan w:val="5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Обоснование</w:t>
                  </w:r>
                </w:p>
              </w:tc>
              <w:tc>
                <w:tcPr>
                  <w:tcW w:w="477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Сметная стоимость, руб.</w:t>
                  </w:r>
                </w:p>
              </w:tc>
            </w:tr>
            <w:tr>
              <w:trPr>
                <w:trHeight w:val="74" w:hRule="atLeast"/>
              </w:trPr>
              <w:tc>
                <w:tcPr>
                  <w:tcW w:w="1162" w:type="dxa"/>
                  <w:gridSpan w:val="3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87" w:type="dxa"/>
                  <w:gridSpan w:val="3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744" w:type="dxa"/>
                  <w:gridSpan w:val="5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инженерных изысканий</w:t>
                  </w:r>
                </w:p>
              </w:tc>
              <w:tc>
                <w:tcPr>
                  <w:tcW w:w="253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проектных работ</w:t>
                  </w:r>
                </w:p>
              </w:tc>
            </w:tr>
            <w:tr>
              <w:trPr/>
              <w:tc>
                <w:tcPr>
                  <w:tcW w:w="116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174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53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116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I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Проектная документация</w:t>
                  </w:r>
                </w:p>
              </w:tc>
              <w:tc>
                <w:tcPr>
                  <w:tcW w:w="174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53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116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4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53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&lt;X&gt;</w:t>
                  </w:r>
                </w:p>
              </w:tc>
            </w:tr>
            <w:tr>
              <w:trPr>
                <w:trHeight w:val="323" w:hRule="atLeast"/>
              </w:trPr>
              <w:tc>
                <w:tcPr>
                  <w:tcW w:w="116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II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Рабочая документация</w:t>
                  </w:r>
                </w:p>
              </w:tc>
              <w:tc>
                <w:tcPr>
                  <w:tcW w:w="174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53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116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4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53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116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"/>
                    <w:ind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Итого по видам работ</w:t>
                  </w:r>
                </w:p>
              </w:tc>
              <w:tc>
                <w:tcPr>
                  <w:tcW w:w="174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&lt;X&gt;</w:t>
                  </w:r>
                </w:p>
              </w:tc>
              <w:tc>
                <w:tcPr>
                  <w:tcW w:w="253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116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ВСЕГО</w:t>
                  </w:r>
                </w:p>
              </w:tc>
              <w:tc>
                <w:tcPr>
                  <w:tcW w:w="174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477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&lt;X&gt;</w:t>
                  </w:r>
                </w:p>
              </w:tc>
            </w:tr>
            <w:tr>
              <w:trPr>
                <w:trHeight w:val="466" w:hRule="atLeast"/>
              </w:trPr>
              <w:tc>
                <w:tcPr>
                  <w:tcW w:w="3786" w:type="dxa"/>
                  <w:gridSpan w:val="8"/>
                  <w:tcBorders>
                    <w:top w:val="single" w:sz="4" w:space="0" w:color="000000"/>
                  </w:tcBorders>
                </w:tcPr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Руководитель</w:t>
                  </w:r>
                </w:p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проектной организации</w:t>
                  </w:r>
                </w:p>
              </w:tc>
              <w:tc>
                <w:tcPr>
                  <w:tcW w:w="6183" w:type="dxa"/>
                  <w:gridSpan w:val="10"/>
                  <w:tcBorders>
                    <w:top w:val="single" w:sz="4" w:space="0" w:color="000000"/>
                  </w:tcBorders>
                </w:tcPr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______________________________________________</w:t>
                  </w:r>
                </w:p>
              </w:tc>
            </w:tr>
            <w:tr>
              <w:trPr/>
              <w:tc>
                <w:tcPr>
                  <w:tcW w:w="3786" w:type="dxa"/>
                  <w:gridSpan w:val="8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6183" w:type="dxa"/>
                  <w:gridSpan w:val="10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3786" w:type="dxa"/>
                  <w:gridSpan w:val="8"/>
                  <w:tcBorders/>
                </w:tcPr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Главный инженер проекта</w:t>
                  </w:r>
                </w:p>
              </w:tc>
              <w:tc>
                <w:tcPr>
                  <w:tcW w:w="6183" w:type="dxa"/>
                  <w:gridSpan w:val="10"/>
                  <w:tcBorders/>
                </w:tcPr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________________________________________</w:t>
                  </w:r>
                </w:p>
              </w:tc>
            </w:tr>
            <w:tr>
              <w:trPr>
                <w:trHeight w:val="21" w:hRule="atLeast"/>
              </w:trPr>
              <w:tc>
                <w:tcPr>
                  <w:tcW w:w="3786" w:type="dxa"/>
                  <w:gridSpan w:val="8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6183" w:type="dxa"/>
                  <w:gridSpan w:val="10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2081" w:type="dxa"/>
                  <w:gridSpan w:val="5"/>
                  <w:tcBorders/>
                </w:tcPr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Начальник отдела </w:t>
                  </w:r>
                </w:p>
              </w:tc>
              <w:tc>
                <w:tcPr>
                  <w:tcW w:w="3016" w:type="dxa"/>
                  <w:gridSpan w:val="5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89" w:type="dxa"/>
                  <w:gridSpan w:val="2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4683" w:type="dxa"/>
                  <w:gridSpan w:val="6"/>
                  <w:tcBorders/>
                </w:tcPr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____________________________________</w:t>
                  </w:r>
                </w:p>
              </w:tc>
            </w:tr>
            <w:tr>
              <w:trPr>
                <w:trHeight w:val="347" w:hRule="atLeast"/>
              </w:trPr>
              <w:tc>
                <w:tcPr>
                  <w:tcW w:w="2081" w:type="dxa"/>
                  <w:gridSpan w:val="5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3016" w:type="dxa"/>
                  <w:gridSpan w:val="5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914" w:type="dxa"/>
                  <w:gridSpan w:val="3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3958" w:type="dxa"/>
                  <w:gridSpan w:val="5"/>
                  <w:tcBorders/>
                </w:tcPr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2081" w:type="dxa"/>
                  <w:gridSpan w:val="5"/>
                  <w:tcBorders/>
                </w:tcPr>
                <w:p>
                  <w:pPr>
                    <w:pStyle w:val="ConsPlusNormal"/>
                    <w:ind w:hanging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Заказчик</w:t>
                  </w:r>
                </w:p>
              </w:tc>
              <w:tc>
                <w:tcPr>
                  <w:tcW w:w="7888" w:type="dxa"/>
                  <w:gridSpan w:val="13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2081" w:type="dxa"/>
                  <w:gridSpan w:val="5"/>
                  <w:tcBorders/>
                </w:tcPr>
                <w:p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7888" w:type="dxa"/>
                  <w:gridSpan w:val="13"/>
                  <w:tcBorders/>
                </w:tcPr>
                <w:p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[должность, подпись (инициалы, фамилия)]</w:t>
                  </w:r>
                </w:p>
              </w:tc>
            </w:tr>
          </w:tbl>
          <w:p>
            <w:pPr>
              <w:pStyle w:val="ConsPlusNormal"/>
              <w:ind w:firstLine="720" w:right="-552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7" w:type="dxa"/>
            <w:gridSpan w:val="4"/>
            <w:tcBorders/>
          </w:tcPr>
          <w:p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7088"/>
        <w:rPr>
          <w:sz w:val="20"/>
          <w:szCs w:val="20"/>
        </w:rPr>
      </w:pPr>
      <w:r>
        <w:rPr>
          <w:sz w:val="20"/>
          <w:szCs w:val="20"/>
        </w:rPr>
        <w:t>Приложение № 4</w:t>
      </w:r>
    </w:p>
    <w:p>
      <w:pPr>
        <w:pStyle w:val="Normal"/>
        <w:tabs>
          <w:tab w:val="clear" w:pos="708"/>
          <w:tab w:val="left" w:pos="1080" w:leader="none"/>
        </w:tabs>
        <w:ind w:left="708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 Требованиям к оформлению </w:t>
      </w:r>
    </w:p>
    <w:p>
      <w:pPr>
        <w:pStyle w:val="Normal"/>
        <w:tabs>
          <w:tab w:val="clear" w:pos="708"/>
          <w:tab w:val="left" w:pos="1080" w:leader="none"/>
        </w:tabs>
        <w:ind w:left="708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 составлению смет </w:t>
      </w:r>
    </w:p>
    <w:p>
      <w:pPr>
        <w:pStyle w:val="Normal"/>
        <w:tabs>
          <w:tab w:val="clear" w:pos="708"/>
          <w:tab w:val="left" w:pos="1080" w:leader="none"/>
        </w:tabs>
        <w:ind w:left="7088"/>
        <w:jc w:val="both"/>
        <w:rPr>
          <w:color w:val="00B050"/>
          <w:sz w:val="20"/>
          <w:szCs w:val="20"/>
        </w:rPr>
      </w:pPr>
      <w:r>
        <w:rPr>
          <w:sz w:val="20"/>
          <w:szCs w:val="20"/>
        </w:rPr>
        <w:t>и расчетов на проектные работы</w:t>
      </w:r>
    </w:p>
    <w:p>
      <w:pPr>
        <w:pStyle w:val="Normal"/>
        <w:ind w:left="7088"/>
        <w:rPr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>Образец сводной сметы в накопительной форме</w:t>
      </w:r>
    </w:p>
    <w:p>
      <w:pPr>
        <w:pStyle w:val="Normal"/>
        <w:shd w:val="clear" w:color="auto" w:fill="FFFFFF"/>
        <w:ind w:left="5670"/>
        <w:rPr>
          <w:sz w:val="20"/>
          <w:szCs w:val="20"/>
        </w:rPr>
      </w:pPr>
      <w:r>
        <w:rPr>
          <w:sz w:val="20"/>
        </w:rPr>
        <w:t>Приложение №_____</w:t>
      </w:r>
    </w:p>
    <w:p>
      <w:pPr>
        <w:pStyle w:val="Normal"/>
        <w:shd w:val="clear" w:color="auto" w:fill="FFFFFF"/>
        <w:ind w:left="5670"/>
        <w:rPr>
          <w:sz w:val="20"/>
        </w:rPr>
      </w:pPr>
      <w:r>
        <w:rPr>
          <w:sz w:val="20"/>
        </w:rPr>
        <w:t>к дополнительному соглашению</w:t>
      </w:r>
      <w:r>
        <w:rPr>
          <w:sz w:val="20"/>
          <w:szCs w:val="20"/>
        </w:rPr>
        <w:t xml:space="preserve"> №____от</w:t>
      </w:r>
      <w:r>
        <w:rPr>
          <w:sz w:val="20"/>
        </w:rPr>
        <w:t xml:space="preserve"> договор №___от</w:t>
      </w:r>
      <w:r>
        <w:rPr>
          <w:sz w:val="20"/>
          <w:szCs w:val="20"/>
        </w:rPr>
        <w:t>___</w:t>
      </w:r>
    </w:p>
    <w:p>
      <w:pPr>
        <w:pStyle w:val="Normal"/>
        <w:shd w:val="clear" w:color="auto" w:fill="FFFFFF"/>
        <w:ind w:left="5530"/>
        <w:rPr/>
      </w:pPr>
      <w:r>
        <w:rPr/>
      </w:r>
    </w:p>
    <w:tbl>
      <w:tblPr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29"/>
        <w:gridCol w:w="4530"/>
      </w:tblGrid>
      <w:tr>
        <w:trPr>
          <w:trHeight w:val="417" w:hRule="atLeast"/>
        </w:trPr>
        <w:tc>
          <w:tcPr>
            <w:tcW w:w="4529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</w:rPr>
              <w:t>СОГЛАСОВАНО: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/>
              <w:t>_________________(</w:t>
            </w:r>
            <w:r>
              <w:rPr>
                <w:sz w:val="20"/>
                <w:szCs w:val="20"/>
              </w:rPr>
              <w:t>Подрядчик)</w:t>
            </w:r>
          </w:p>
          <w:p>
            <w:pPr>
              <w:pStyle w:val="Normal"/>
              <w:widowControl w:val="false"/>
              <w:rPr/>
            </w:pPr>
            <w:r>
              <w:rPr/>
              <w:t>_________________Ф.И.О.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 w:val="false"/>
              <w:ind w:left="1460"/>
              <w:rPr>
                <w:b/>
                <w:bCs/>
              </w:rPr>
            </w:pPr>
            <w:r>
              <w:rPr>
                <w:b/>
                <w:bCs/>
              </w:rPr>
              <w:t>УТВЕРЖДАЮ:</w:t>
            </w:r>
          </w:p>
          <w:p>
            <w:pPr>
              <w:pStyle w:val="Normal"/>
              <w:widowControl w:val="false"/>
              <w:ind w:left="1460"/>
              <w:rPr>
                <w:bCs/>
              </w:rPr>
            </w:pPr>
            <w:r>
              <w:rPr>
                <w:bCs/>
              </w:rPr>
              <w:t>_________________(</w:t>
            </w:r>
            <w:r>
              <w:rPr>
                <w:bCs/>
                <w:sz w:val="20"/>
                <w:szCs w:val="20"/>
              </w:rPr>
              <w:t>Заказчик)</w:t>
            </w:r>
          </w:p>
          <w:p>
            <w:pPr>
              <w:pStyle w:val="Normal"/>
              <w:widowControl w:val="false"/>
              <w:ind w:left="1460"/>
              <w:rPr/>
            </w:pPr>
            <w:r>
              <w:rPr/>
              <w:t>_________________Ф.И.О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Normal"/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СВОДНАЯ СМЕТА № </w:t>
        <w:br/>
        <w:t>на проектные работы</w:t>
      </w:r>
    </w:p>
    <w:p>
      <w:pPr>
        <w:pStyle w:val="Normal"/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rPr/>
      </w:pPr>
      <w:r>
        <w:rPr/>
        <w:t xml:space="preserve">Наименование предприятия, здания, сооружения, стадии проектирования, этапа, вида </w:t>
      </w:r>
    </w:p>
    <w:p>
      <w:pPr>
        <w:pStyle w:val="Normal"/>
        <w:shd w:val="clear" w:color="auto" w:fill="FFFFFF"/>
        <w:rPr/>
      </w:pPr>
      <w:r>
        <w:rPr/>
        <w:t>проектных работ ___________________________________________________________</w:t>
      </w:r>
    </w:p>
    <w:p>
      <w:pPr>
        <w:pStyle w:val="Normal"/>
        <w:shd w:val="clear" w:color="auto" w:fill="FFFFFF"/>
        <w:rPr/>
      </w:pPr>
      <w:r>
        <w:rPr/>
        <w:t>Наименование подрядной организации_________________________________</w:t>
      </w:r>
    </w:p>
    <w:p>
      <w:pPr>
        <w:pStyle w:val="Normal"/>
        <w:shd w:val="clear" w:color="auto" w:fill="FFFFFF"/>
        <w:rPr/>
      </w:pPr>
      <w:r>
        <w:rPr/>
        <w:t>Наименование организации заказчика_________________________________</w:t>
      </w:r>
    </w:p>
    <w:p>
      <w:pPr>
        <w:pStyle w:val="Normal"/>
        <w:rPr/>
      </w:pPr>
      <w:r>
        <w:rPr/>
        <w:t>Составлена в текущих ценах, соответствующих периоду выполнения работ по договору</w:t>
      </w:r>
    </w:p>
    <w:p>
      <w:pPr>
        <w:pStyle w:val="Normal"/>
        <w:jc w:val="right"/>
        <w:rPr/>
      </w:pPr>
      <w:r>
        <w:rPr/>
        <w:t>руб.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noHBand="0" w:noVBand="1" w:firstColumn="1" w:lastRow="0" w:lastColumn="0" w:firstRow="1"/>
      </w:tblPr>
      <w:tblGrid>
        <w:gridCol w:w="797"/>
        <w:gridCol w:w="6121"/>
        <w:gridCol w:w="2547"/>
        <w:gridCol w:w="5813"/>
      </w:tblGrid>
      <w:tr>
        <w:trPr>
          <w:tblHeader w:val="true"/>
          <w:trHeight w:val="873" w:hRule="atLeast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п.п.</w:t>
            </w:r>
          </w:p>
        </w:tc>
        <w:tc>
          <w:tcPr>
            <w:tcW w:w="612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(наименование) выполняемых работ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Ссылка на № смет и расчетов</w:t>
            </w:r>
          </w:p>
        </w:tc>
        <w:tc>
          <w:tcPr>
            <w:tcW w:w="5813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работ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true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12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/>
        <w:tc>
          <w:tcPr>
            <w:tcW w:w="15278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Сметы основного договора </w:t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2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сметам основного договора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15278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Исключено ДС №1</w:t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исключено дополнительным соглашением № 1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15278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Включено ДС №1</w:t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включено дополнительным соглашением № 1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договору подряда с учетом ДС №… без НДС: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Справочно: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Сумма основного договора, без НДС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Сумма изменения</w:t>
              <w:br/>
              <w:t>(увеличения/уменьшения) стоимости основного договора на основании ДС № 1, без НДС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79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Сумма изменения</w:t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shd w:val="clear" w:color="auto" w:fill="FFFFFF"/>
        <w:rPr/>
      </w:pPr>
      <w:r>
        <w:rPr/>
      </w:r>
    </w:p>
    <w:p>
      <w:pPr>
        <w:pStyle w:val="Normal"/>
        <w:shd w:val="clear" w:color="auto" w:fill="FFFFFF"/>
        <w:rPr>
          <w:sz w:val="24"/>
          <w:szCs w:val="24"/>
        </w:rPr>
      </w:pPr>
      <w:r>
        <w:rPr/>
        <w:t>Итого по смете ___________________________________________________</w:t>
      </w:r>
    </w:p>
    <w:p>
      <w:pPr>
        <w:pStyle w:val="Normal"/>
        <w:shd w:val="clear" w:color="auto" w:fill="FFFFFF"/>
        <w:ind w:firstLine="1845"/>
        <w:jc w:val="center"/>
        <w:rPr/>
      </w:pPr>
      <w:r>
        <w:rPr/>
        <w:t>(сумма прописью)</w:t>
      </w:r>
    </w:p>
    <w:p>
      <w:pPr>
        <w:pStyle w:val="Normal"/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Составил:_________/должность, организация/___________/подпись/_____________/расшифровка подписи/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Проверил:___________/должность, организация/_____________/подпись/___________/расшифровка подписи</w:t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</w:r>
    </w:p>
    <w:sectPr>
      <w:headerReference w:type="default" r:id="rId19"/>
      <w:headerReference w:type="first" r:id="rId20"/>
      <w:footnotePr>
        <w:numFmt w:val="decimal"/>
      </w:footnotePr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jc w:val="both"/>
        <w:rPr/>
      </w:pPr>
      <w:r>
        <w:rPr>
          <w:rStyle w:val="Style"/>
        </w:rPr>
        <w:footnoteRef/>
      </w:r>
      <w:r>
        <w:rPr/>
        <w:t xml:space="preserve"> </w:t>
      </w:r>
      <w:r>
        <w:rPr>
          <w:sz w:val="20"/>
          <w:szCs w:val="20"/>
        </w:rPr>
        <w:t>На официальном сайте единой межведомственной информационно-статистической системы (ЕМИСС) https://www.fedstat.ru указанная информация представлена по показателю «Среднемесячная номинальная начисленная заработная плата работающих в экономике с 2017 г.», в графе «Классификатор видов экономической деятельности» следует выбрать «Деятельность в области архитектуры и инженерно-технического проектирования; технических испытаний, исследований и анализа»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22E16A3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22E16A3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25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30</w:t>
    </w:r>
    <w:r>
      <w:rPr/>
      <w:fldChar w:fldCharType="end"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8"/>
        <w:i w:val="false"/>
        <w:b/>
        <w:szCs w:val="28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52" w:hanging="432"/>
      </w:pPr>
      <w:rPr>
        <w:sz w:val="28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8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9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9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7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Linenumber">
    <w:name w:val="line number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6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6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6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6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6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7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yperlink" Target="../mozilla_aksametovar@corp.gidroogk.com0/3&#1055;" TargetMode="External"/><Relationship Id="rId8" Type="http://schemas.openxmlformats.org/officeDocument/2006/relationships/hyperlink" Target="consultantplus://offline/ref=B32CDE0E905E401B1BFF323EF993DB2C6865F0A971913444C3F7F56C5AF257E783F32977DF4E2DA4F5ACBC60359FF614F9C1315096B586250A26N" TargetMode="External"/><Relationship Id="rId9" Type="http://schemas.openxmlformats.org/officeDocument/2006/relationships/hyperlink" Target="consultantplus://offline/ref=B32CDE0E905E401B1BFF323EF993DB2C6F6DF7AA75973444C3F7F56C5AF257E783F32977DC422FF8A5E3BD3C70CDE515FFC133518A0B25N" TargetMode="External"/><Relationship Id="rId10" Type="http://schemas.openxmlformats.org/officeDocument/2006/relationships/hyperlink" Target="consultantplus://offline/ref=B32CDE0E905E401B1BFF323EF993DB2C6865F0A971913444C3F7F56C5AF257E783F32977DF4D24ACF0ACBC60359FF614F9C1315096B586250A26N" TargetMode="External"/><Relationship Id="rId11" Type="http://schemas.openxmlformats.org/officeDocument/2006/relationships/hyperlink" Target="consultantplus://offline/ref=B32CDE0E905E401B1BFF323EF993DB2C6F62F6A7789C3444C3F7F56C5AF257E783F32977DF4B25AAFDACBC60359FF614F9C1315096B586250A26N" TargetMode="External"/><Relationship Id="rId12" Type="http://schemas.openxmlformats.org/officeDocument/2006/relationships/hyperlink" Target="consultantplus://offline/ref=B32CDE0E905E401B1BFF323EF993DB2C6F6DF7AA75973444C3F7F56C5AF257E783F32974D8482DA7A0F6AC647CCBFC0BFEDE2F5388B50824N" TargetMode="External"/><Relationship Id="rId13" Type="http://schemas.openxmlformats.org/officeDocument/2006/relationships/header" Target="header6.xml"/><Relationship Id="rId14" Type="http://schemas.openxmlformats.org/officeDocument/2006/relationships/header" Target="header7.xml"/><Relationship Id="rId15" Type="http://schemas.openxmlformats.org/officeDocument/2006/relationships/package" Target="embeddings/oleObject1.xlsx"/><Relationship Id="rId16" Type="http://schemas.openxmlformats.org/officeDocument/2006/relationships/image" Target="media/image1.wmf"/><Relationship Id="rId17" Type="http://schemas.openxmlformats.org/officeDocument/2006/relationships/header" Target="header8.xml"/><Relationship Id="rId18" Type="http://schemas.openxmlformats.org/officeDocument/2006/relationships/header" Target="header9.xml"/><Relationship Id="rId19" Type="http://schemas.openxmlformats.org/officeDocument/2006/relationships/header" Target="header10.xml"/><Relationship Id="rId20" Type="http://schemas.openxmlformats.org/officeDocument/2006/relationships/header" Target="header11.xml"/><Relationship Id="rId21" Type="http://schemas.openxmlformats.org/officeDocument/2006/relationships/footnotes" Target="footnotes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<Relationship Id="rId2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208CA-4FB2-4D7C-975E-58A9D8E96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Application>AlterOffice/2026.2.0.0$Linux_X86_64 LibreOffice_project/bc4ef1adf80b36c7a6365f8ed6cbf29021361edd</Application>
  <AppVersion>15.0000</AppVersion>
  <Pages>30</Pages>
  <Words>4037</Words>
  <Characters>28767</Characters>
  <CharactersWithSpaces>30171</CharactersWithSpaces>
  <Paragraphs>546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bezmaternyheb@corp.gidroogk.com</cp:lastModifiedBy>
  <cp:lastPrinted>2006-07-26T14:04:00Z</cp:lastPrinted>
  <dcterms:modified xsi:type="dcterms:W3CDTF">2026-10-08T08:04:58Z</dcterms:modified>
  <cp:revision>41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