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jc w:val="right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ind w:hanging="0" w:left="0" w:right="-365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ТЕХНИЧЕСКИЕ ТРЕБОВАНИЯ</w:t>
      </w:r>
    </w:p>
    <w:p>
      <w:pPr>
        <w:pStyle w:val="Normal"/>
        <w:ind w:hanging="0" w:left="0" w:right="-365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</w:r>
    </w:p>
    <w:p>
      <w:pPr>
        <w:pStyle w:val="Normal"/>
        <w:bidi w:val="0"/>
        <w:jc w:val="left"/>
        <w:rPr/>
      </w:pPr>
      <w:r>
        <w:rPr>
          <w:rStyle w:val="Style12"/>
          <w:rFonts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sz w:val="26"/>
          <w:szCs w:val="26"/>
          <w:u w:val="none"/>
          <w:shd w:fill="auto" w:val="clear"/>
          <w:em w:val="none"/>
        </w:rPr>
        <w:t>О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КДП2 43.21.10 Техническое обслуживание систем ИТСО  производственной базы для нужд структурное подразделение «Северные электрические сети» филиала АО «ДРСК» «Хабаровские электрические сети»</w:t>
      </w:r>
    </w:p>
    <w:p>
      <w:pPr>
        <w:pStyle w:val="Normal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/>
          <w:b/>
          <w:bCs/>
          <w:i w:val="false"/>
          <w:i w:val="false"/>
          <w:iCs w:val="false"/>
          <w:sz w:val="26"/>
          <w:szCs w:val="26"/>
          <w:shd w:fill="auto" w:val="clear"/>
        </w:rPr>
      </w:pPr>
      <w:r>
        <w:rPr>
          <w:rFonts w:ascii="Times New Roman" w:hAnsi="Times New Roman"/>
          <w:b/>
          <w:bCs/>
          <w:i w:val="false"/>
          <w:iCs w:val="false"/>
          <w:sz w:val="26"/>
          <w:szCs w:val="26"/>
          <w:shd w:fill="auto" w:val="clear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/>
      </w:pPr>
      <w:r>
        <w:rPr>
          <w:rStyle w:val="Style12"/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  <w:t>(Лот №57801-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ПРО ДЭК-2027-ДРСК-ХЭС)</w:t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eastAsia="Calibri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x-none"/>
        </w:rPr>
      </w:pPr>
      <w:r>
        <w:rPr>
          <w:rFonts w:eastAsia="Calibri"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x-none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5"/>
              <w:vanish w:val="false"/>
            </w:rPr>
            <w:instrText xml:space="preserve"> TOC \z \o "1-4" \u \h</w:instrText>
          </w:r>
          <w:r>
            <w:rPr>
              <w:webHidden/>
              <w:rStyle w:val="Style5"/>
              <w:vanish w:val="false"/>
            </w:rPr>
            <w:fldChar w:fldCharType="separate"/>
          </w:r>
          <w:hyperlink w:anchor="_Toc134373010">
            <w:r>
              <w:rPr>
                <w:webHidden/>
                <w:rStyle w:val="Style5"/>
                <w:vanish w:val="false"/>
              </w:rPr>
              <w:t>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5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1">
            <w:r>
              <w:rPr>
                <w:webHidden/>
                <w:rStyle w:val="Style5"/>
                <w:iCs/>
                <w:vanish w:val="false"/>
              </w:rPr>
              <w:t>1.1.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2">
            <w:r>
              <w:rPr>
                <w:webHidden/>
                <w:rStyle w:val="Style5"/>
                <w:iCs/>
                <w:vanish w:val="false"/>
              </w:rPr>
              <w:t>1.2.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3">
            <w:r>
              <w:rPr>
                <w:webHidden/>
                <w:rStyle w:val="Style5"/>
                <w:iCs/>
                <w:vanish w:val="false"/>
              </w:rPr>
              <w:t>1.3.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4">
            <w:r>
              <w:rPr>
                <w:webHidden/>
                <w:rStyle w:val="Style5"/>
                <w:iCs/>
                <w:vanish w:val="false"/>
              </w:rPr>
              <w:t>1.4.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1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_Toc134373015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5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16">
            <w:r>
              <w:rPr>
                <w:webHidden/>
                <w:rStyle w:val="Style5"/>
                <w:vanish w:val="false"/>
              </w:rPr>
              <w:t>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5"/>
                <w:iCs/>
              </w:rPr>
              <w:t>Требования к продукции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  <w:vanish w:val="false"/>
              <w:sz w:val="22"/>
              <w:szCs w:val="22"/>
            </w:rPr>
            <w:t>7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7">
            <w:r>
              <w:rPr>
                <w:webHidden/>
                <w:rStyle w:val="Style5"/>
                <w:iCs/>
                <w:vanish w:val="false"/>
              </w:rPr>
              <w:t>2.1.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объемам и срокам оказания услуг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18">
            <w:r>
              <w:rPr>
                <w:webHidden/>
                <w:rStyle w:val="Style5"/>
                <w:vanish w:val="false"/>
              </w:rPr>
              <w:t>2.1.1.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перечню и объему услуг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19">
            <w:r>
              <w:rPr>
                <w:webHidden/>
                <w:rStyle w:val="Style5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0">
            <w:r>
              <w:rPr>
                <w:webHidden/>
                <w:rStyle w:val="Style5"/>
                <w:vanish w:val="false"/>
              </w:rPr>
              <w:t>2.1.2.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срокам оказания услуг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21">
            <w:r>
              <w:rPr>
                <w:webHidden/>
                <w:rStyle w:val="Style5"/>
                <w:vanish w:val="false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</w:rPr>
            <w:t>7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2">
            <w:r>
              <w:rPr>
                <w:webHidden/>
                <w:rStyle w:val="Style5"/>
                <w:iCs/>
                <w:vanish w:val="false"/>
              </w:rPr>
              <w:t>2.2.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_Toc134373022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23">
            <w:r>
              <w:rPr>
                <w:webHidden/>
                <w:rStyle w:val="Style5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vanish w:val="false"/>
            </w:rPr>
            <w:t>11</w:t>
          </w:r>
        </w:p>
        <w:p>
          <w:pPr>
            <w:pStyle w:val="TOC3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4">
            <w:r>
              <w:rPr>
                <w:webHidden/>
                <w:rStyle w:val="Style5"/>
                <w:vanish w:val="false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  <w:tab/>
              <w:t>1</w:t>
            </w:r>
          </w:hyperlink>
          <w:r>
            <w:rPr>
              <w:vanish w:val="false"/>
            </w:rPr>
            <w:t>1</w:t>
          </w:r>
        </w:p>
        <w:p>
          <w:pPr>
            <w:pStyle w:val="TOC3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34373025">
            <w:r>
              <w:rPr>
                <w:webHidden/>
                <w:rStyle w:val="Style5"/>
                <w:vanish w:val="false"/>
              </w:rPr>
              <w:t>Отсутствуют</w:t>
              <w:tab/>
              <w:t>1</w:t>
            </w:r>
          </w:hyperlink>
          <w:r>
            <w:rPr>
              <w:vanish w:val="false"/>
            </w:rPr>
            <w:t>1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34373026">
            <w:r>
              <w:rPr>
                <w:webHidden/>
                <w:rStyle w:val="Style5"/>
                <w:vanish w:val="false"/>
              </w:rPr>
              <w:t>3.</w:t>
            </w:r>
            <w:r>
              <w:rPr>
                <w:rStyle w:val="Style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5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5"/>
                <w:vanish w:val="false"/>
              </w:rPr>
              <w:tab/>
            </w:r>
          </w:hyperlink>
          <w:r>
            <w:rPr>
              <w:vanish w:val="false"/>
            </w:rPr>
            <w:t>18</w:t>
          </w:r>
          <w:r>
            <w:rPr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Style21"/>
        <w:widowControl w:val="false"/>
        <w:numPr>
          <w:ilvl w:val="0"/>
          <w:numId w:val="0"/>
        </w:numPr>
        <w:spacing w:before="240" w:after="0"/>
        <w:ind w:hanging="0" w:left="720"/>
        <w:jc w:val="center"/>
        <w:rPr>
          <w:rStyle w:val="Style12"/>
          <w:rFonts w:ascii="Times New Roman" w:hAnsi="Times New Roman" w:cs="DejaVu Sans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pPr>
      <w:r>
        <w:rPr>
          <w:rFonts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numPr>
          <w:ilvl w:val="0"/>
          <w:numId w:val="2"/>
        </w:numPr>
        <w:ind w:hanging="360" w:left="5038"/>
        <w:rPr>
          <w:rFonts w:ascii="Times New Roman" w:hAnsi="Times New Roman"/>
        </w:rPr>
      </w:pPr>
      <w:r>
        <w:rPr>
          <w:rFonts w:ascii="Times New Roman" w:hAnsi="Times New Roman"/>
        </w:rPr>
        <w:t>Общие свед</w:t>
      </w:r>
      <w:bookmarkStart w:id="0" w:name="_Toc54643694"/>
      <w:r>
        <w:rPr>
          <w:rFonts w:ascii="Times New Roman" w:hAnsi="Times New Roman"/>
        </w:rPr>
        <w:t>ения</w:t>
      </w:r>
      <w:bookmarkEnd w:id="0"/>
    </w:p>
    <w:p>
      <w:pPr>
        <w:pStyle w:val="Heading4"/>
        <w:numPr>
          <w:ilvl w:val="1"/>
          <w:numId w:val="2"/>
        </w:numPr>
        <w:ind w:hanging="432" w:left="432"/>
        <w:rPr>
          <w:rFonts w:ascii="Times New Roman" w:hAnsi="Times New Roman"/>
        </w:rPr>
      </w:pPr>
      <w:bookmarkStart w:id="1" w:name="_Toc46743505"/>
      <w:bookmarkStart w:id="2" w:name="_Toc54643695"/>
      <w:r>
        <w:rPr>
          <w:rFonts w:ascii="Times New Roman" w:hAnsi="Times New Roman"/>
          <w:lang w:val="ru-RU"/>
        </w:rPr>
        <w:t xml:space="preserve">Термины, </w:t>
      </w:r>
      <w:r>
        <w:rPr>
          <w:rFonts w:ascii="Times New Roman" w:hAnsi="Times New Roman"/>
        </w:rPr>
        <w:t>обозначения и сокращения</w:t>
      </w:r>
      <w:bookmarkEnd w:id="1"/>
      <w:bookmarkEnd w:id="2"/>
    </w:p>
    <w:p>
      <w:pPr>
        <w:pStyle w:val="Normal"/>
        <w:ind w:hanging="432" w:left="432"/>
        <w:rPr>
          <w:rFonts w:ascii="Times New Roman" w:hAnsi="Times New Roman"/>
        </w:rPr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3"/>
        <w:gridCol w:w="7194"/>
      </w:tblGrid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АРМ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Автоматизированное рабочее место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Заказчик/ субъект ТЭК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«ДРСК» (филиал «ХЭС»)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14.07.2022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14.07.2022 года № 255-ФЗ «О контроле за деятельностью лиц, находящихся под иностранным влиянием», которое осуществляет оказание услуг по договору.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ИТСО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Инженерно-технические средства охраны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Подстанция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Охранная сигнализация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СКУД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контроля и управления доступом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безопасности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охранного телевидения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 «СЭС»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Структурное подразделение «Северные электрические сети»</w:t>
            </w:r>
          </w:p>
        </w:tc>
      </w:tr>
      <w:tr>
        <w:trPr>
          <w:trHeight w:val="645" w:hRule="atLeast"/>
        </w:trPr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</w:t>
            </w:r>
          </w:p>
        </w:tc>
        <w:tc>
          <w:tcPr>
            <w:tcW w:w="7194" w:type="dxa"/>
            <w:tcBorders/>
          </w:tcPr>
          <w:p>
            <w:pPr>
              <w:pStyle w:val="BodyText"/>
              <w:widowControl w:val="false"/>
              <w:spacing w:before="0" w:after="1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операций по поддержанию систем ИТСО в исправном состоянии, восстановлению их работоспособности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 «ЦЭС»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Структурное подразделение «Центральные электрические сети»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ТТ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</w:t>
            </w:r>
          </w:p>
        </w:tc>
      </w:tr>
      <w:tr>
        <w:trPr/>
        <w:tc>
          <w:tcPr>
            <w:tcW w:w="244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ТЭК</w:t>
            </w:r>
          </w:p>
        </w:tc>
        <w:tc>
          <w:tcPr>
            <w:tcW w:w="7194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</w:tc>
      </w:tr>
    </w:tbl>
    <w:p>
      <w:pPr>
        <w:pStyle w:val="Normal"/>
        <w:ind w:hanging="432" w:left="432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bookmarkStart w:id="3" w:name="_Toc54643696"/>
      <w:bookmarkStart w:id="4" w:name="_Toc46743506"/>
      <w:r>
        <w:rPr>
          <w:rFonts w:eastAsia="Calibri" w:ascii="Times New Roman" w:hAnsi="Times New Roman"/>
          <w:b/>
          <w:color w:val="000000"/>
          <w:sz w:val="26"/>
          <w:szCs w:val="26"/>
          <w:lang w:eastAsia="x-none"/>
        </w:rPr>
        <w:t>1</w:t>
      </w:r>
      <w:bookmarkEnd w:id="3"/>
      <w:bookmarkEnd w:id="4"/>
      <w:r>
        <w:rPr>
          <w:rFonts w:eastAsia="Calibri" w:ascii="Times New Roman" w:hAnsi="Times New Roman"/>
          <w:b/>
          <w:color w:val="000000"/>
          <w:sz w:val="26"/>
          <w:szCs w:val="26"/>
          <w:lang w:eastAsia="x-none"/>
        </w:rPr>
        <w:t xml:space="preserve">.2.  </w:t>
      </w:r>
      <w:bookmarkStart w:id="5" w:name="_Toc54643697"/>
      <w:bookmarkStart w:id="6" w:name="_Toc46743507"/>
      <w:r>
        <w:rPr>
          <w:rFonts w:ascii="Times New Roman" w:hAnsi="Times New Roman"/>
          <w:b/>
          <w:bCs/>
        </w:rPr>
        <w:t xml:space="preserve">Цель </w:t>
      </w:r>
      <w:bookmarkEnd w:id="6"/>
      <w:r>
        <w:rPr>
          <w:rFonts w:ascii="Times New Roman" w:hAnsi="Times New Roman"/>
          <w:b/>
          <w:bCs/>
        </w:rPr>
        <w:t>оказания услуг</w:t>
      </w:r>
      <w:bookmarkEnd w:id="5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Поддержание в бесперебойной работоспособности существующих систем ИТСО на объектах Заказчика,  согласно </w:t>
      </w:r>
      <w:r>
        <w:rPr>
          <w:rFonts w:eastAsia="Calibri" w:ascii="Times New Roman" w:hAnsi="Times New Roman"/>
          <w:bCs/>
        </w:rPr>
        <w:t xml:space="preserve">требований </w:t>
      </w:r>
      <w:r>
        <w:rPr>
          <w:rFonts w:eastAsia="Calibri" w:ascii="Times New Roman" w:hAnsi="Times New Roman"/>
          <w:bCs/>
          <w:lang w:eastAsia="en-US"/>
        </w:rPr>
        <w:t>Федерального закона от 21.07.2011 № 256-ФЗ (ред. от 25.05.2026) «О безопасности объектов топливно-энергетического комплекса» с целью обеспечения безопасности объектов, их устойчивого и безопасного функционирования, защиты интересов личности, общества и государства в сфере топливно-энергетического комплекса от актов незаконного вмешательства: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lang w:val="x-none" w:eastAsia="x-none"/>
        </w:rPr>
        <w:t xml:space="preserve">- </w:t>
      </w:r>
      <w:r>
        <w:rPr>
          <w:sz w:val="24"/>
          <w:szCs w:val="24"/>
          <w:lang w:val="x-none" w:eastAsia="x-none"/>
        </w:rPr>
        <w:t>обеспечение бесперебойного функционирования</w:t>
      </w:r>
      <w:r>
        <w:rPr>
          <w:sz w:val="24"/>
          <w:szCs w:val="24"/>
          <w:lang w:eastAsia="x-none"/>
        </w:rPr>
        <w:t xml:space="preserve"> ИТСО</w:t>
      </w:r>
      <w:r>
        <w:rPr>
          <w:sz w:val="24"/>
          <w:szCs w:val="24"/>
          <w:lang w:val="x-none" w:eastAsia="x-none"/>
        </w:rPr>
        <w:t>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- контроль технического состояния ИТСО и определение пригодности к дальнейшей эксплуатации;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- выявление и устранение неисправностей и причин ложных срабатываний, уменьшение их количества;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- ликвидация или недопущение последствий воздействия неблагоприятных климатических, производственных и других дестабилизирующих факторов;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rFonts w:eastAsia="Calibri" w:ascii="Times New Roman" w:hAnsi="Times New Roman"/>
          <w:bCs/>
          <w:sz w:val="24"/>
          <w:szCs w:val="24"/>
          <w:lang w:val="x-none" w:eastAsia="x-none"/>
        </w:rPr>
        <w:t>- анализ и обобщение сведений по результатам выполненных работ, разработка мероприятий по совершенствованию форм и методов технического обслуживания.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1.3. Перечень объектов филиала «ХЭС» для оказания услуг ТО ИТСО</w:t>
      </w:r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</w:rPr>
      </w:pPr>
      <w:bookmarkStart w:id="7" w:name="_Toc54643699"/>
      <w:r>
        <w:rPr>
          <w:rFonts w:ascii="Times New Roman" w:hAnsi="Times New Roman"/>
          <w:sz w:val="24"/>
          <w:szCs w:val="24"/>
        </w:rPr>
        <w:t>Таблица 1. Перечень объектов заказчика</w:t>
      </w:r>
      <w:bookmarkEnd w:id="7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noHBand="0" w:noVBand="1" w:firstColumn="1" w:lastRow="0" w:lastColumn="0" w:firstRow="1"/>
      </w:tblPr>
      <w:tblGrid>
        <w:gridCol w:w="624"/>
        <w:gridCol w:w="1821"/>
        <w:gridCol w:w="702"/>
        <w:gridCol w:w="1960"/>
        <w:gridCol w:w="2418"/>
        <w:gridCol w:w="2120"/>
      </w:tblGrid>
      <w:tr>
        <w:trPr/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5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Наименование объекта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объекта </w:t>
            </w:r>
            <w:r>
              <w:rPr>
                <w:rFonts w:ascii="Times New Roman" w:hAnsi="Times New Roman"/>
                <w:iCs/>
              </w:rPr>
              <w:t>(место оказания услуг)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Наименование основного средства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>
        <w:trPr/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2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24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2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5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1. Производственная база СП «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С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ЭС»</w:t>
            </w:r>
          </w:p>
        </w:tc>
      </w:tr>
      <w:tr>
        <w:trPr/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2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 xml:space="preserve">Техническое обслуживание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систем ИТСО производственной базы СП «СЭС»</w:t>
            </w:r>
          </w:p>
        </w:tc>
        <w:tc>
          <w:tcPr>
            <w:tcW w:w="19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>г.Комсомольск-на-Амуре ул. Аллея Труда. 16А</w:t>
            </w:r>
          </w:p>
        </w:tc>
        <w:tc>
          <w:tcPr>
            <w:tcW w:w="24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>Система видеонаблюдения наружная</w:t>
            </w:r>
            <w:r>
              <w:rPr>
                <w:rFonts w:eastAsia="Times New Roman" w:cs="Times New Roman"/>
                <w:iCs/>
                <w:color w:val="auto"/>
                <w:sz w:val="24"/>
                <w:szCs w:val="24"/>
                <w:lang w:val="ru-RU" w:eastAsia="ru-RU" w:bidi="ar-SA"/>
              </w:rPr>
              <w:t xml:space="preserve"> (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 xml:space="preserve">инв. № 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en-US" w:eastAsia="ru-RU" w:bidi="ar-SA"/>
              </w:rPr>
              <w:t>HB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>032716)</w:t>
            </w:r>
            <w:r>
              <w:rPr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>2.Шлагбаум автоматический</w:t>
            </w:r>
            <w:r>
              <w:rPr>
                <w:rFonts w:eastAsia="Times New Roman" w:cs="Times New Roman"/>
                <w:iCs/>
                <w:color w:val="auto"/>
                <w:sz w:val="24"/>
                <w:szCs w:val="24"/>
                <w:lang w:val="ru-RU" w:eastAsia="ru-RU" w:bidi="ar-SA"/>
              </w:rPr>
              <w:t xml:space="preserve"> (и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>нв. № НВ031722)</w:t>
            </w:r>
            <w:r>
              <w:rPr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>3.Турникет-трипод (инв. № НВ036692)</w:t>
            </w:r>
            <w:r>
              <w:rPr>
                <w:iCs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/>
                <w:color w:val="000000"/>
                <w:sz w:val="24"/>
                <w:szCs w:val="24"/>
              </w:rPr>
              <w:t>4. Турникет серии SА с контролером Курс 100ЕМ (в составе инв №HB006310 здание  АБК блок А) .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tabs>
                <w:tab w:val="clear" w:pos="709"/>
                <w:tab w:val="left" w:pos="0" w:leader="none"/>
                <w:tab w:val="left" w:pos="120" w:leader="none"/>
              </w:tabs>
              <w:suppressAutoHyphens w:val="true"/>
              <w:bidi w:val="0"/>
              <w:spacing w:before="0" w:after="0"/>
              <w:ind w:hanging="0" w:left="57" w:right="-11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Эксплуатирующая организация: филиал АО «ДРСК» «Хабаровские ЭС»:</w:t>
            </w:r>
          </w:p>
          <w:p>
            <w:pPr>
              <w:pStyle w:val="Normal"/>
              <w:widowControl w:val="false"/>
              <w:ind w:hanging="0" w:left="-108" w:right="-108"/>
              <w:jc w:val="center"/>
              <w:rPr/>
            </w:pPr>
            <w:r>
              <w:rPr>
                <w:i/>
                <w:iCs/>
                <w:sz w:val="20"/>
                <w:szCs w:val="20"/>
              </w:rPr>
              <w:t>оказание услуг в существующих зданиях и сооружениях в стесненных условиях:  -</w:t>
            </w:r>
          </w:p>
          <w:p>
            <w:pPr>
              <w:pStyle w:val="Normal"/>
              <w:widowControl w:val="false"/>
              <w:ind w:hanging="0" w:left="-108" w:right="-108"/>
              <w:jc w:val="center"/>
              <w:rPr/>
            </w:pPr>
            <w:r>
              <w:rPr>
                <w:i/>
                <w:iCs/>
                <w:sz w:val="20"/>
                <w:szCs w:val="20"/>
              </w:rPr>
              <w:t>- оказание услуг на высоте более 2м.</w:t>
            </w:r>
          </w:p>
          <w:p>
            <w:pPr>
              <w:pStyle w:val="Normal"/>
              <w:widowControl w:val="false"/>
              <w:ind w:hanging="0" w:left="-108" w:right="-108"/>
              <w:jc w:val="center"/>
              <w:rPr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 специфические климатические условия – низкие температуры, обледенение, влажность.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1.4. Информация в отношении исполнения договора,</w:t>
      </w:r>
      <w:r>
        <w:rPr>
          <w:rFonts w:ascii="Times New Roman" w:hAnsi="Times New Roman"/>
        </w:rPr>
        <w:t xml:space="preserve"> </w:t>
      </w:r>
      <w:bookmarkStart w:id="8" w:name="_Hlk46492347"/>
      <w:r>
        <w:rPr>
          <w:rFonts w:ascii="Times New Roman" w:hAnsi="Times New Roman"/>
        </w:rPr>
        <w:t xml:space="preserve">которая должна быть учтена при подготовке заявки </w:t>
      </w:r>
      <w:bookmarkEnd w:id="8"/>
      <w:r>
        <w:rPr>
          <w:rFonts w:ascii="Times New Roman" w:hAnsi="Times New Roman"/>
        </w:rPr>
        <w:t>(в том числе перечень ресурсов, услуг и документов, предоставляемых Заказчиком на этапе исполнения договора)</w:t>
      </w:r>
    </w:p>
    <w:p>
      <w:pPr>
        <w:pStyle w:val="Normal"/>
        <w:ind w:firstLine="432"/>
        <w:jc w:val="both"/>
        <w:rPr>
          <w:rFonts w:ascii="Times New Roman" w:hAnsi="Times New Roman"/>
        </w:rPr>
      </w:pPr>
      <w:bookmarkStart w:id="9" w:name="_Hlk48209761"/>
      <w:bookmarkEnd w:id="9"/>
      <w:r>
        <w:rPr>
          <w:rFonts w:ascii="Times New Roman" w:hAnsi="Times New Roman"/>
        </w:rPr>
        <w:t>1.5.1. Заказчик предоставляет Исполнителю следующие виды ресурсов:</w:t>
      </w:r>
    </w:p>
    <w:p>
      <w:pPr>
        <w:pStyle w:val="Normal"/>
        <w:widowControl/>
        <w:suppressLineNumbers/>
        <w:suppressAutoHyphens w:val="true"/>
        <w:bidi w:val="0"/>
        <w:spacing w:before="0" w:after="0"/>
        <w:ind w:firstLine="90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Электроэнергия.</w:t>
      </w:r>
    </w:p>
    <w:p>
      <w:pPr>
        <w:pStyle w:val="Normal"/>
        <w:widowControl/>
        <w:suppressLineNumbers/>
        <w:suppressAutoHyphens w:val="true"/>
        <w:bidi w:val="0"/>
        <w:spacing w:before="0" w:after="0"/>
        <w:ind w:firstLine="90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Вода (при наличии центрального водоснабжения).</w:t>
      </w:r>
    </w:p>
    <w:p>
      <w:pPr>
        <w:pStyle w:val="Normal"/>
        <w:widowControl/>
        <w:suppressLineNumbers/>
        <w:suppressAutoHyphens w:val="true"/>
        <w:bidi w:val="0"/>
        <w:spacing w:before="0" w:after="0"/>
        <w:ind w:firstLine="90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Доступом к установленным в пределах объектов средствам связи и пожаротушения, а также к местам общего пользования.</w:t>
      </w:r>
    </w:p>
    <w:p>
      <w:pPr>
        <w:pStyle w:val="Normal"/>
        <w:jc w:val="both"/>
        <w:rPr>
          <w:rFonts w:ascii="Times New Roman" w:hAnsi="Times New Roman"/>
        </w:rPr>
      </w:pPr>
      <w:bookmarkStart w:id="10" w:name="_Toc54643701"/>
      <w:bookmarkStart w:id="11" w:name="_Hlk48209761_Копия_1"/>
      <w:bookmarkEnd w:id="11"/>
      <w:r>
        <w:rPr>
          <w:rFonts w:ascii="Times New Roman" w:hAnsi="Times New Roman"/>
          <w:b/>
        </w:rPr>
        <w:t xml:space="preserve">1.5.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Иные требования и сведения общего характера</w:t>
      </w:r>
      <w:r>
        <w:rPr>
          <w:rFonts w:ascii="Times New Roman" w:hAnsi="Times New Roman"/>
        </w:rPr>
        <w:t xml:space="preserve"> </w:t>
      </w:r>
      <w:bookmarkEnd w:id="10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Передаваемые на техническое обслуживание Объекты находятся в процессе эксплуатации. </w:t>
      </w:r>
    </w:p>
    <w:p>
      <w:pPr>
        <w:pStyle w:val="Heading1"/>
        <w:tabs>
          <w:tab w:val="clear" w:pos="0"/>
        </w:tabs>
        <w:ind w:firstLine="708" w:left="2832"/>
        <w:rPr>
          <w:sz w:val="26"/>
          <w:szCs w:val="26"/>
        </w:rPr>
      </w:pPr>
      <w:bookmarkStart w:id="12" w:name="_Toc51339693"/>
      <w:bookmarkStart w:id="13" w:name="_Toc54643702"/>
      <w:r>
        <w:rPr>
          <w:rFonts w:ascii="Times New Roman" w:hAnsi="Times New Roman"/>
          <w:sz w:val="26"/>
          <w:szCs w:val="26"/>
          <w:lang w:val="ru-RU"/>
        </w:rPr>
        <w:t>2.  Требования</w:t>
      </w:r>
      <w:r>
        <w:rPr>
          <w:rFonts w:ascii="Times New Roman" w:hAnsi="Times New Roman"/>
          <w:sz w:val="26"/>
          <w:szCs w:val="26"/>
        </w:rPr>
        <w:t xml:space="preserve"> к продукции</w:t>
      </w:r>
      <w:bookmarkEnd w:id="12"/>
      <w:bookmarkEnd w:id="13"/>
    </w:p>
    <w:p>
      <w:p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bookmarkStart w:id="14" w:name="_Toc54643703"/>
      <w:r>
        <w:rPr>
          <w:rFonts w:ascii="Times New Roman" w:hAnsi="Times New Roman"/>
          <w:lang w:val="ru-RU"/>
        </w:rPr>
        <w:t xml:space="preserve">2.1. </w:t>
      </w:r>
      <w:r>
        <w:rPr>
          <w:rFonts w:ascii="Times New Roman" w:hAnsi="Times New Roman"/>
        </w:rPr>
        <w:t xml:space="preserve">Требования к объемам и срокам </w:t>
      </w:r>
      <w:r>
        <w:rPr>
          <w:rFonts w:ascii="Times New Roman" w:hAnsi="Times New Roman"/>
          <w:lang w:val="ru-RU"/>
        </w:rPr>
        <w:t>оказания услуг</w:t>
      </w:r>
      <w:bookmarkEnd w:id="14"/>
    </w:p>
    <w:p>
      <w:pPr>
        <w:pStyle w:val="Heading3"/>
        <w:tabs>
          <w:tab w:val="clear" w:pos="0"/>
        </w:tabs>
        <w:ind w:hanging="0" w:left="0"/>
        <w:rPr>
          <w:rFonts w:ascii="Times New Roman" w:hAnsi="Times New Roman"/>
        </w:rPr>
      </w:pPr>
      <w:bookmarkStart w:id="15" w:name="_Toc54643704"/>
      <w:r>
        <w:rPr>
          <w:rFonts w:ascii="Times New Roman" w:hAnsi="Times New Roman"/>
          <w:lang w:val="ru-RU"/>
        </w:rPr>
        <w:t xml:space="preserve">2.1.1. </w:t>
      </w:r>
      <w:r>
        <w:rPr>
          <w:rFonts w:ascii="Times New Roman" w:hAnsi="Times New Roman"/>
        </w:rPr>
        <w:t>Требования к перечню и объему услуг</w:t>
      </w:r>
      <w:bookmarkEnd w:id="15"/>
      <w:r>
        <w:rPr>
          <w:rFonts w:ascii="Times New Roman" w:hAnsi="Times New Roman"/>
        </w:rPr>
        <w:t>.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- Ежемесячное т</w:t>
            </w:r>
            <w:r>
              <w:rPr>
                <w:rStyle w:val="Style12"/>
                <w:rFonts w:cs="Liberation Serif;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ехническое обслуживание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систем ИТСО производственной базы СП «СЭС»;</w:t>
            </w:r>
          </w:p>
          <w:p>
            <w:pPr>
              <w:pStyle w:val="BodyText"/>
              <w:widowControl w:val="false"/>
              <w:suppressAutoHyphens w:val="true"/>
              <w:spacing w:before="0" w:after="140"/>
              <w:rPr/>
            </w:pP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-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по заявкам Заказчика для устранения  неисправности.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rStyle w:val="Style12"/>
                <w:b w:val="false"/>
                <w:bCs w:val="false"/>
                <w:i w:val="false"/>
                <w:iCs w:val="false"/>
                <w:shd w:fill="auto" w:val="clear"/>
              </w:rPr>
              <w:t>В соответствии с перечнем  оборудования систем ИТСО  (Приложение №1 к настоящим Техническим требованиям)</w:t>
            </w:r>
          </w:p>
        </w:tc>
      </w:tr>
    </w:tbl>
    <w:p>
      <w:pPr>
        <w:pStyle w:val="BodyText"/>
        <w:tabs>
          <w:tab w:val="clear" w:pos="709"/>
        </w:tabs>
        <w:spacing w:before="0" w:after="0"/>
        <w:ind w:hanging="0" w:left="0"/>
        <w:rPr>
          <w:rFonts w:ascii="Times New Roman" w:hAnsi="Times New Roman"/>
        </w:rPr>
      </w:pPr>
      <w:r>
        <w:rPr/>
        <w:tab/>
      </w:r>
    </w:p>
    <w:p>
      <w:pPr>
        <w:pStyle w:val="BodyText"/>
        <w:tabs>
          <w:tab w:val="clear" w:pos="709"/>
        </w:tabs>
        <w:spacing w:before="0" w:after="0"/>
        <w:ind w:hanging="0" w:left="0"/>
        <w:rPr>
          <w:rFonts w:ascii="Times New Roman" w:hAnsi="Times New Roman"/>
        </w:rPr>
      </w:pPr>
      <w:r>
        <w:rPr/>
      </w:r>
    </w:p>
    <w:p>
      <w:pPr>
        <w:pStyle w:val="BodyText"/>
        <w:tabs>
          <w:tab w:val="clear" w:pos="709"/>
        </w:tabs>
        <w:spacing w:before="0" w:after="0"/>
        <w:ind w:hanging="0" w:left="0"/>
        <w:rPr>
          <w:rFonts w:ascii="Times New Roman" w:hAnsi="Times New Roman"/>
        </w:rPr>
      </w:pPr>
      <w:bookmarkStart w:id="16" w:name="_Toc54643706_Копия_2"/>
      <w:bookmarkStart w:id="17" w:name="_Toc51339696_Копия_2"/>
      <w:r>
        <w:rPr>
          <w:rFonts w:ascii="Times New Roman" w:hAnsi="Times New Roman"/>
          <w:b/>
          <w:bCs/>
          <w:lang w:val="ru-RU"/>
        </w:rPr>
        <w:t xml:space="preserve">2.1.2. </w:t>
      </w:r>
      <w:r>
        <w:rPr>
          <w:rFonts w:ascii="Times New Roman" w:hAnsi="Times New Roman"/>
          <w:b/>
          <w:bCs/>
        </w:rPr>
        <w:t xml:space="preserve">Требования </w:t>
      </w:r>
      <w:bookmarkEnd w:id="17"/>
      <w:r>
        <w:rPr>
          <w:rFonts w:ascii="Times New Roman" w:hAnsi="Times New Roman"/>
          <w:b/>
          <w:bCs/>
        </w:rPr>
        <w:t>к срокам оказания услуг</w:t>
      </w:r>
      <w:bookmarkEnd w:id="16"/>
    </w:p>
    <w:p>
      <w:pPr>
        <w:pStyle w:val="Normal"/>
        <w:tabs>
          <w:tab w:val="clear" w:pos="709"/>
        </w:tabs>
        <w:ind w:hanging="0" w:left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24"/>
        <w:gridCol w:w="3394"/>
        <w:gridCol w:w="2410"/>
        <w:gridCol w:w="2409"/>
      </w:tblGrid>
      <w:tr>
        <w:trPr/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услуг/ этапа услуг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началу срока оказания услуг/ этапа услуг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727" w:hRule="atLeast"/>
        </w:trPr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9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12"/>
                <w:rFonts w:cs="Liberation Serif;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 xml:space="preserve">Техническое обслуживание </w:t>
            </w:r>
            <w:r>
              <w:rPr>
                <w:rStyle w:val="Style12"/>
                <w:rFonts w:cs="Liberation Serif;Times New Roman" w:ascii="Liberation Serif;Times New Roman" w:hAnsi="Liberation Serif;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систем ИТСО производственной базы СП «СЭС»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С 00 час 00 мин 01.01.2027 года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До 24 час 00 мин 31.12.2027 года</w:t>
            </w:r>
          </w:p>
        </w:tc>
      </w:tr>
    </w:tbl>
    <w:p>
      <w:pPr>
        <w:pStyle w:val="Heading3"/>
        <w:tabs>
          <w:tab w:val="clear" w:pos="0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18" w:name="_Toc54643706_Копия_1"/>
      <w:bookmarkStart w:id="19" w:name="_Toc54643706"/>
      <w:bookmarkStart w:id="20" w:name="_Toc51339696"/>
      <w:bookmarkStart w:id="21" w:name="_Toc50125127"/>
      <w:bookmarkStart w:id="22" w:name="_Toc51339696_Копия_1"/>
      <w:bookmarkStart w:id="23" w:name="_Hlk50465284"/>
      <w:bookmarkStart w:id="24" w:name="_Toc54643707"/>
      <w:bookmarkStart w:id="25" w:name="_Toc51339697"/>
      <w:bookmarkStart w:id="26" w:name="_Toc54643706_Копия_1"/>
      <w:bookmarkStart w:id="27" w:name="_Toc54643706"/>
      <w:bookmarkStart w:id="28" w:name="_Toc51339696"/>
      <w:bookmarkStart w:id="29" w:name="_Toc50125127"/>
      <w:bookmarkStart w:id="30" w:name="_Toc51339696_Копия_1"/>
      <w:bookmarkStart w:id="31" w:name="_Hlk50465284"/>
      <w:bookmarkStart w:id="32" w:name="_Toc54643707"/>
      <w:bookmarkStart w:id="33" w:name="_Toc51339697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sectPr>
          <w:type w:val="nextPage"/>
          <w:pgSz w:w="11906" w:h="16838"/>
          <w:pgMar w:left="1134" w:right="1134" w:gutter="0" w:header="0" w:top="1134" w:footer="0" w:bottom="1134"/>
          <w:lnNumType w:countBy="5" w:restart="continuous" w:distance="283"/>
          <w:pgNumType w:fmt="decimal"/>
          <w:formProt w:val="false"/>
          <w:textDirection w:val="lrTb"/>
          <w:docGrid w:type="default" w:linePitch="312" w:charSpace="0"/>
        </w:sect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4"/>
        <w:tabs>
          <w:tab w:val="clear" w:pos="0"/>
        </w:tabs>
        <w:ind w:hanging="0" w:left="142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2.</w:t>
      </w:r>
      <w:bookmarkStart w:id="34" w:name="_Toc54643709"/>
      <w:bookmarkStart w:id="35" w:name="_Toc51339698"/>
      <w:bookmarkStart w:id="36" w:name="_Toc54643708"/>
      <w:bookmarkStart w:id="37" w:name="_Toc46743511"/>
      <w:r>
        <w:rPr>
          <w:rFonts w:ascii="Times New Roman" w:hAnsi="Times New Roman"/>
          <w:lang w:val="ru-RU"/>
        </w:rPr>
        <w:t xml:space="preserve">2. </w:t>
      </w:r>
      <w:r>
        <w:rPr>
          <w:rFonts w:ascii="Times New Roman" w:hAnsi="Times New Roman"/>
        </w:rPr>
        <w:t xml:space="preserve">Требования к </w:t>
      </w:r>
      <w:bookmarkEnd w:id="37"/>
      <w:r>
        <w:rPr>
          <w:rFonts w:ascii="Times New Roman" w:hAnsi="Times New Roman"/>
          <w:lang w:val="ru-RU"/>
        </w:rPr>
        <w:t>качеству услуг</w:t>
      </w:r>
      <w:bookmarkEnd w:id="36"/>
    </w:p>
    <w:p>
      <w:pPr>
        <w:pStyle w:val="Heading1"/>
        <w:tabs>
          <w:tab w:val="clear" w:pos="0"/>
        </w:tabs>
        <w:ind w:hanging="0" w:left="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 </w:t>
      </w:r>
      <w:r>
        <w:rPr>
          <w:rFonts w:ascii="Times New Roman" w:hAnsi="Times New Roman"/>
          <w:sz w:val="26"/>
          <w:szCs w:val="26"/>
          <w:lang w:val="ru-RU"/>
        </w:rPr>
        <w:t>4</w:t>
      </w:r>
      <w:r>
        <w:rPr>
          <w:rFonts w:ascii="Times New Roman" w:hAnsi="Times New Roman"/>
          <w:sz w:val="26"/>
          <w:szCs w:val="26"/>
        </w:rPr>
        <w:t xml:space="preserve">. Требования к </w:t>
      </w:r>
      <w:bookmarkEnd w:id="35"/>
      <w:r>
        <w:rPr>
          <w:rFonts w:ascii="Times New Roman" w:hAnsi="Times New Roman"/>
          <w:sz w:val="26"/>
          <w:szCs w:val="26"/>
          <w:lang w:val="ru-RU"/>
        </w:rPr>
        <w:t>качеству услуг</w:t>
      </w:r>
      <w:bookmarkEnd w:id="34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 xml:space="preserve">: </w:t>
      </w:r>
    </w:p>
    <w:p>
      <w:pPr>
        <w:pStyle w:val="Heading1"/>
        <w:tabs>
          <w:tab w:val="clear" w:pos="0"/>
        </w:tabs>
        <w:ind w:hanging="0" w:left="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Наименование услуг/этапа услуг: </w:t>
      </w:r>
      <w:r>
        <w:rPr>
          <w:rStyle w:val="Style12"/>
          <w:rFonts w:eastAsia="Calibri" w:cs="Liberation Serif;Times New Roman" w:ascii="Liberation Serif;Times New Roman" w:hAnsi="Liberation Serif;Times New Roman"/>
          <w:b/>
          <w:bCs/>
          <w:i w:val="false"/>
          <w:iCs w:val="false"/>
          <w:sz w:val="24"/>
          <w:szCs w:val="24"/>
          <w:shd w:fill="auto" w:val="clear"/>
          <w:lang w:val="ru-RU" w:eastAsia="x-none"/>
        </w:rPr>
        <w:t xml:space="preserve">по Лоту </w:t>
      </w:r>
      <w:r>
        <w:rPr>
          <w:rStyle w:val="Style12"/>
          <w:rFonts w:eastAsia="Times New Roman" w:cs="Liberation Serif;Times New Roman" w:ascii="Liberation Serif;Times New Roman" w:hAnsi="Liberation Serif;Times New Roman"/>
          <w:b/>
          <w:bCs/>
          <w:i w:val="false"/>
          <w:iCs w:val="false"/>
          <w:sz w:val="24"/>
          <w:szCs w:val="24"/>
          <w:shd w:fill="auto" w:val="clear"/>
          <w:lang w:val="ru-RU" w:eastAsia="x-none"/>
        </w:rPr>
        <w:t xml:space="preserve">№ </w:t>
      </w:r>
      <w:r>
        <w:rPr>
          <w:rStyle w:val="Style12"/>
          <w:rFonts w:eastAsia="Times New Roman" w:cs="DejaVu San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x-none"/>
        </w:rPr>
        <w:t>57801-</w:t>
      </w:r>
      <w:r>
        <w:rPr>
          <w:rStyle w:val="Style12"/>
          <w:rFonts w:eastAsia="Times New Roman" w:cs="Liberation Serif;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sz w:val="26"/>
          <w:szCs w:val="26"/>
          <w:u w:val="none"/>
          <w:shd w:fill="auto" w:val="clear"/>
          <w:em w:val="none"/>
          <w:lang w:val="ru-RU" w:eastAsia="x-none"/>
        </w:rPr>
        <w:t>ПРО ДЭК-2027-ДРСК-ХЭС</w:t>
      </w:r>
      <w:r>
        <w:rPr>
          <w:rStyle w:val="Style12"/>
          <w:rFonts w:eastAsia="Calibri"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 w:eastAsia="x-none"/>
        </w:rPr>
        <w:t xml:space="preserve"> </w:t>
      </w:r>
      <w:r>
        <w:rPr>
          <w:rStyle w:val="Style1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val="ru-RU" w:eastAsia="x-none"/>
        </w:rPr>
        <w:t>«</w:t>
      </w:r>
      <w:r>
        <w:rPr>
          <w:rStyle w:val="Style12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x-none"/>
        </w:rPr>
        <w:t>О</w:t>
      </w:r>
      <w:r>
        <w:rPr>
          <w:rStyle w:val="Style12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x-none"/>
        </w:rPr>
        <w:t>КДП2 43.21.10 Техническое обслуживание систем ИТСО  производственной базы для нужд структурное подразделение «Северные электрические сети» филиала АО «ДРСК» «Хабаровские электрические сети»</w:t>
      </w:r>
    </w:p>
    <w:p>
      <w:pPr>
        <w:pStyle w:val="Normal"/>
        <w:rPr>
          <w:rFonts w:ascii="Times New Roman" w:hAnsi="Times New Roman"/>
          <w:b w:val="false"/>
          <w:iCs/>
        </w:rPr>
      </w:pPr>
      <w:r>
        <w:rPr>
          <w:rFonts w:ascii="Times New Roman" w:hAnsi="Times New Roman"/>
          <w:b w:val="false"/>
          <w:iCs/>
        </w:rPr>
      </w:r>
    </w:p>
    <w:tbl>
      <w:tblPr>
        <w:tblW w:w="14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48"/>
        <w:gridCol w:w="2689"/>
        <w:gridCol w:w="4717"/>
        <w:gridCol w:w="1856"/>
        <w:gridCol w:w="1899"/>
        <w:gridCol w:w="2155"/>
      </w:tblGrid>
      <w:tr>
        <w:trPr>
          <w:trHeight w:val="820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  <w:t>п/п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70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426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 w:bidi="ar-SA"/>
              </w:rPr>
              <w:t>Наименование параметра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 w:bidi="ar-SA"/>
              </w:rPr>
              <w:t>Требование заказчика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3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оказанию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Услуги должны выполнятся без остановки комплекса ИТСО в целом. Возможна остановка работы отдельных систем по согласованию с Заказчиком  на срок не превышающий продолжительность дневной рабочей смены (с 08 ч 00 мин. до 17 ч. 00 мин.).</w:t>
            </w:r>
          </w:p>
          <w:p>
            <w:pPr>
              <w:pStyle w:val="Normal"/>
              <w:widowControl w:val="fals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  <w:t>Результат ТО и устранения дефектов оформляется в специальном журнале.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                    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751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При оказании услуг Исполнитель должен руководствоваться нормативными документами в последней редакции: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ГОСТ Р 53704-2009 «Системы безопасности комплексные и интегрированные. Общие технические требования».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- ГОСТ Р 54101-2010 «Средства автоматизации и системы управления. Средства и системы обеспечения безопасности. Техническое обслуживание и текущий ремонт».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ГОСТ Р 52435-2015 «Технические средства охранной сигнализации. Классификация. Общие технические требования и методы испытаний».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ГОСТ Р 51558-2014 «Средства и системы охранные телевизионные. Классификация. Общие технические требования. Методы испытаний».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- Федеральный закон от 21.07.2011  № 256-ФЗ "О безопасности объектов топливно-энергетического комплекса" (с изменениями и дополнениями).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- Правила противопожарного режима в РФ (утв. ПП РФ № 1479 от 16.09.2020 г., с последними изменениями и дополнениями).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val="ru-RU" w:eastAsia="ru-RU" w:bidi="ar-SA"/>
              </w:rPr>
              <w:t>- Правилами технической эксплуатации электрических станций и сетей Российской Федерации. (утв. приказом Минэнерго РФ от 04.10.2022 № 1070, ред от 08.04.2026).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Р 102-2024 «Методические рекомендации «Инженерно-техническая укрепленность и оснащение техническими средствами охраны объектов и мест проживания и хранения имущества граждан, принимаемых под централизованную охрану подразделениями вневедомственной охраны Войск национальной гвардии Российской Федерации».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                    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8" w:hRule="atLeast"/>
        </w:trPr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751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Осуществление услуг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Осуществление   услуг по техническому обслуживанию допускается  только силами обслуживающей организации без передачи прав (полностью или частично) персоналу другой организации</w:t>
            </w:r>
          </w:p>
        </w:tc>
        <w:tc>
          <w:tcPr>
            <w:tcW w:w="18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18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Время оказания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Плановое оказание услуг ежемесячное.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Время оказания услуг: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 8.00 до 17.00 по рабочим дням – для проведения запланированных мероприятий технического обслуживания (за исключением аварийных)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Внеплановое техническое обслуживание круглосуточно – в аварийном режиме (устранение неисправностей, восстановление работоспособности, штатного режима работы ИТСО и т.п.).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Иное время проведения работ должно быть согласовано с Заказчиком.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Консультативные услуги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оказывает консультативные услуги по вопросам эксплуатации ИТСО, проведение инструктажа, составление инструкций по эксплуатации Систем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Аналитическая информация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по запросу Заказчика  предоставляет аналитическую информацию о состоянии систем ИТСО на Объектах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Ответственность за качество предоставляемых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Заказчик вправе ссылаться и предъявлять претензии по недостаткам Услуг, в том числе при их обнаружении после приемки результатов Услуг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Прием заявок на ТО при неисправности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обязан обеспечить круглосуточное принятие заявок об отказах в работе и неисправностях, беспричинных срабатываниях ИТСО и реагирование для оказания услуг по их техническому обслуживанию.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случае возникновения неисправностей в работе ИТСО Заказчик уведомляет Исполнителя заявкой в электронной форме или по телефону. Работник Исполнителя, получив заявку, должен подтвердить ее прием ответным сообщением с указанием своих ФИО и номера заявки (при наличии).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pacing w:before="60" w:after="60"/>
              <w:ind w:hanging="646" w:left="788"/>
              <w:contextualSpacing/>
              <w:jc w:val="center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Ликвидация отказов ИТСО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Для ликвидации отказов и неисправностей оборудования, беспричинного срабатывания ИТСО Исполнитель обязан обеспечить прибытие своего персонала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не позднее, чем через 4 часа  после вызова Заказчиком.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Неисправности должны устраняться в максимально короткие сроки. При невозможности устранить неисправность непосредственно при ее обнаружении, представитель Исполнителя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в течении 24 (двадцати четырех) часов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с момента обнаружения неисправности, должен установить аналогичное совместимое оборудование из собственного обменного фонда,  с даты составления Акта демонтажа (Приложении № 1.5 к договору ) и в присутствии представителя Заказчика составляет Дефектную ведомость (2 экз.) на неисправное оборудование ИТСО по форме, указанной в Приложении № 1.4 к договору, предоставив ее на утверждение Заказчику .</w:t>
            </w:r>
          </w:p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На основании  предоставленной Дефектной ведомости Заказчиком закупается новое  оборудование </w:t>
            </w: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 xml:space="preserve"> для замены оборудования из обменного фонда Исполнителя.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1.2.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способам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1.2.2.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субподрядных организаций для оказания услуг не предусмотрено.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1.3.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процедурам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Персонал Исполнителя допускается к выполнению работ на территории объектов филиала АО «ДРСК» «ХЭС»  в соответствии с Порядком допуска персонала сторонних организаций к производству работ (оказанию услуг) на территории и объектах АО «ДРСК» Прк-СМОЗиОБТ-8.5-01/09-08-01, утвержденного приказом от 15.03.2022 № 134 (с изм от 24.06.2026), для выполнения работ на объектах  с обязательным оформлением необходимых нарядов-допусков, подготовку рабочих мест и допуск к оказанию услуг выполняет персонал заказчика.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1.3.2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конфиденциальности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426" w:leader="none"/>
              </w:tabs>
              <w:spacing w:before="60" w:after="0"/>
              <w:ind w:hanging="0" w:left="31"/>
              <w:contextualSpacing/>
              <w:jc w:val="both"/>
              <w:rPr/>
            </w:pPr>
            <w:r>
              <w:rPr>
                <w:rStyle w:val="Style7"/>
                <w:b w:val="false"/>
                <w:i w:val="false"/>
                <w:iCs w:val="false"/>
                <w:shd w:fill="auto" w:val="clear"/>
              </w:rPr>
              <w:t>Соблюдать требования в отношении соблюдения конфиденциальности, правил пропускного и внутриобъектового режима заказчика, техники безопасности, пожарной и промышленной и информационной безопасности, охраны окружающей среды при оказании услуг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1.3.3.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LineNumbers/>
              <w:suppressAutoHyphens w:val="true"/>
              <w:bidi w:val="0"/>
              <w:spacing w:before="0" w:after="60"/>
              <w:ind w:hanging="0" w:left="0" w:right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1.3.4.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Обследование объектов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lang w:eastAsia="ru-RU" w:bidi="ar-SA"/>
              </w:rPr>
              <w:t>В течение 15 (пятнадцати) рабочих дней с даты заключения договора, Исполни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тель обязан провести первичное обследование всех систем и средств ИТСО и оформить «Акт первичного обследования системы» по форме согласно Приложению </w:t>
            </w:r>
            <w:r>
              <w:rPr>
                <w:rFonts w:eastAsia="Times New Roman" w:cs="Times New Roman" w:ascii="Times New Roman" w:hAnsi="Times New Roman"/>
                <w:kern w:val="0"/>
                <w:shd w:fill="auto" w:val="clear"/>
                <w:lang w:eastAsia="ru-RU" w:bidi="ar-SA"/>
              </w:rPr>
              <w:t>№ 1.3 к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 договору в 2-х экземплярах.</w:t>
            </w:r>
          </w:p>
        </w:tc>
        <w:tc>
          <w:tcPr>
            <w:tcW w:w="18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1.3.5.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Контактные лица для проведения ТО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течение 3 (трех) рабочих дней после заключения Договора на оказание услуг по техническому обслуживанию ИТСО предоставить контактную информацию для принятия заявок (телефон, адрес электронной почты, почтовый адрес), переписки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1.4.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1.4.1.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ind w:firstLine="22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Наличие у Участника материально-технических ресурсов, используемых при выполнении работ и принадлежащих ему на праве собственности или ином законном основании.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ind w:firstLine="22" w:left="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Стоимость расходных материалов и инструмента должна входить в стоимость технического обслуживания.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ind w:firstLine="22" w:left="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Стоимость оборудования, подлежащего замене при выходе из строя, может не входить в стоимость технического обслуживания.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3. Наличие в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г. Комсомольск-на-Амуре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службы технической поддержки, для прибытия на объект специалистов по восстановлению работоспособности системы ИТСО при ее отказе в течение четырех часов, в соответствии с ГОСТ Р 50776-95 (МЭК 839-1-4-89) «Системы тревожной сигнализации», Часть I «Общие требования», Раздел 4 «Руководство по проектированию, монтажу и техническому обслуживанию».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1.5.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персоналу Исполнителя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1.5.1.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Общие требования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Сотрудники Исполнителя при оказании услуг на территории Заказчика должны соблюдать установленные законодательством требования охраны труда и техники безопасности, пожарной безопасности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1.5.2.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исполнителя, привлекаемого к оказанию услуг</w:t>
            </w:r>
          </w:p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/>
                <w:b w:val="false"/>
                <w:i/>
                <w:iCs/>
                <w:lang w:val="ru-RU" w:eastAsia="ru-RU"/>
              </w:rPr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 xml:space="preserve">1. Наличие персонала по монтажу и наладке электроустановок. Персонал должен иметь III и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en-US" w:eastAsia="ru-RU" w:bidi="ar-SA"/>
              </w:rPr>
              <w:t>I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>V группу по электробезопасности, в соответствии с требованиями пунктов 2.3 и 2.4 Правил по охране труда при эксплуатации электроустановок утвержденные приказом Министерства труда и социальной защиты РФ от 15.12.2020 г.№ 903н, пункту 1.4.1 Правил технической эксплуатации электроустановок потребител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6"/>
                <w:szCs w:val="26"/>
                <w:lang w:val="ru-RU" w:eastAsia="ru-RU" w:bidi="ar-SA"/>
              </w:rPr>
              <w:t>я.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     </w:t>
            </w: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результатам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2.1.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Общие требования к результатам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2.1.1.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eastAsia="ru-RU" w:bidi="ar-SA"/>
              </w:rPr>
              <w:t>Результат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Поддержание ИТСО в состоянии, соответствующем требованиям технической документации на ИТСО, в течение всего срока эксплуатации,</w:t>
            </w:r>
          </w:p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Обеспечение бесперебойной и корректной работы ИТСО.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2.1.1.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eastAsia="ru-RU" w:bidi="ar-SA"/>
              </w:rPr>
              <w:t>Состав услуг на ТО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Техническое обслуживанию включает в себя:</w:t>
            </w:r>
          </w:p>
          <w:p>
            <w:pPr>
              <w:pStyle w:val="NoSpacing"/>
              <w:widowControl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- регламентные мероприятия (в т.ч. испытания) в соответствии с типовым регламентом, указанным в Приложении № 1.2 к Договору;</w:t>
            </w:r>
          </w:p>
          <w:p>
            <w:pPr>
              <w:pStyle w:val="NoSpacing"/>
              <w:widowControl w:val="false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- внеплановые мероприятия (аварийно-восстановительные) по заявкам Заказчика с заменой неисправного оборудования силами Исполнителя;</w:t>
            </w:r>
          </w:p>
          <w:p>
            <w:pPr>
              <w:pStyle w:val="NoSpacing"/>
              <w:widowControl w:val="false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 xml:space="preserve">- по заявке заказчика,  модернизация систем с заменой устаревшего оборудования, не отвечающего современным требованиям безопасности (черно-белое изображение  камер,  аккумуляторов с истекающим сроком годности и т. д.) </w:t>
            </w: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из материалов Заказчика.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2.2.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2.2.1.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свой персонал необходимыми средствами индивидуальной защиты (каска, очки, беруши (наушники)), спецодеждой и спецобувью в соответствии с типовыми отраслевыми нормами. Наличие необходимой оснастки, средств, электроинструмента, приспособлений и т.п.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2.2.2.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LineNumbers/>
              <w:suppressAutoHyphens w:val="true"/>
              <w:bidi w:val="0"/>
              <w:spacing w:before="0" w:after="60"/>
              <w:ind w:hanging="0" w:left="57" w:right="0"/>
              <w:contextualSpacing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 xml:space="preserve">Требования информационной безопасности должны обеспечиваться на всех стадиях жизненного цикла Систем с учетом всех сторон, вовлеченных в процессы жизненного цикла ( заказчика,  поставщиков  услуг, эксплуатирующих  подразделений Общества). </w:t>
            </w:r>
            <w:r>
              <w:rPr>
                <w:rFonts w:cs="Times New Roman" w:ascii="Times New Roman" w:hAnsi="Times New Roman"/>
                <w:i w:val="false"/>
                <w:iCs w:val="false"/>
                <w:kern w:val="0"/>
                <w:lang w:val="ru-RU" w:eastAsia="ru-RU" w:bidi="ar-SA"/>
              </w:rPr>
              <w:t>Система должна быть разработана и внедрена в соответствии с Федеральными законами №152 от 27.07.2006 «О персональных данных» и № 98 от 29.07.2004 «О коммерческой тайне».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84" w:right="-105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2.3.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приемке результата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25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2.3.1.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Предоставление отчета о результатах проделанной работы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услуг обязан, по требованию Заказчика, предоставлять письменный отчет о результатах проделанной работы; интересующие вопросы Заказчика должны быть оформлены в письменном виде.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2.4.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2.4.1.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Документация на ТО систем ИТСО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течение 15 (пятнадцати) календарных дней после заключения Договора на оказание услуг по техническому обслуживанию ИТСО завести Журналы эксплуатации (далее – Журнал ИТСО) на каждую обслуживаемую систему и средства отдельно. Страницы журнала ИТСО должны быть пронумерованы, прошнурованы и скреплены печатями Исполнителя (при наличии).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Журналы ИТСО передаются Заказчику и являются его собственностью. Они должны хранится, вестись на Объекте в месте, установленном Заказчиком.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eastAsia="ru-RU" w:bidi="ar-SA"/>
              </w:rPr>
              <w:t>Записи, выполненные в Журналах ИТСО после оказания услуг по техническому обслуживанию должны содержать перечень проведенных мероприятий, указанных в Регламенте ТО и Графике ТО, а также дополнительно фразу: «Система находится в работоспособном состоянии».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2.4.2.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ежемесячн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lang w:eastAsia="ru-RU" w:bidi="ar-SA"/>
              </w:rPr>
              <w:t xml:space="preserve">о в течение 3 (трех) рабочих дней (не позднее  5 числа  месяца, следующего за отчетным )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представляет заказчику в 2-х (двух) экз. Акт выполненных работ (УПД)  в бумажном варианте/ или в электронном  документе в ЭДО (Диадок),  счёт на оплату услуг.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3.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3.1.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Общие требования к персоналу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lang w:eastAsia="ru-RU" w:bidi="ar-SA"/>
              </w:rPr>
              <w:t>Персонал организации в целях обеспечения безопасных условий труда, обязан соблюдать свод правил по охране труда на объектах исполнителя в случае выявления нарушений незамедлительно сообщать руководителю объекта, проявлять нулевой порог терпимости к нарушителях условий охраны труда на объектах Заказчика.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Подрядчик обязуется выполнять требования внутренних нормативных документов АО «ДРСК», в том числе изданных в период исполнения Договора на оказание услуг.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4.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lang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lang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4.1.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Требования к конфиденциальности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обязуется обеспечить конфиденциальность сведений, относящихся к  системам ИТСО, и ставших ему известными в ходе оказания услуг способам охраны объектов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lang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4.3.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Гарантии Исполнителя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гарантирует в течение срока действия договора качество оказываемых услуг в соответствии с ТТ.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Гарантии не распространяются на случаи,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и/или сторонней организацией ремонта.</w:t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55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eastAsia="ru-RU" w:bidi="ar-SA"/>
              </w:rPr>
              <w:t>5.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5.1.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6"/>
                <w:szCs w:val="26"/>
                <w:lang w:val="ru-RU" w:eastAsia="ru-RU" w:bidi="ar-SA"/>
              </w:rPr>
              <w:t>Соблюдение пропускного режима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6"/>
                <w:szCs w:val="26"/>
                <w:lang w:val="ru-RU" w:eastAsia="ru-RU" w:bidi="ar-SA"/>
              </w:rPr>
              <w:t>Работники Исполнителя обязаны соблюдать требования в отношении режима прохода на территорию Заказчика и правила поведения на ней.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i/>
                <w:iCs/>
                <w:kern w:val="0"/>
                <w:sz w:val="26"/>
                <w:szCs w:val="26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eastAsia="ru-RU" w:bidi="ar-SA"/>
              </w:rPr>
              <w:t>6.</w:t>
            </w:r>
          </w:p>
        </w:tc>
        <w:tc>
          <w:tcPr>
            <w:tcW w:w="7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Прочие требования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-//-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eastAsia="ru-RU" w:bidi="ar-SA"/>
              </w:rPr>
              <w:t>6.1.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Наличие  удостоверяющих документов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Сотрудники, осуществляющие техническое обслуживание ИТСО на объектах филиала должны иметь при себе документы, удостоверяющие личность, и другие разрешительные документы, удостоверяющие их полномочия при проведении работ по предоставлению услуг.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both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i/>
                <w:iCs/>
                <w:kern w:val="0"/>
                <w:sz w:val="26"/>
                <w:szCs w:val="26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1134"/>
          <w:lnNumType w:countBy="5" w:restart="continuous" w:distance="283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numPr>
          <w:ilvl w:val="0"/>
          <w:numId w:val="0"/>
        </w:numPr>
        <w:spacing w:before="120" w:after="60"/>
        <w:ind w:firstLine="708" w:left="0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851" w:gutter="0" w:header="0" w:top="680" w:footer="0" w:bottom="992"/>
      <w:lnNumType w:countBy="5" w:restart="continuous" w:distance="283"/>
      <w:pgNumType w:fmt="decimal"/>
      <w:formProt w:val="false"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1"/>
        <w:spacing w:val="0"/>
        <w:i w:val="false"/>
        <w:u w:val="none"/>
        <w:b w:val="false"/>
        <w:w w:val="100"/>
        <w:color w:val="000000"/>
      </w:r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szCs w:val="28"/>
        <w:iCs w:val="false"/>
        <w:bCs/>
        <w:w w:val="100"/>
        <w:rFonts w:ascii="Times New Roman" w:hAnsi="Times New Roman" w:eastAsia="Times New Roman" w:cs="Times New Roman"/>
        <w:color w:val="000000"/>
      </w:rPr>
    </w:lvl>
    <w:lvl w:ilvl="2">
      <w:start w:val="0"/>
      <w:numFmt w:val="decimal"/>
      <w:lvlText w:val="%3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0"/>
      <w:numFmt w:val="decimal"/>
      <w:lvlText w:val="%4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0"/>
      <w:numFmt w:val="decimal"/>
      <w:lvlText w:val="%5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0"/>
      <w:numFmt w:val="decimal"/>
      <w:lvlText w:val="%6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0"/>
      <w:numFmt w:val="decimal"/>
      <w:lvlText w:val="%7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0"/>
      <w:numFmt w:val="decimal"/>
      <w:lvlText w:val="%8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0"/>
      <w:numFmt w:val="decimal"/>
      <w:lvlText w:val="%9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next w:val="BodyText"/>
    <w:qFormat/>
    <w:pPr>
      <w:widowControl/>
      <w:suppressLineNumbers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qFormat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Title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9"/>
        <w:tab w:val="left" w:pos="0" w:leader="none"/>
      </w:tabs>
      <w:spacing w:before="120" w:after="60"/>
      <w:ind w:hanging="0" w:left="1224"/>
      <w:outlineLvl w:val="2"/>
    </w:pPr>
    <w:rPr>
      <w:rFonts w:eastAsia="Calibri"/>
      <w:b/>
      <w:lang w:val="x-none" w:eastAsia="x-none"/>
    </w:rPr>
  </w:style>
  <w:style w:type="paragraph" w:styleId="Heading4">
    <w:name w:val="Heading 4"/>
    <w:basedOn w:val="Heading3"/>
    <w:next w:val="Normal"/>
    <w:qFormat/>
    <w:pPr>
      <w:ind w:hanging="0" w:left="432"/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yle5" w:customStyle="1">
    <w:name w:val="Ссылка указателя"/>
    <w:qFormat/>
    <w:rPr/>
  </w:style>
  <w:style w:type="character" w:styleId="Linenumber1">
    <w:name w:val="line number1"/>
    <w:qFormat/>
    <w:rPr/>
  </w:style>
  <w:style w:type="character" w:styleId="Style6" w:customStyle="1">
    <w:name w:val="Символ нумерации"/>
    <w:qFormat/>
    <w:rPr/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-" w:customStyle="1">
    <w:name w:val="WW-Символ сноски"/>
    <w:qFormat/>
    <w:rPr>
      <w:vertAlign w:val="superscript"/>
    </w:rPr>
  </w:style>
  <w:style w:type="character" w:styleId="WW-1" w:customStyle="1">
    <w:name w:val="WW-Символ концевой сноски"/>
    <w:qFormat/>
    <w:rPr>
      <w:vertAlign w:val="superscript"/>
    </w:rPr>
  </w:style>
  <w:style w:type="character" w:styleId="2" w:customStyle="1">
    <w:name w:val="Заголовок 2 Знак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0" w:customStyle="1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 w:customStyle="1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WW8Num13z0" w:customStyle="1">
    <w:name w:val="WW8Num13z0"/>
    <w:qFormat/>
    <w:rPr/>
  </w:style>
  <w:style w:type="character" w:styleId="WW8Num12z1" w:customStyle="1">
    <w:name w:val="WW8Num12z1"/>
    <w:qFormat/>
    <w:rPr>
      <w:lang w:val="ru-RU"/>
    </w:rPr>
  </w:style>
  <w:style w:type="character" w:styleId="WW8Num12z0" w:customStyle="1">
    <w:name w:val="WW8Num12z0"/>
    <w:qFormat/>
    <w:rPr>
      <w:b/>
    </w:rPr>
  </w:style>
  <w:style w:type="character" w:styleId="WW8Num11z0" w:customStyle="1">
    <w:name w:val="WW8Num11z0"/>
    <w:qFormat/>
    <w:rPr/>
  </w:style>
  <w:style w:type="character" w:styleId="WW8Num10z0" w:customStyle="1">
    <w:name w:val="WW8Num10z0"/>
    <w:qFormat/>
    <w:rPr>
      <w:b w:val="false"/>
      <w:sz w:val="26"/>
    </w:rPr>
  </w:style>
  <w:style w:type="character" w:styleId="WW8Num9z0" w:customStyle="1">
    <w:name w:val="WW8Num9z0"/>
    <w:qFormat/>
    <w:rPr>
      <w:b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1z0" w:customStyle="1">
    <w:name w:val="WW8Num1z0"/>
    <w:qFormat/>
    <w:rPr/>
  </w:style>
  <w:style w:type="character" w:styleId="WW8Num7z2" w:customStyle="1">
    <w:name w:val="WW8Num7z2"/>
    <w:qFormat/>
    <w:rPr>
      <w:b w:val="false"/>
      <w:i w:val="false"/>
    </w:rPr>
  </w:style>
  <w:style w:type="character" w:styleId="WW8Num7z1" w:customStyle="1">
    <w:name w:val="WW8Num7z1"/>
    <w:qFormat/>
    <w:rPr>
      <w:rFonts w:ascii="Liberation Serif;Times New Roma" w:hAnsi="Liberation Serif;Times New Roma" w:cs="Liberation Serif;Times New Roma"/>
      <w:b w:val="false"/>
      <w:i w:val="false"/>
      <w:sz w:val="26"/>
      <w:szCs w:val="24"/>
    </w:rPr>
  </w:style>
  <w:style w:type="character" w:styleId="WW8Num7z0" w:customStyle="1">
    <w:name w:val="WW8Num7z0"/>
    <w:qFormat/>
    <w:rPr>
      <w:b/>
      <w:sz w:val="24"/>
      <w:szCs w:val="24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1" w:customStyle="1">
    <w:name w:val="WW8Num6z1"/>
    <w:qFormat/>
    <w:rPr>
      <w:b/>
      <w:bCs/>
      <w:i w:val="false"/>
      <w:iCs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0" w:customStyle="1">
    <w:name w:val="WW8Num5z0"/>
    <w:qFormat/>
    <w:rPr>
      <w:rFonts w:ascii="Times New Roman" w:hAnsi="Times New Roman" w:cs="Times New Roman"/>
      <w:sz w:val="26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0" w:customStyle="1">
    <w:name w:val="WW8Num4z0"/>
    <w:qFormat/>
    <w:rPr>
      <w:rFonts w:ascii="Times New Roman" w:hAnsi="Times New Roman" w:cs="Times New Roman"/>
      <w:sz w:val="26"/>
    </w:rPr>
  </w:style>
  <w:style w:type="character" w:styleId="WW8Num3z2" w:customStyle="1">
    <w:name w:val="WW8Num3z2"/>
    <w:qFormat/>
    <w:rPr>
      <w:rFonts w:cs="Times New Roman"/>
    </w:rPr>
  </w:style>
  <w:style w:type="character" w:styleId="WW8Num3z1" w:customStyle="1">
    <w:name w:val="WW8Num3z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</w:rPr>
  </w:style>
  <w:style w:type="character" w:styleId="WW8Num3z0" w:customStyle="1">
    <w:name w:val="WW8Num3z0"/>
    <w:qFormat/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color w:val="000000"/>
      <w:spacing w:val="0"/>
      <w:w w:val="100"/>
      <w:sz w:val="21"/>
      <w:u w:val="none"/>
    </w:rPr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>
      <w:b w:val="false"/>
    </w:rPr>
  </w:style>
  <w:style w:type="character" w:styleId="LineNumber">
    <w:name w:val="Line Number"/>
    <w:rPr/>
  </w:style>
  <w:style w:type="character" w:styleId="Style12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/>
    <w:rPr/>
  </w:style>
  <w:style w:type="paragraph" w:styleId="TOC1">
    <w:name w:val="TOC 1"/>
    <w:basedOn w:val="Normal"/>
    <w:next w:val="Normal"/>
    <w:pPr>
      <w:spacing w:before="120" w:after="0"/>
    </w:pPr>
    <w:rPr>
      <w:rFonts w:cs="Calibri Light (Заголовки)"/>
      <w:b/>
      <w:bCs/>
    </w:rPr>
  </w:style>
  <w:style w:type="paragraph" w:styleId="TOC4">
    <w:name w:val="TOC 4"/>
    <w:basedOn w:val="Normal"/>
    <w:next w:val="Normal"/>
    <w:pPr>
      <w:tabs>
        <w:tab w:val="clear" w:pos="709"/>
        <w:tab w:val="left" w:pos="1120" w:leader="none"/>
        <w:tab w:val="right" w:pos="9911" w:leader="none"/>
      </w:tabs>
      <w:ind w:hanging="0" w:left="560"/>
    </w:pPr>
    <w:rPr>
      <w:rFonts w:cs="Calibri"/>
      <w:sz w:val="20"/>
      <w:szCs w:val="20"/>
    </w:rPr>
  </w:style>
  <w:style w:type="paragraph" w:styleId="TOC3">
    <w:name w:val="TOC 3"/>
    <w:basedOn w:val="Normal"/>
    <w:next w:val="Normal"/>
    <w:pPr>
      <w:ind w:hanging="0" w:left="280"/>
    </w:pPr>
    <w:rPr>
      <w:rFonts w:cs="Calibri"/>
      <w:sz w:val="20"/>
      <w:szCs w:val="20"/>
    </w:rPr>
  </w:style>
  <w:style w:type="paragraph" w:styleId="Style15" w:customStyle="1">
    <w:name w:val="Содержимое таблицы"/>
    <w:basedOn w:val="Normal"/>
    <w:qFormat/>
    <w:pPr>
      <w:widowControl w:val="false"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Style17" w:customStyle="1">
    <w:name w:val="Колонтитул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Footer">
    <w:name w:val="Footer"/>
    <w:basedOn w:val="Style17"/>
    <w:pPr>
      <w:suppressLineNumbers/>
    </w:pPr>
    <w:rPr/>
  </w:style>
  <w:style w:type="paragraph" w:styleId="Style19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 Unicode MS" w:cs="Arial"/>
      <w:color w:val="auto"/>
      <w:kern w:val="2"/>
      <w:sz w:val="24"/>
      <w:szCs w:val="24"/>
      <w:lang w:val="ru-RU" w:eastAsia="zh-CN" w:bidi="hi-IN"/>
    </w:rPr>
  </w:style>
  <w:style w:type="paragraph" w:styleId="Style20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FootnoteText">
    <w:name w:val="Footnote Text"/>
    <w:basedOn w:val="Normal"/>
    <w:pPr>
      <w:ind w:hanging="340" w:left="340"/>
    </w:pPr>
    <w:rPr>
      <w:sz w:val="20"/>
      <w:szCs w:val="20"/>
    </w:rPr>
  </w:style>
  <w:style w:type="paragraph" w:styleId="Table-NormalRSHBTable-Normal3" w:customStyle="1">
    <w:name w:val="Абзац списка;Table-Normal;RSHB_Table-Normal;Заголовок_3;Подпись рисунка"/>
    <w:basedOn w:val="Normal"/>
    <w:qFormat/>
    <w:pPr>
      <w:ind w:hanging="0" w:left="708"/>
    </w:pPr>
    <w:rPr>
      <w:lang w:val="en-US" w:eastAsia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aption1111111" w:customStyle="1">
    <w:name w:val="Caption1111111"/>
    <w:basedOn w:val="Normal"/>
    <w:qFormat/>
    <w:pPr>
      <w:spacing w:before="120" w:after="120"/>
    </w:pPr>
    <w:rPr>
      <w:i/>
      <w:iCs/>
    </w:rPr>
  </w:style>
  <w:style w:type="paragraph" w:styleId="Caption111111" w:customStyle="1">
    <w:name w:val="Caption111111"/>
    <w:basedOn w:val="Normal"/>
    <w:qFormat/>
    <w:pPr>
      <w:spacing w:before="120" w:after="120"/>
    </w:pPr>
    <w:rPr>
      <w:i/>
      <w:iCs/>
    </w:rPr>
  </w:style>
  <w:style w:type="paragraph" w:styleId="Caption11111" w:customStyle="1">
    <w:name w:val="Caption11111"/>
    <w:basedOn w:val="Normal"/>
    <w:qFormat/>
    <w:pPr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pacing w:before="120" w:after="120"/>
    </w:pPr>
    <w:rPr>
      <w:i/>
      <w:iCs/>
    </w:rPr>
  </w:style>
  <w:style w:type="paragraph" w:styleId="Caption11" w:customStyle="1">
    <w:name w:val="Caption11"/>
    <w:basedOn w:val="Normal"/>
    <w:qFormat/>
    <w:pPr>
      <w:spacing w:before="120" w:after="120"/>
    </w:pPr>
    <w:rPr>
      <w:i/>
      <w:iCs/>
    </w:rPr>
  </w:style>
  <w:style w:type="paragraph" w:styleId="Caption12" w:customStyle="1">
    <w:name w:val="Caption12"/>
    <w:basedOn w:val="Normal"/>
    <w:qFormat/>
    <w:pPr>
      <w:spacing w:before="120" w:after="120"/>
    </w:pPr>
    <w:rPr>
      <w:i/>
      <w:iCs/>
    </w:rPr>
  </w:style>
  <w:style w:type="paragraph" w:styleId="Caption2" w:customStyle="1">
    <w:name w:val="Caption2"/>
    <w:basedOn w:val="Normal"/>
    <w:qFormat/>
    <w:pPr>
      <w:spacing w:before="120" w:after="120"/>
    </w:pPr>
    <w:rPr>
      <w:i/>
      <w:iCs/>
    </w:rPr>
  </w:style>
  <w:style w:type="paragraph" w:styleId="Style21">
    <w:name w:val="[РГ] Текст"/>
    <w:basedOn w:val="Normal"/>
    <w:qFormat/>
    <w:pPr>
      <w:jc w:val="both"/>
    </w:pPr>
    <w:rPr/>
  </w:style>
  <w:style w:type="paragraph" w:styleId="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</TotalTime>
  <Application>AlterOffice/2026.2.0.0$Linux_X86_64 LibreOffice_project/bc4ef1adf80b36c7a6365f8ed6cbf29021361edd</Application>
  <AppVersion>15.0000</AppVersion>
  <Pages>18</Pages>
  <Words>2566</Words>
  <Characters>17824</Characters>
  <CharactersWithSpaces>20157</CharactersWithSpaces>
  <Paragraphs>347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2024-07-31T16:05:00Z</dcterms:created>
  <dc:creator>smetannikova_iv</dc:creator>
  <dc:description/>
  <dc:language>ru-RU</dc:language>
  <cp:lastModifiedBy>smetannikova_iv</cp:lastModifiedBy>
  <cp:lastPrinted>2025-10-07T09:09:31Z</cp:lastPrinted>
  <dcterms:modified xsi:type="dcterms:W3CDTF">2026-10-08T15:46:47Z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