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sz w:val="32"/>
        </w:rPr>
      </w:pPr>
      <w:r>
        <w:rPr>
          <w:rFonts w:eastAsia="Calibri"/>
          <w:b/>
        </w:rPr>
        <w:t>«ОКПД2 27.11.</w:t>
      </w:r>
      <w:r>
        <w:rPr>
          <w:rFonts w:eastAsia="Calibri"/>
          <w:b/>
        </w:rPr>
        <w:t>32.120</w:t>
      </w:r>
      <w:r>
        <w:rPr>
          <w:rFonts w:eastAsia="Calibri"/>
          <w:b/>
        </w:rPr>
        <w:t xml:space="preserve"> Приобретение генератора бензинового (1 шт.) для нужд Филиала ПАО "РусГидро" - "Карачаево-Черкесский филиал"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7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 xml:space="preserve">Цель использования закупаемой продукции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5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6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9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8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2"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lang w:val="en-US"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3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  <w:r>
              <w:rPr>
                <w:rStyle w:val="Style14"/>
                <w:lang w:val="en-US"/>
              </w:rPr>
              <w:t>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  <w:r>
              <w:rPr>
                <w:rStyle w:val="Style14"/>
                <w:lang w:val="en-US"/>
              </w:rPr>
              <w:t>1</w:t>
            </w:r>
          </w:hyperlink>
          <w:r>
            <w:rPr/>
            <w:t>4</w:t>
          </w:r>
          <w:r>
            <w:rPr/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  <w:tab w:val="left" w:pos="707" w:leader="none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75446566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ТПиР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техническое перевооружение и ремонт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ГЭС-ГАЭС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гидроэлектростанция- гидроаккумулирующая 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НДС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налог на добавленную стоимость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jc w:val="both"/>
        <w:rPr>
          <w:lang w:eastAsia="x-none"/>
        </w:rPr>
      </w:pPr>
      <w:bookmarkStart w:id="6" w:name="_Toc75446569"/>
      <w:r>
        <w:rPr>
          <w:lang w:eastAsia="x-none"/>
        </w:rPr>
        <w:t>«ОКПД2 27.</w:t>
      </w:r>
      <w:r>
        <w:rPr>
          <w:lang w:eastAsia="x-none"/>
        </w:rPr>
        <w:t>11.32.120</w:t>
      </w:r>
      <w:r>
        <w:rPr/>
        <w:t xml:space="preserve"> </w:t>
      </w:r>
      <w:r>
        <w:rPr>
          <w:lang w:eastAsia="x-none"/>
        </w:rPr>
        <w:t>Приобретение генератора бензинового (1 шт.) для нужд Филиала ПАО "РусГидро" - "Карачаево-Черкесский филиал"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закупаемой продукции </w:t>
      </w:r>
      <w:bookmarkEnd w:id="6"/>
    </w:p>
    <w:p>
      <w:pPr>
        <w:pStyle w:val="Normal"/>
        <w:jc w:val="both"/>
        <w:rPr>
          <w:lang w:val="x-none" w:eastAsia="x-none"/>
        </w:rPr>
      </w:pPr>
      <w:r>
        <w:rPr>
          <w:lang w:eastAsia="x-none"/>
        </w:rPr>
        <w:t>Бензиновый генератор закупается для Филиала ПАО «РусГидро» - «Карачаево-Черкесский филиал», обеспечивая улучшение качества электропитания собственных нужд.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8" w:name="_Toc75446573"/>
      <w:bookmarkStart w:id="9" w:name="_Toc51339693"/>
      <w:bookmarkStart w:id="10" w:name="_Toc50125126"/>
      <w:bookmarkStart w:id="11" w:name="_Toc46743510"/>
      <w:bookmarkEnd w:id="10"/>
      <w:bookmarkEnd w:id="11"/>
      <w:r>
        <w:rPr>
          <w:iCs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ind w:left="1224" w:hanging="504"/>
        <w:rPr/>
      </w:pPr>
      <w:bookmarkStart w:id="13" w:name="_Toc75446575"/>
      <w:r>
        <w:rPr>
          <w:lang w:val="ru-RU"/>
        </w:rPr>
        <w:t>Перечень и объем закупаемой продукци</w:t>
      </w:r>
      <w:bookmarkEnd w:id="13"/>
      <w:r>
        <w:rPr>
          <w:lang w:val="ru-RU"/>
        </w:rPr>
        <w:t>и</w:t>
      </w:r>
    </w:p>
    <w:p>
      <w:pPr>
        <w:pStyle w:val="Heading3"/>
        <w:numPr>
          <w:ilvl w:val="0"/>
          <w:numId w:val="0"/>
        </w:numPr>
        <w:ind w:left="0" w:hanging="0"/>
        <w:rPr/>
      </w:pPr>
      <w:bookmarkStart w:id="14" w:name="_Toc75446576"/>
      <w:bookmarkStart w:id="15" w:name="_Toc51339695"/>
      <w:r>
        <w:rPr/>
        <w:t xml:space="preserve">Таблица </w:t>
      </w:r>
      <w:r>
        <w:rPr>
          <w:lang w:val="ru-RU"/>
        </w:rPr>
        <w:t>1.1</w:t>
      </w:r>
      <w:r>
        <w:rPr/>
        <w:t xml:space="preserve"> </w:t>
      </w:r>
      <w:r>
        <w:rPr>
          <w:lang w:val="ru-RU"/>
        </w:rPr>
        <w:t xml:space="preserve">Перечень </w:t>
      </w:r>
      <w:bookmarkEnd w:id="15"/>
      <w:r>
        <w:rPr>
          <w:lang w:val="ru-RU"/>
        </w:rPr>
        <w:t>и объем закупаемой продукции</w:t>
      </w:r>
      <w:bookmarkEnd w:id="14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Style w:val="affffd"/>
        <w:tblW w:w="9949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noVBand="1" w:val="04a0" w:noHBand="0" w:lastColumn="0" w:firstColumn="1" w:lastRow="0" w:firstRow="1"/>
      </w:tblPr>
      <w:tblGrid>
        <w:gridCol w:w="703"/>
        <w:gridCol w:w="6580"/>
        <w:gridCol w:w="2666"/>
      </w:tblGrid>
      <w:tr>
        <w:trPr/>
        <w:tc>
          <w:tcPr>
            <w:tcW w:w="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>п.п.</w:t>
            </w:r>
          </w:p>
        </w:tc>
        <w:tc>
          <w:tcPr>
            <w:tcW w:w="65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 xml:space="preserve">Наименование 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>Количество, шт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x-none" w:bidi="ar-SA"/>
              </w:rPr>
              <w:t>1</w:t>
            </w:r>
          </w:p>
        </w:tc>
        <w:tc>
          <w:tcPr>
            <w:tcW w:w="65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x-none" w:bidi="ar-SA"/>
              </w:rPr>
              <w:t>2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x-none" w:bidi="ar-SA"/>
              </w:rPr>
              <w:t>3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x-none" w:bidi="ar-SA"/>
              </w:rPr>
              <w:t>1</w:t>
            </w:r>
          </w:p>
        </w:tc>
        <w:tc>
          <w:tcPr>
            <w:tcW w:w="6580" w:type="dxa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57" w:hanging="0"/>
              <w:jc w:val="center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bidi="ar-SA"/>
              </w:rPr>
              <w:t xml:space="preserve">Бензиновый генератор 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en-US" w:bidi="ar-SA"/>
              </w:rPr>
              <w:t>LIFAN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bidi="ar-SA"/>
              </w:rPr>
              <w:t xml:space="preserve"> 20000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en-US" w:bidi="ar-SA"/>
              </w:rPr>
              <w:t>E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bidi="ar-SA"/>
              </w:rPr>
              <w:t>3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en-US" w:bidi="ar-SA"/>
              </w:rPr>
              <w:t>A</w:t>
            </w: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bidi="ar-SA"/>
              </w:rPr>
              <w:t xml:space="preserve"> 00-00160715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(или эквивалент)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ind w:left="1224" w:hanging="504"/>
        <w:rPr>
          <w:lang w:val="ru-RU"/>
        </w:rPr>
      </w:pPr>
      <w:bookmarkStart w:id="16" w:name="_Toc75446578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 xml:space="preserve">к срокам поставки продукции </w:t>
      </w:r>
      <w:bookmarkEnd w:id="16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Cs/>
          <w:i/>
          <w:i/>
          <w:iCs/>
          <w:sz w:val="24"/>
          <w:szCs w:val="24"/>
          <w:shd w:fill="FFFF99" w:val="clear"/>
        </w:rPr>
      </w:pPr>
      <w:bookmarkStart w:id="18" w:name="_Toc75446579"/>
      <w:bookmarkStart w:id="19" w:name="_Toc50125127"/>
      <w:bookmarkStart w:id="20" w:name="_Toc51339697"/>
      <w:bookmarkStart w:id="21" w:name="_Toc50125126_Копия_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7"/>
        <w:gridCol w:w="3119"/>
        <w:gridCol w:w="2973"/>
        <w:gridCol w:w="3118"/>
      </w:tblGrid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26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«ОКПД2 27.11.32.120 Поставка бензинового генератора для нужд Филиала ПАО "РусГидро" - "Карачаево-Черкесский филиал"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sz w:val="24"/>
                <w:lang w:eastAsia="x-none"/>
              </w:rPr>
              <w:t>с даты заключения договора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lang w:eastAsia="x-none"/>
              </w:rPr>
            </w:pPr>
            <w:r>
              <w:rPr>
                <w:sz w:val="24"/>
                <w:lang w:eastAsia="x-none"/>
              </w:rPr>
              <w:t>До 3</w:t>
            </w:r>
            <w:r>
              <w:rPr>
                <w:color w:val="000000"/>
                <w:sz w:val="24"/>
                <w:lang w:eastAsia="x-none"/>
              </w:rPr>
              <w:t>0.10.2026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23" w:name="_Toc51339698"/>
      <w:bookmarkStart w:id="24" w:name="_Toc75446581"/>
      <w:bookmarkStart w:id="25" w:name="_Toc46743511"/>
      <w:bookmarkStart w:id="26" w:name="_Toc46743510_Копия_1"/>
      <w:bookmarkEnd w:id="26"/>
      <w:r>
        <w:rPr/>
        <w:t xml:space="preserve">Требования к </w:t>
      </w:r>
      <w:bookmarkEnd w:id="25"/>
      <w:r>
        <w:rPr>
          <w:lang w:val="ru-RU"/>
        </w:rPr>
        <w:t>качеству продукции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3"/>
    </w:p>
    <w:p>
      <w:pPr>
        <w:pStyle w:val="Normal"/>
        <w:jc w:val="both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</w:t>
      </w:r>
      <w:r>
        <w:rPr>
          <w:b/>
          <w:bCs/>
          <w:i/>
          <w:iCs/>
          <w:sz w:val="24"/>
          <w:szCs w:val="24"/>
          <w:lang w:eastAsia="x-none"/>
        </w:rPr>
        <w:t>«ОКПД2 27.11.32.120 Приобретение генератора бензинового (1 шт.) для нужд Филиала ПАО "РусГидро" - "Карачаево-Черкесский филиал"</w:t>
      </w:r>
      <w:r>
        <w:rPr>
          <w:rStyle w:val="Style8"/>
          <w:b w:val="false"/>
          <w:iCs/>
          <w:sz w:val="24"/>
          <w:szCs w:val="24"/>
          <w:shd w:fill="auto" w:val="clear"/>
        </w:rPr>
        <w:t xml:space="preserve"> </w:t>
      </w:r>
    </w:p>
    <w:tbl>
      <w:tblPr>
        <w:tblStyle w:val="affffd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2"/>
        <w:gridCol w:w="2834"/>
        <w:gridCol w:w="3403"/>
        <w:gridCol w:w="3544"/>
        <w:gridCol w:w="2408"/>
        <w:gridCol w:w="2267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9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Состояние 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поставить все изделия новыми, не восстановленными, не бывшими в употреблении, ремонте, работоспособными, включив в комплект поставки все необходимые для выполнения данного требования компоненты. Поставляемый товар должен отвечать требованиям соответствующих стандартов, технических спецификаций (ТУ, ГОСТ и т.д.).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Мощность применяемого двигателя, л.с., не менее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37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Рабочий объем двигателя, см3, не менее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999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Обмотка альтернатора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медная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/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Альтернатор</w:t>
            </w:r>
          </w:p>
        </w:tc>
        <w:tc>
          <w:tcPr>
            <w:tcW w:w="3403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Синхронный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60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Расход топлива, г/кВт*ч, не более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390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Объем масла в двигателе, л, не менее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Двигатель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(или эквивалент)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Lifan 2V90F бензиновый 4-х тактный двухцилиндровый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Система запуска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Электростарт от аккумулятора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Автоматический регулятор напряжения (AVR)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компаундного типа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Вид топлива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бензин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Максимальная мощность генератора, кВт, не менее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Номинальная мощность генератора, кВт, не менее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Емкость топливного бака, л, не менее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Емкость картера двигателя, л., не менее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2,4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Время непрерывной работы, часов, не менее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Выходное напряжение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220В /380 В;</w:t>
            </w:r>
          </w:p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 В (пост.)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Сила тока розеток 380/220/12, А, не менее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32/77/8,3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Выходная частота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 Гц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Уровень шума, дБ, не более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85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Эл. выходы 380/220/12, шт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1/3/1 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Наличие колес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Наличие ручек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конструкционно</w:t>
            </w:r>
          </w:p>
        </w:tc>
        <w:tc>
          <w:tcPr>
            <w:tcW w:w="35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1095" w:leader="none"/>
              </w:tabs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Количество фаз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Масса генератора, кг, не более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250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Габаритные размеры, мм, не более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1100х900х1000</w:t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9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tcMar>
              <w:left w:w="57" w:type="dxa"/>
              <w:right w:w="57" w:type="dxa"/>
            </w:tcMar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Степень защиты, не менее</w:t>
            </w:r>
          </w:p>
        </w:tc>
        <w:tc>
          <w:tcPr>
            <w:tcW w:w="3403" w:type="dxa"/>
            <w:tcBorders>
              <w:left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lineRule="auto" w:line="252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IP23</w:t>
            </w:r>
          </w:p>
        </w:tc>
        <w:tc>
          <w:tcPr>
            <w:tcW w:w="35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Безопасность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поставляемые изделия должны быть безопасными в процессе эксплуатации, хранения, транспортировки.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Исполнение оборудования должно позволять эксплуатацию в условиях производственной среды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Усиленная металлическая рама;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Демпферные подушки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 xml:space="preserve">Состав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комплекта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-80" w:hanging="0"/>
              <w:contextualSpacing/>
              <w:jc w:val="left"/>
              <w:rPr>
                <w:rFonts w:eastAsia="Times New Roman"/>
                <w:bCs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генератор в сборе, транспортировочный комплект, АКБ, свечной ключ, набор колес , инструкция на русском языке, гарантийный талон, упаковка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Конструкция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 изделий должна обеспечивать их полную работоспособность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Повреждения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следов механических повреждений, коррозии, окислов, деформации и иных повреждений не допускаются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Эквивалент</w:t>
            </w:r>
          </w:p>
        </w:tc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uppressAutoHyphens w:val="true"/>
              <w:spacing w:lineRule="auto" w:line="276" w:before="0" w:after="0"/>
              <w:ind w:left="320" w:hanging="360"/>
              <w:jc w:val="both"/>
              <w:rPr>
                <w:kern w:val="0"/>
                <w:lang w:val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bidi="ar-SA"/>
              </w:rPr>
              <w:t>В случае, если Участником предлагаются эквиваленты требуемого Заказчику оборудования или его составных частей в составе своего предложения, он должен, в обязательном порядке, предоставить подробное техническое описание предлагаемого к поставке эквивалента. Отсутствие в составе Заявки подробного технического описания эквивалента оборудования является причиной отклонения предложения Участника.</w:t>
            </w:r>
          </w:p>
          <w:p>
            <w:pPr>
              <w:pStyle w:val="Standard"/>
              <w:widowControl w:val="false"/>
              <w:numPr>
                <w:ilvl w:val="0"/>
                <w:numId w:val="8"/>
              </w:numPr>
              <w:suppressAutoHyphens w:val="true"/>
              <w:spacing w:lineRule="auto" w:line="276" w:before="0" w:after="0"/>
              <w:ind w:left="320" w:hanging="360"/>
              <w:jc w:val="both"/>
              <w:rPr>
                <w:kern w:val="0"/>
                <w:lang w:val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bidi="ar-SA"/>
              </w:rPr>
              <w:t>Эквивалентное оборудование - это оборудование, которое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  <w:p>
            <w:pPr>
              <w:pStyle w:val="Standard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320" w:hanging="360"/>
              <w:jc w:val="both"/>
              <w:rPr>
                <w:kern w:val="0"/>
                <w:lang w:val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bidi="ar-SA"/>
              </w:rPr>
              <w:t>В случае предложения эквивалентов, Участнику необходимо обеспечить выполнение следующих условий: для оценки возможности использования предлагаемого эквивалентного оборудования, предложение Участника должно содержать подробную техническую информацию в объеме, соответствующем техническим требованиям, указанным Заказчиком.</w:t>
            </w:r>
          </w:p>
          <w:p>
            <w:pPr>
              <w:pStyle w:val="Standard"/>
              <w:widowControl w:val="false"/>
              <w:numPr>
                <w:ilvl w:val="0"/>
                <w:numId w:val="8"/>
              </w:numPr>
              <w:suppressAutoHyphens w:val="true"/>
              <w:spacing w:lineRule="auto" w:line="276" w:before="0" w:after="0"/>
              <w:ind w:left="320" w:hanging="360"/>
              <w:jc w:val="both"/>
              <w:rPr>
                <w:kern w:val="0"/>
                <w:lang w:val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bidi="ar-SA"/>
              </w:rPr>
              <w:t>Параметрами эквивалентности являются технические характеристики оборудования, указанного к настоящим техническим требованиям. Для оценки возможности использования предлагаемого эквивалентного оборудования, предложение Участника должно содержать техническую информацию в объеме, соответствующем настоящим техническим требованиям.</w:t>
            </w:r>
          </w:p>
          <w:p>
            <w:pPr>
              <w:pStyle w:val="Standard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320" w:hanging="360"/>
              <w:jc w:val="both"/>
              <w:rPr>
                <w:kern w:val="0"/>
                <w:lang w:val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bidi="ar-SA"/>
              </w:rPr>
              <w:t>В случае предложения эквивалентов, на эквивалент должны быть предоставлены все полагающиеся документы согласно законодательству РФ.</w:t>
            </w:r>
          </w:p>
        </w:tc>
        <w:tc>
          <w:tcPr>
            <w:tcW w:w="35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пгт. Правокубанский, Карачаевский муниципальный район, Карачаево-Черкесская Республика, Российская Федерация, 369244.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Sylfae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Поставляемое Оборудование должно быть пригодными для использования, иметь действующие сертификаты безопасности, технические паспорта и протоколы и разрешено для использования на территории РФ.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поставленные изделия должен составлять не менее 12 месяцев с даты поставки (подписания Акта приемки)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Предложение по сроку гарантии 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оборудованием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* Поставщик обязан одновременно с передачей изделий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сертификаты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товарно-транспортную накладную формы №1-Т или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в 2 экз. либо УПД;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* актуальный сертификат официального диллера/дистрибьютора или узкоспециализированного поставщика (если не производитель)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5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28" w:name="_Toc75446583"/>
      <w:bookmarkStart w:id="29" w:name="_Toc53393312"/>
      <w:r>
        <w:rPr>
          <w:lang w:val="ru-RU"/>
        </w:rPr>
        <w:t>Требования к документации по ценообразованию</w:t>
      </w:r>
      <w:bookmarkEnd w:id="29"/>
      <w:r>
        <w:rPr>
          <w:lang w:val="ru-RU"/>
        </w:rPr>
        <w:t xml:space="preserve"> на этапе закупки</w:t>
      </w:r>
      <w:bookmarkEnd w:id="28"/>
    </w:p>
    <w:p>
      <w:pPr>
        <w:pStyle w:val="Normal"/>
        <w:ind w:firstLine="851"/>
        <w:jc w:val="both"/>
        <w:rPr>
          <w:lang w:eastAsia="x-none"/>
        </w:rPr>
      </w:pPr>
      <w:r>
        <w:rPr>
          <w:lang w:eastAsia="x-none"/>
        </w:rPr>
        <w:t>3.1.</w:t>
        <w:tab/>
        <w:t>В обоснование стоимости своей заявки Участник предоставляет Коммерческое предложение по форме Спецификации, приведенной в Требованиях (Приложение № 1 к Техническим требованиям)</w:t>
      </w:r>
    </w:p>
    <w:p>
      <w:pPr>
        <w:pStyle w:val="Normal"/>
        <w:ind w:firstLine="851"/>
        <w:jc w:val="both"/>
        <w:rPr>
          <w:lang w:eastAsia="x-none"/>
        </w:rPr>
      </w:pPr>
      <w:r>
        <w:rPr>
          <w:lang w:eastAsia="x-none"/>
        </w:rPr>
        <w:t>3.2.</w:t>
        <w:tab/>
        <w:t>Стоимость за единицу продукции (товара) должна включать в себя транспортировку товара до места поставки, погрузку, подлежащие уплате налоги, сборы и пошлины и прочие затраты, и расходы поставщика, связанные с поставкой товара.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</w:rPr>
      </w:pPr>
      <w:bookmarkStart w:id="30" w:name="_Toc75446585"/>
      <w:bookmarkStart w:id="31" w:name="_Toc46743519"/>
      <w:bookmarkStart w:id="32" w:name="_Toc51339699"/>
      <w:r>
        <w:rPr>
          <w:iCs/>
        </w:rPr>
        <w:t>Приложения</w:t>
      </w:r>
      <w:bookmarkEnd w:id="30"/>
      <w:bookmarkEnd w:id="31"/>
      <w:bookmarkEnd w:id="32"/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Приложение № 1: </w:t>
      </w:r>
      <w:bookmarkStart w:id="33" w:name="_Hlk87532473"/>
      <w:r>
        <w:rPr>
          <w:bCs/>
          <w:i/>
          <w:iCs/>
          <w:sz w:val="24"/>
          <w:szCs w:val="24"/>
        </w:rPr>
        <w:t>Требования к оформлению и составлению документации по ценообр</w:t>
      </w:r>
      <w:bookmarkEnd w:id="33"/>
      <w:r>
        <w:rPr>
          <w:bCs/>
          <w:i/>
          <w:iCs/>
          <w:sz w:val="24"/>
          <w:szCs w:val="24"/>
        </w:rPr>
        <w:t>азованию;</w:t>
      </w:r>
    </w:p>
    <w:p>
      <w:pPr>
        <w:pStyle w:val="Normal"/>
        <w:jc w:val="right"/>
        <w:rPr>
          <w:sz w:val="24"/>
        </w:rPr>
      </w:pPr>
      <w:bookmarkStart w:id="34" w:name="_Hlk48222348"/>
      <w:r>
        <w:rPr>
          <w:sz w:val="24"/>
        </w:rPr>
        <w:t>Приложение №1 к ТТ</w:t>
      </w:r>
      <w:bookmarkEnd w:id="34"/>
    </w:p>
    <w:p>
      <w:pPr>
        <w:pStyle w:val="Normal"/>
        <w:spacing w:before="240" w:after="12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Требования </w:t>
        <w:br/>
        <w:t>к оформлению и составлению документации по ценообразованию</w:t>
      </w:r>
    </w:p>
    <w:p>
      <w:pPr>
        <w:pStyle w:val="Normal"/>
        <w:widowControl w:val="false"/>
        <w:jc w:val="center"/>
        <w:rPr>
          <w:b/>
          <w:bCs/>
          <w:i/>
          <w:i/>
          <w:caps/>
          <w:sz w:val="24"/>
          <w:szCs w:val="24"/>
          <w:shd w:fill="FFFF99" w:val="clear"/>
        </w:rPr>
      </w:pPr>
      <w:bookmarkStart w:id="35" w:name="_Ref40301253"/>
      <w:bookmarkStart w:id="36" w:name="_Hlk48224758"/>
      <w:r>
        <w:rPr>
          <w:rFonts w:eastAsia="Calibri"/>
          <w:b/>
          <w:color w:val="000000"/>
        </w:rPr>
        <w:t>Спецификация поставляемого оборудования</w:t>
      </w:r>
      <w:bookmarkEnd w:id="35"/>
      <w:bookmarkEnd w:id="36"/>
    </w:p>
    <w:p>
      <w:pPr>
        <w:pStyle w:val="Normal"/>
        <w:widowControl w:val="false"/>
        <w:ind w:left="9781" w:hanging="0"/>
        <w:jc w:val="both"/>
        <w:rPr>
          <w:rFonts w:cs="Courier New"/>
          <w:color w:val="000000"/>
          <w:sz w:val="24"/>
          <w:szCs w:val="24"/>
        </w:rPr>
      </w:pPr>
      <w:r>
        <w:rPr>
          <w:rFonts w:cs="Courier New"/>
          <w:color w:val="000000"/>
          <w:sz w:val="24"/>
          <w:szCs w:val="24"/>
        </w:rPr>
      </w:r>
    </w:p>
    <w:p>
      <w:pPr>
        <w:pStyle w:val="Normal"/>
        <w:widowControl w:val="false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</w:r>
    </w:p>
    <w:tbl>
      <w:tblPr>
        <w:tblpPr w:bottomFromText="0" w:horzAnchor="margin" w:leftFromText="180" w:rightFromText="180" w:tblpX="0" w:tblpY="3462" w:topFromText="0" w:vertAnchor="page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5a0" w:noHBand="0" w:lastColumn="1" w:firstColumn="1" w:lastRow="0" w:firstRow="1"/>
      </w:tblPr>
      <w:tblGrid>
        <w:gridCol w:w="412"/>
        <w:gridCol w:w="1114"/>
        <w:gridCol w:w="716"/>
        <w:gridCol w:w="1052"/>
        <w:gridCol w:w="1183"/>
        <w:gridCol w:w="486"/>
        <w:gridCol w:w="758"/>
        <w:gridCol w:w="761"/>
        <w:gridCol w:w="778"/>
        <w:gridCol w:w="512"/>
        <w:gridCol w:w="842"/>
        <w:gridCol w:w="1306"/>
      </w:tblGrid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Наименование позиции товара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Изготовитель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Цена одной единицы товара руб. без НДС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Цена одной единицы товара руб. с НДС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Итоговая стоимость позиции товара руб. с НДС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документов, подтверждающих качество Оборудования</w:t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ind w:left="735" w:hanging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widowControl w:val="fals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ind w:firstLine="851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Примечание</w:t>
      </w:r>
      <w:r>
        <w:rPr>
          <w:color w:val="000000"/>
          <w:sz w:val="24"/>
          <w:szCs w:val="24"/>
        </w:rPr>
        <w:t>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widowControl w:val="false"/>
        <w:ind w:firstLine="851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*</w:t>
      </w:r>
      <w:r>
        <w:rPr>
          <w:color w:val="000000"/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p>
      <w:pPr>
        <w:pStyle w:val="Normal"/>
        <w:widowControl w:val="false"/>
        <w:jc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5526" w:leader="none"/>
        </w:tabs>
        <w:ind w:left="426" w:hanging="0"/>
        <w:jc w:val="both"/>
        <w:rPr/>
      </w:pPr>
      <w:r>
        <w:rPr/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Geneva CY">
    <w:altName w:val="Courier New"/>
    <w:charset w:val="01"/>
    <w:family w:val="roman"/>
    <w:pitch w:val="variable"/>
  </w:font>
  <w:font w:name="Lucida Grande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1"/>
                            </w:rPr>
                          </w:pPr>
                          <w:r>
                            <w:rPr>
                              <w:rStyle w:val="Pagenumber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1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1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1"/>
                      </w:rPr>
                    </w:pPr>
                    <w:r>
                      <w:rPr>
                        <w:rStyle w:val="Pagenumber1"/>
                        <w:color w:val="000000"/>
                      </w:rPr>
                      <w:fldChar w:fldCharType="begin"/>
                    </w:r>
                    <w:r>
                      <w:rPr>
                        <w:rStyle w:val="Pagenumber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1"/>
                        <w:color w:val="000000"/>
                      </w:rPr>
                      <w:fldChar w:fldCharType="separate"/>
                    </w:r>
                    <w:r>
                      <w:rPr>
                        <w:rStyle w:val="Pagenumber1"/>
                        <w:color w:val="000000"/>
                      </w:rPr>
                      <w:t>0</w:t>
                    </w:r>
                    <w:r>
                      <w:rPr>
                        <w:rStyle w:val="Pagenumber1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40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tabs>
        <w:tab w:val="clear" w:pos="708"/>
        <w:tab w:val="left" w:pos="707" w:leader="none"/>
      </w:tabs>
      <w:spacing w:before="120" w:after="60"/>
      <w:ind w:left="57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left" w:pos="0" w:leader="none"/>
        <w:tab w:val="left" w:pos="707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1" w:customStyle="1">
    <w:name w:val="page number1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Нижний колонтитул Знак"/>
    <w:qFormat/>
    <w:rPr>
      <w:rFonts w:ascii="Geneva CY;Courier New" w:hAnsi="Geneva CY;Courier New" w:eastAsia="Geneva;Arial" w:cs="Geneva CY;Courier New"/>
      <w:sz w:val="24"/>
      <w:lang w:val="ru-RU" w:eastAsia="ru-RU"/>
    </w:rPr>
  </w:style>
  <w:style w:type="character" w:styleId="Style17" w:customStyle="1">
    <w:name w:val="Текст выноски Знак"/>
    <w:qFormat/>
    <w:rPr>
      <w:rFonts w:ascii="Lucida Grande;Times New Roman" w:hAnsi="Lucida Grande;Times New Roman" w:eastAsia="Geneva;Arial" w:cs="Lucida Grande;Times New Roman"/>
      <w:sz w:val="18"/>
      <w:szCs w:val="18"/>
      <w:lang w:val="ru-RU" w:eastAsia="ru-RU"/>
    </w:rPr>
  </w:style>
  <w:style w:type="character" w:styleId="Pagenumber">
    <w:name w:val="page number"/>
    <w:qFormat/>
    <w:rPr/>
  </w:style>
  <w:style w:type="character" w:styleId="14" w:customStyle="1">
    <w:name w:val="Основной шрифт абзаца1"/>
    <w:qFormat/>
    <w:rPr/>
  </w:style>
  <w:style w:type="character" w:styleId="WW8Num2z0" w:customStyle="1">
    <w:name w:val="WW8Num2z0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</w:rPr>
  </w:style>
  <w:style w:type="character" w:styleId="Style18" w:customStyle="1">
    <w:name w:val="Маркеры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Lucida Grande;Times New Roman" w:hAnsi="Lucida Grande;Times New Roman" w:cs="Lucida Grande;Times New Roman"/>
      <w:sz w:val="18"/>
      <w:szCs w:val="18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7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andard" w:customStyle="1">
    <w:name w:val="Standard"/>
    <w:qFormat/>
    <w:rsid w:val="000b1f5a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auto"/>
      <w:kern w:val="0"/>
      <w:sz w:val="22"/>
      <w:szCs w:val="22"/>
      <w:lang w:eastAsia="en-US" w:val="ru-RU" w:bidi="ar-SA"/>
    </w:rPr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paragraph" w:styleId="Style40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11" w:customStyle="1">
    <w:name w:val="Указатель1"/>
    <w:basedOn w:val="Normal"/>
    <w:qFormat/>
    <w:pPr>
      <w:suppressLineNumbers/>
    </w:pPr>
    <w:rPr/>
  </w:style>
  <w:style w:type="paragraph" w:styleId="112" w:customStyle="1">
    <w:name w:val="Название объекта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</w:rPr>
  </w:style>
  <w:style w:type="paragraph" w:styleId="29" w:customStyle="1">
    <w:name w:val="Указатель2"/>
    <w:basedOn w:val="Normal"/>
    <w:qFormat/>
    <w:pPr>
      <w:suppressLineNumbers/>
    </w:pPr>
    <w:rPr/>
  </w:style>
  <w:style w:type="paragraph" w:styleId="210" w:customStyle="1">
    <w:name w:val="Название объекта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1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</w:rPr>
  </w:style>
  <w:style w:type="paragraph" w:styleId="37" w:customStyle="1">
    <w:name w:val="Указатель3"/>
    <w:basedOn w:val="Normal"/>
    <w:qFormat/>
    <w:pPr>
      <w:suppressLineNumbers/>
    </w:pPr>
    <w:rPr/>
  </w:style>
  <w:style w:type="paragraph" w:styleId="38" w:customStyle="1">
    <w:name w:val="Заголовок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2" w:customStyle="1">
    <w:name w:val="Caption111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2" w:customStyle="1">
    <w:name w:val="Caption11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2" w:customStyle="1">
    <w:name w:val="Caption1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2" w:customStyle="1">
    <w:name w:val="Caption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2" w:customStyle="1">
    <w:name w:val="Caption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  <w:rsid w:val="00f001e4"/>
  </w:style>
  <w:style w:type="numbering" w:styleId="212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9FFED-A849-479A-94A2-2194B3B8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Application>AlterOffice/3.4.0.9$Linux_X86_64 LibreOffice_project/b8daf9e823b1a5463a2f48435ddc2e8696e7d4fc</Application>
  <AppVersion>15.0000</AppVersion>
  <Pages>14</Pages>
  <Words>1271</Words>
  <Characters>8687</Characters>
  <CharactersWithSpaces>9747</CharactersWithSpaces>
  <Paragraphs>307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2023-01-18T10:42:00Z</dcterms:created>
  <dc:creator>Быстров Олег Геннадьевич</dc:creator>
  <dc:description/>
  <dc:language>ru-RU</dc:language>
  <cp:lastModifiedBy>zabelkinans@corp.gidroogk.com</cp:lastModifiedBy>
  <cp:lastPrinted>2023-01-18T10:59:00Z</cp:lastPrinted>
  <dcterms:modified xsi:type="dcterms:W3CDTF">2026-10-08T11:18:06Z</dcterms:modified>
  <cp:revision>96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