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numbering.xml" ContentType="application/vnd.openxmlformats-officedocument.wordprocessingml.numbering+xml"/>
  <Override PartName="/word/footer9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Технические требования на поставку МТЦ</w:t>
      </w:r>
    </w:p>
    <w:p>
      <w:pPr>
        <w:pStyle w:val="Normal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</w:r>
    </w:p>
    <w:p>
      <w:pPr>
        <w:pStyle w:val="Normal"/>
        <w:jc w:val="center"/>
        <w:rPr>
          <w:rFonts w:eastAsia="Calibri"/>
          <w:b/>
          <w:bCs/>
        </w:rPr>
      </w:pPr>
      <w:r>
        <w:rPr>
          <w:rFonts w:eastAsia="Calibri"/>
          <w:b/>
          <w:bCs/>
          <w:color w:val="000000"/>
          <w:shd w:fill="FFFFFF" w:val="clear"/>
        </w:rPr>
        <w:t xml:space="preserve">ОКПД2 25.11.23.119 Материалы для выполнения мероприятий по защите оборудования </w:t>
      </w:r>
      <w:r>
        <w:rPr>
          <w:rFonts w:eastAsia="Calibri"/>
          <w:b/>
          <w:bCs/>
        </w:rPr>
        <w:t>Филиала ПАО «РусГидро» - «Карачаево-Черкесский филиал»</w:t>
      </w:r>
    </w:p>
    <w:p>
      <w:pPr>
        <w:pStyle w:val="Normal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</w:r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134" w:right="851" w:gutter="0" w:header="315" w:top="945" w:footer="294" w:bottom="908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sz w:val="24"/>
          <w:szCs w:val="24"/>
        </w:rPr>
      </w:pPr>
      <w:r>
        <w:rPr>
          <w:rFonts w:eastAsia="Calibri"/>
          <w:sz w:val="24"/>
          <w:szCs w:val="24"/>
        </w:rPr>
        <w:t>пгт. Правокубанский 2026</w:t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Spacing"/>
        <w:rPr>
          <w:b/>
          <w:bCs/>
        </w:rPr>
      </w:pPr>
      <w:r>
        <w:rPr>
          <w:b/>
          <w:bCs/>
        </w:rPr>
        <w:t>1. Общие сведения</w:t>
      </w:r>
    </w:p>
    <w:p>
      <w:pPr>
        <w:pStyle w:val="NoSpacing"/>
        <w:jc w:val="both"/>
        <w:rPr/>
      </w:pPr>
      <w:r>
        <w:rPr/>
        <w:t>1.1. Обозначения и сокращения……………………………………………………………………. 3</w:t>
      </w:r>
    </w:p>
    <w:p>
      <w:pPr>
        <w:pStyle w:val="NoSpacing"/>
        <w:jc w:val="both"/>
        <w:rPr/>
      </w:pPr>
      <w:r>
        <w:rPr/>
        <w:t>1.2. Наименования закупаемой продукции ………………………………………………………...4</w:t>
      </w:r>
    </w:p>
    <w:p>
      <w:pPr>
        <w:pStyle w:val="NoSpacing"/>
        <w:jc w:val="both"/>
        <w:rPr/>
      </w:pPr>
      <w:r>
        <w:rPr/>
        <w:t xml:space="preserve">1.3. </w:t>
      </w:r>
      <w:r>
        <w:rPr>
          <w:bCs/>
        </w:rPr>
        <w:t>Цель использования закупаемой продукции…………………………………………….…….4</w:t>
      </w:r>
    </w:p>
    <w:p>
      <w:pPr>
        <w:pStyle w:val="NoSpacing"/>
        <w:jc w:val="both"/>
        <w:rPr/>
      </w:pPr>
      <w:r>
        <w:rPr>
          <w:bCs/>
        </w:rPr>
        <w:t>1.4. Существующее положение……………………………………………………………………...4</w:t>
      </w:r>
    </w:p>
    <w:p>
      <w:pPr>
        <w:pStyle w:val="NoSpacing"/>
        <w:jc w:val="both"/>
        <w:rPr/>
      </w:pPr>
      <w:r>
        <w:rPr>
          <w:bCs/>
        </w:rPr>
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договора)……………………………………………………………………….…4</w:t>
      </w:r>
    </w:p>
    <w:p>
      <w:pPr>
        <w:pStyle w:val="NoSpacing"/>
        <w:jc w:val="both"/>
        <w:rPr/>
      </w:pPr>
      <w:r>
        <w:rPr>
          <w:bCs/>
        </w:rPr>
        <w:t xml:space="preserve">1.6. </w:t>
      </w:r>
      <w:r>
        <w:rPr>
          <w:bCs/>
          <w:iCs/>
        </w:rPr>
        <w:t>Иные требования и сведения общего характера……………………………………………..…4</w:t>
      </w:r>
    </w:p>
    <w:p>
      <w:pPr>
        <w:pStyle w:val="NoSpacing"/>
        <w:jc w:val="both"/>
        <w:rPr/>
      </w:pPr>
      <w:r>
        <w:rPr>
          <w:b/>
        </w:rPr>
        <w:t>2. Требования к продукции</w:t>
      </w:r>
      <w:r>
        <w:rPr/>
        <w:t>…………………….………………………………………………...…5</w:t>
      </w:r>
    </w:p>
    <w:p>
      <w:pPr>
        <w:pStyle w:val="NoSpacing"/>
        <w:jc w:val="both"/>
        <w:rPr/>
      </w:pPr>
      <w:r>
        <w:rPr/>
        <w:t xml:space="preserve">2.1. </w:t>
      </w:r>
      <w:r>
        <w:rPr>
          <w:bCs/>
          <w:iCs/>
        </w:rPr>
        <w:t>Требования к объемам и срокам поставки</w:t>
      </w:r>
      <w:r>
        <w:rPr/>
        <w:t xml:space="preserve"> ……………………………………………………..5</w:t>
      </w:r>
    </w:p>
    <w:p>
      <w:pPr>
        <w:pStyle w:val="NoSpacing"/>
        <w:jc w:val="both"/>
        <w:rPr/>
      </w:pPr>
      <w:r>
        <w:rPr>
          <w:b/>
          <w:bCs/>
        </w:rPr>
        <w:t>Таблица 1.1 Перечень и объем закупаемой продукции</w:t>
      </w:r>
      <w:r>
        <w:rPr>
          <w:b/>
        </w:rPr>
        <w:t xml:space="preserve"> </w:t>
      </w:r>
      <w:r>
        <w:rPr/>
        <w:t>…………………………………….…..5</w:t>
      </w:r>
    </w:p>
    <w:p>
      <w:pPr>
        <w:pStyle w:val="NoSpacing"/>
        <w:jc w:val="both"/>
        <w:rPr/>
      </w:pPr>
      <w:r>
        <w:rPr/>
        <w:t xml:space="preserve">2.1.1. </w:t>
      </w:r>
      <w:r>
        <w:rPr>
          <w:bCs/>
        </w:rPr>
        <w:t>Перечень и объем закупаемой продукции</w:t>
      </w:r>
      <w:r>
        <w:rPr/>
        <w:t xml:space="preserve"> …………………………………………………...5</w:t>
      </w:r>
    </w:p>
    <w:p>
      <w:pPr>
        <w:pStyle w:val="NoSpacing"/>
        <w:jc w:val="both"/>
        <w:rPr/>
      </w:pPr>
      <w:r>
        <w:rPr>
          <w:b/>
          <w:bCs/>
        </w:rPr>
        <w:t xml:space="preserve">Таблица 2.1 </w:t>
      </w:r>
      <w:r>
        <w:rPr>
          <w:b/>
        </w:rPr>
        <w:t xml:space="preserve">Требования по срокам поставки продукции </w:t>
      </w:r>
      <w:r>
        <w:rPr/>
        <w:t>……………………………………...5</w:t>
      </w:r>
    </w:p>
    <w:p>
      <w:pPr>
        <w:pStyle w:val="NoSpacing"/>
        <w:jc w:val="both"/>
        <w:rPr/>
      </w:pPr>
      <w:r>
        <w:rPr>
          <w:b/>
          <w:bCs/>
        </w:rPr>
        <w:t>2.2. Требование к качеству продукции</w:t>
      </w:r>
      <w:r>
        <w:rPr/>
        <w:t xml:space="preserve"> …………………………………………………………...6</w:t>
      </w:r>
    </w:p>
    <w:p>
      <w:pPr>
        <w:pStyle w:val="NoSpacing"/>
        <w:jc w:val="both"/>
        <w:rPr/>
      </w:pPr>
      <w:r>
        <w:rPr>
          <w:b/>
          <w:bCs/>
        </w:rPr>
        <w:t>Таблица 3 Требования к продукции…………………………………………………………</w:t>
      </w:r>
      <w:r>
        <w:rPr/>
        <w:t>..…..6</w:t>
      </w:r>
    </w:p>
    <w:p>
      <w:pPr>
        <w:pStyle w:val="Normal"/>
        <w:spacing w:before="0" w:after="120"/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Требования к документации по ценообразованию на этапе закупки……………………</w:t>
      </w:r>
      <w:r>
        <w:rPr>
          <w:sz w:val="24"/>
          <w:szCs w:val="24"/>
        </w:rPr>
        <w:t>..8</w:t>
      </w:r>
    </w:p>
    <w:p>
      <w:pPr>
        <w:pStyle w:val="NoSpacing"/>
        <w:jc w:val="both"/>
        <w:rPr/>
      </w:pPr>
      <w:r>
        <w:rPr>
          <w:b/>
          <w:bCs/>
        </w:rPr>
        <w:t xml:space="preserve">4. Приложения </w:t>
      </w:r>
      <w:r>
        <w:rPr/>
        <w:t>…………………………………………………………………………….</w:t>
      </w:r>
      <w:r>
        <w:rPr>
          <w:lang w:val="en-US"/>
        </w:rPr>
        <w:t>.</w:t>
      </w:r>
      <w:r>
        <w:rPr/>
        <w:t>………..9</w:t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75446566"/>
      <w:bookmarkStart w:id="1" w:name="_Toc51339692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7"/>
      <w:bookmarkStart w:id="3" w:name="_Toc46743505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ind w:left="284" w:hanging="0"/>
              <w:rPr/>
            </w:pPr>
            <w:r>
              <w:rPr>
                <w:rStyle w:val="Style8"/>
                <w:b w:val="false"/>
                <w:bCs/>
                <w:i w:val="false"/>
                <w:shd w:fill="auto" w:val="clear"/>
              </w:rPr>
              <w:t>ПАО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ind w:left="284" w:hanging="0"/>
              <w:rPr/>
            </w:pPr>
            <w:r>
              <w:rPr>
                <w:rStyle w:val="Style8"/>
                <w:b w:val="false"/>
                <w:bCs/>
                <w:i w:val="false"/>
                <w:shd w:fill="auto" w:val="clear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ind w:left="284" w:hanging="0"/>
              <w:rPr/>
            </w:pPr>
            <w:r>
              <w:rPr>
                <w:bCs/>
              </w:rPr>
              <w:t>ТТ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ind w:left="284" w:hanging="0"/>
              <w:rPr/>
            </w:pPr>
            <w:r>
              <w:rPr>
                <w:bCs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ГАЭС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Гидроакк</w:t>
            </w: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  <w:lang w:val="en-US"/>
              </w:rPr>
              <w:t>у</w:t>
            </w: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мулирующая электростанция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tabs>
          <w:tab w:val="clear" w:pos="0"/>
          <w:tab w:val="left" w:pos="851" w:leader="none"/>
        </w:tabs>
        <w:spacing w:lineRule="auto" w:line="276" w:before="0" w:after="0"/>
        <w:ind w:left="0" w:firstLine="420"/>
        <w:rPr/>
      </w:pPr>
      <w:bookmarkStart w:id="4" w:name="_Toc46743506"/>
      <w:bookmarkStart w:id="5" w:name="_Toc75446568"/>
      <w:r>
        <w:rPr/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tabs>
          <w:tab w:val="clear" w:pos="708"/>
          <w:tab w:val="left" w:pos="426" w:leader="none"/>
          <w:tab w:val="left" w:pos="851" w:leader="none"/>
        </w:tabs>
        <w:spacing w:lineRule="auto" w:line="276"/>
        <w:ind w:firstLine="420"/>
        <w:jc w:val="both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  <w:shd w:fill="FFFFFF" w:val="clear"/>
          <w:lang w:eastAsia="x-none"/>
        </w:rPr>
        <w:t>М</w:t>
      </w:r>
      <w:r>
        <w:rPr>
          <w:rFonts w:eastAsia="Calibri"/>
          <w:color w:val="000000"/>
          <w:shd w:fill="FFFFFF" w:val="clear"/>
          <w:lang w:eastAsia="x-none"/>
        </w:rPr>
        <w:t>а</w:t>
      </w:r>
      <w:r>
        <w:rPr>
          <w:rFonts w:eastAsia="Calibri"/>
          <w:color w:val="000000"/>
          <w:sz w:val="24"/>
          <w:szCs w:val="24"/>
          <w:shd w:fill="FFFFFF" w:val="clear"/>
          <w:lang w:eastAsia="x-none"/>
        </w:rPr>
        <w:t>териалы для выполнения мероприятий по защите оборудования Филиала ПАО «РусГидро» - «Карачаево-Черкесский филиал»</w:t>
      </w:r>
    </w:p>
    <w:p>
      <w:pPr>
        <w:pStyle w:val="Heading4"/>
        <w:numPr>
          <w:ilvl w:val="1"/>
          <w:numId w:val="3"/>
        </w:numPr>
        <w:tabs>
          <w:tab w:val="clear" w:pos="0"/>
          <w:tab w:val="left" w:pos="851" w:leader="none"/>
        </w:tabs>
        <w:spacing w:lineRule="auto" w:line="276" w:before="0" w:after="0"/>
        <w:ind w:left="0" w:firstLine="420"/>
        <w:rPr/>
      </w:pPr>
      <w:bookmarkStart w:id="6" w:name="_Toc75446569"/>
      <w:bookmarkStart w:id="7" w:name="_Toc46743507"/>
      <w:r>
        <w:rPr/>
        <w:t xml:space="preserve">Цель </w:t>
      </w:r>
      <w:bookmarkEnd w:id="7"/>
      <w:r>
        <w:rPr>
          <w:lang w:val="ru-RU"/>
        </w:rPr>
        <w:t>использования закупаемой продукции</w:t>
      </w:r>
      <w:bookmarkEnd w:id="6"/>
    </w:p>
    <w:p>
      <w:pPr>
        <w:pStyle w:val="Normal"/>
        <w:widowControl w:val="false"/>
        <w:tabs>
          <w:tab w:val="clear" w:pos="708"/>
          <w:tab w:val="left" w:pos="426" w:leader="none"/>
          <w:tab w:val="left" w:pos="851" w:leader="none"/>
        </w:tabs>
        <w:spacing w:lineRule="auto" w:line="276"/>
        <w:ind w:firstLine="420"/>
        <w:jc w:val="both"/>
        <w:rPr/>
      </w:pPr>
      <w:r>
        <w:rPr>
          <w:rStyle w:val="Style8"/>
          <w:b w:val="false"/>
          <w:i w:val="false"/>
          <w:sz w:val="24"/>
          <w:szCs w:val="24"/>
          <w:shd w:fill="FFFFFF" w:val="clear"/>
        </w:rPr>
        <w:t>Устройство защиты трансформаторного оборудования Зеленчукской ГЭС-ГАЭС.</w:t>
      </w:r>
    </w:p>
    <w:p>
      <w:pPr>
        <w:pStyle w:val="Heading4"/>
        <w:numPr>
          <w:ilvl w:val="1"/>
          <w:numId w:val="3"/>
        </w:numPr>
        <w:tabs>
          <w:tab w:val="clear" w:pos="0"/>
          <w:tab w:val="left" w:pos="851" w:leader="none"/>
        </w:tabs>
        <w:spacing w:lineRule="auto" w:line="276" w:before="0" w:after="0"/>
        <w:ind w:left="0" w:firstLine="420"/>
        <w:rPr/>
      </w:pPr>
      <w:r>
        <w:rPr/>
        <w:t>С</w:t>
      </w:r>
      <w:r>
        <w:rPr>
          <w:lang w:eastAsia="ru-RU"/>
        </w:rPr>
        <w:t xml:space="preserve">уществующее положение </w:t>
      </w:r>
    </w:p>
    <w:p>
      <w:pPr>
        <w:pStyle w:val="BodyTextIndent"/>
        <w:tabs>
          <w:tab w:val="clear" w:pos="708"/>
          <w:tab w:val="left" w:pos="851" w:leader="none"/>
        </w:tabs>
        <w:spacing w:lineRule="auto" w:line="276"/>
        <w:ind w:left="0" w:firstLine="420"/>
        <w:jc w:val="both"/>
        <w:rPr/>
      </w:pPr>
      <w:r>
        <w:rPr>
          <w:b/>
        </w:rPr>
        <w:t>1.4.1.</w:t>
      </w:r>
      <w:r>
        <w:rPr/>
        <w:t xml:space="preserve"> Зеленчукская ГЭС-ГАЭС – деривационная гидроэлектростанция, расположена около поселка Правокубанский и аула Сары-Тюз Карачаевского района Карачаево-Черкесской Республики, в 42 км южнее г. Черкесска.</w:t>
      </w:r>
    </w:p>
    <w:p>
      <w:pPr>
        <w:pStyle w:val="NoSpacing"/>
        <w:tabs>
          <w:tab w:val="clear" w:pos="708"/>
          <w:tab w:val="left" w:pos="851" w:leader="none"/>
        </w:tabs>
        <w:spacing w:lineRule="auto" w:line="276"/>
        <w:ind w:firstLine="420"/>
        <w:jc w:val="both"/>
        <w:rPr/>
      </w:pPr>
      <w:r>
        <w:rPr>
          <w:b/>
        </w:rPr>
        <w:t>1.4.1.1</w:t>
      </w:r>
      <w:r>
        <w:rPr/>
        <w:t xml:space="preserve"> Техническая схема Зеленчукской ГЭС-ГАЭС построена на объединении части стока рек Большой и Малый Зеленчуки и переброске объединенного стока в р. Кубань. Забор воды осуществляется из водохранилищ трех однотипных водозаборных гидроузлов, расположенных последовательно на реках Большой Зеленчук, Маруха и Аксаут. По деривационным сооружениям вода из водозаборных гидроузлов поступает в бассейн суточного регулирования (БСР) и из бассейна по напорным трубопроводам и туннелям подается на гидроагрегаты в здание ГЭС-ГАЭС, расположенное вблизи русла р. Кубань. Общая площадь гидротехнического комплекса Зеленчукской ГЭС-ГАЭС по проекту составляет 957 га (согласно актам отвода земельных участков). Комплекс предназначен для энергетических целей (выработка эл. Энергии). </w:t>
      </w:r>
    </w:p>
    <w:p>
      <w:pPr>
        <w:pStyle w:val="Heading4"/>
        <w:numPr>
          <w:ilvl w:val="1"/>
          <w:numId w:val="3"/>
        </w:numPr>
        <w:tabs>
          <w:tab w:val="clear" w:pos="0"/>
          <w:tab w:val="left" w:pos="851" w:leader="none"/>
        </w:tabs>
        <w:spacing w:lineRule="auto" w:line="276" w:before="0" w:after="0"/>
        <w:ind w:left="0" w:firstLine="420"/>
        <w:rPr/>
      </w:pPr>
      <w:r>
        <w:rPr/>
        <w:t>И</w:t>
      </w:r>
      <w:r>
        <w:rPr>
          <w:lang w:eastAsia="ru-RU"/>
        </w:rPr>
        <w:t xml:space="preserve">нформация в отношении исполнения договора, </w:t>
      </w:r>
      <w:bookmarkStart w:id="8" w:name="_Hlk46492347"/>
      <w:r>
        <w:rPr>
          <w:lang w:eastAsia="ru-RU"/>
        </w:rPr>
        <w:t xml:space="preserve">которая должна быть учтена при подготовке заявки </w:t>
      </w:r>
      <w:bookmarkEnd w:id="8"/>
      <w:r>
        <w:rPr>
          <w:lang w:eastAsia="ru-RU"/>
        </w:rPr>
        <w:t>(в том числе перечень ресурсов, услуг и документов, предоставляемых заказчиком на этапе исполнения договора)</w:t>
      </w:r>
    </w:p>
    <w:p>
      <w:pPr>
        <w:pStyle w:val="ListParagraph"/>
        <w:tabs>
          <w:tab w:val="clear" w:pos="708"/>
          <w:tab w:val="left" w:pos="851" w:leader="none"/>
        </w:tabs>
        <w:spacing w:lineRule="auto" w:line="276"/>
        <w:ind w:left="0" w:firstLine="420"/>
        <w:jc w:val="both"/>
        <w:rPr/>
      </w:pPr>
      <w:r>
        <w:rPr>
          <w:b/>
        </w:rPr>
        <w:t xml:space="preserve">- </w:t>
      </w:r>
      <w:r>
        <w:rPr/>
        <w:t>Поставка продукции на склад Заказчика, и ее разгрузка должна быть выполнена силами и за счет Поставщика.</w:t>
      </w:r>
    </w:p>
    <w:p>
      <w:pPr>
        <w:pStyle w:val="ListParagraph"/>
        <w:tabs>
          <w:tab w:val="clear" w:pos="708"/>
          <w:tab w:val="left" w:pos="851" w:leader="none"/>
        </w:tabs>
        <w:spacing w:lineRule="auto" w:line="276"/>
        <w:ind w:left="0" w:firstLine="420"/>
        <w:jc w:val="both"/>
        <w:rPr/>
      </w:pPr>
      <w:r>
        <w:rPr/>
        <w:t>- Поставка и разгрузка продукции осуществляется на склад Заказчика находящийся по адресу: Станционный узел Зеленчукской ГЭС-ГАЭС, пгт. Правокубанский, Карачаевский р-он, Карачаево-Черкесская Республика, Российская Федерация, 369244</w:t>
      </w:r>
    </w:p>
    <w:p>
      <w:pPr>
        <w:pStyle w:val="ListParagraph"/>
        <w:tabs>
          <w:tab w:val="clear" w:pos="708"/>
          <w:tab w:val="left" w:pos="851" w:leader="none"/>
        </w:tabs>
        <w:spacing w:lineRule="auto" w:line="276"/>
        <w:ind w:left="0" w:firstLine="420"/>
        <w:jc w:val="both"/>
        <w:rPr/>
      </w:pPr>
      <w:r>
        <w:rPr/>
        <w:t>- Поставка продукции Заказчиком должна быть осуществлена в 1 этап.</w:t>
      </w:r>
    </w:p>
    <w:p>
      <w:pPr>
        <w:pStyle w:val="ListParagraph"/>
        <w:tabs>
          <w:tab w:val="clear" w:pos="708"/>
          <w:tab w:val="left" w:pos="851" w:leader="none"/>
        </w:tabs>
        <w:spacing w:lineRule="auto" w:line="276"/>
        <w:ind w:left="0" w:firstLine="420"/>
        <w:jc w:val="both"/>
        <w:rPr/>
      </w:pPr>
      <w:r>
        <w:rPr/>
        <w:t>- В своей заявке участник закупочной процедуры обязан указать полную спецификацию предложенной к поставке продукции с указанием полного наименования, марки и модели, а также полную стоимость предлагаемой к поставке продукции, включающую в себя цену предлагаемой продукции, затраты на транспортировку, уплату налогов, таможенных пошлин, сборов и других обязательных платежей, а также срок в течении, которого участник готов осуществить поставку предлагаемой продукции.</w:t>
      </w:r>
    </w:p>
    <w:p>
      <w:pPr>
        <w:pStyle w:val="ListParagraph"/>
        <w:tabs>
          <w:tab w:val="clear" w:pos="708"/>
          <w:tab w:val="left" w:pos="851" w:leader="none"/>
        </w:tabs>
        <w:spacing w:lineRule="auto" w:line="276"/>
        <w:ind w:left="0" w:firstLine="420"/>
        <w:jc w:val="both"/>
        <w:rPr/>
      </w:pPr>
      <w:r>
        <w:rPr/>
        <w:t xml:space="preserve">- Не предоставление участником указанных сведений (предоставление неполных сведений), а также неисполнение пунктов 1.6.1 и пунктов №№1.1-1.15 </w:t>
      </w:r>
      <w:bookmarkStart w:id="9" w:name="_Toc75446582_Копия_2_Копия_1"/>
      <w:r>
        <w:rPr>
          <w:color w:val="000000"/>
        </w:rPr>
        <w:t xml:space="preserve">Таблицы 3. «Требования к </w:t>
      </w:r>
      <w:bookmarkEnd w:id="9"/>
      <w:r>
        <w:rPr>
          <w:color w:val="000000"/>
        </w:rPr>
        <w:t>продукции»</w:t>
      </w:r>
      <w:r>
        <w:rPr/>
        <w:t xml:space="preserve"> данного ТТ, дает Заказчику право отклонить заявку участника.</w:t>
      </w:r>
    </w:p>
    <w:p>
      <w:pPr>
        <w:pStyle w:val="Heading4"/>
        <w:numPr>
          <w:ilvl w:val="1"/>
          <w:numId w:val="3"/>
        </w:numPr>
        <w:tabs>
          <w:tab w:val="clear" w:pos="0"/>
          <w:tab w:val="left" w:pos="851" w:leader="none"/>
        </w:tabs>
        <w:spacing w:lineRule="auto" w:line="276" w:before="0" w:after="0"/>
        <w:ind w:left="0" w:firstLine="420"/>
        <w:rPr/>
      </w:pPr>
      <w:bookmarkStart w:id="10" w:name="_Toc75446572"/>
      <w:bookmarkStart w:id="11" w:name="_Toc50125126"/>
      <w:bookmarkStart w:id="12" w:name="_Toc46743510"/>
      <w:bookmarkStart w:id="13" w:name="_Hlk48209761_Копия_1"/>
      <w:bookmarkEnd w:id="11"/>
      <w:bookmarkEnd w:id="12"/>
      <w:bookmarkEnd w:id="13"/>
      <w:r>
        <w:rPr/>
        <w:t>Иные требования и сведения общего характера</w:t>
      </w:r>
      <w:r>
        <w:rPr>
          <w:lang w:val="ru-RU"/>
        </w:rPr>
        <w:t xml:space="preserve"> </w:t>
      </w:r>
      <w:bookmarkEnd w:id="10"/>
    </w:p>
    <w:p>
      <w:pPr>
        <w:pStyle w:val="Normal"/>
        <w:tabs>
          <w:tab w:val="clear" w:pos="708"/>
          <w:tab w:val="left" w:pos="851" w:leader="none"/>
        </w:tabs>
        <w:spacing w:lineRule="auto" w:line="276"/>
        <w:ind w:firstLine="420"/>
        <w:jc w:val="both"/>
        <w:rPr>
          <w:sz w:val="24"/>
          <w:szCs w:val="24"/>
        </w:rPr>
      </w:pPr>
      <w:r>
        <w:rPr>
          <w:sz w:val="24"/>
          <w:szCs w:val="24"/>
        </w:rPr>
        <w:t>1.6.1. Вся поставляемая продукция должна быть новой, иметь заводскую фирменную упаковку предприятия-изготовителя, иметь все необходимые сертификаты качества, соответствовать требованиям нормативных документов РФ, иметь паспорта на русском языке.</w:t>
      </w:r>
    </w:p>
    <w:p>
      <w:pPr>
        <w:pStyle w:val="Normal"/>
        <w:tabs>
          <w:tab w:val="clear" w:pos="708"/>
          <w:tab w:val="left" w:pos="851" w:leader="none"/>
        </w:tabs>
        <w:spacing w:lineRule="auto" w:line="276"/>
        <w:ind w:firstLine="420"/>
        <w:jc w:val="both"/>
        <w:rPr>
          <w:rStyle w:val="Style8"/>
          <w:b w:val="false"/>
          <w:bCs/>
          <w:i w:val="false"/>
          <w:i w:val="false"/>
          <w:sz w:val="24"/>
          <w:szCs w:val="24"/>
          <w:shd w:fill="FFFFFF" w:val="clear"/>
        </w:rPr>
      </w:pPr>
      <w:r>
        <w:rPr>
          <w:sz w:val="24"/>
          <w:szCs w:val="24"/>
        </w:rPr>
        <w:t xml:space="preserve">1.6.2 </w:t>
      </w: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>Поставщик (производитель) должен быть готов за свой счет провести независимую экспертизу поставляемой продукции для подтверждения соответствия требованиям, указанным в документации.</w:t>
      </w:r>
    </w:p>
    <w:p>
      <w:pPr>
        <w:pStyle w:val="Normal"/>
        <w:tabs>
          <w:tab w:val="clear" w:pos="708"/>
          <w:tab w:val="left" w:pos="851" w:leader="none"/>
        </w:tabs>
        <w:ind w:firstLine="420"/>
        <w:jc w:val="both"/>
        <w:rPr>
          <w:rStyle w:val="Style8"/>
          <w:b w:val="false"/>
          <w:bCs/>
          <w:i w:val="false"/>
          <w:i w:val="false"/>
          <w:sz w:val="24"/>
          <w:szCs w:val="24"/>
          <w:shd w:fill="FFFFFF" w:val="clear"/>
        </w:rPr>
      </w:pPr>
      <w:r>
        <w:rPr>
          <w:b w:val="false"/>
          <w:bCs/>
          <w:i w:val="false"/>
          <w:sz w:val="24"/>
          <w:szCs w:val="24"/>
          <w:shd w:fill="FFFFFF" w:val="clear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4" w:name="_Toc75446573"/>
      <w:bookmarkStart w:id="15" w:name="_Toc51339693"/>
      <w:r>
        <w:rPr>
          <w:iCs/>
        </w:rPr>
        <w:t>Требования к продукции</w:t>
      </w:r>
      <w:bookmarkEnd w:id="14"/>
      <w:bookmarkEnd w:id="15"/>
    </w:p>
    <w:p>
      <w:pPr>
        <w:pStyle w:val="Heading4"/>
        <w:numPr>
          <w:ilvl w:val="1"/>
          <w:numId w:val="3"/>
        </w:numPr>
        <w:rPr/>
      </w:pPr>
      <w:bookmarkStart w:id="16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6"/>
    </w:p>
    <w:p>
      <w:pPr>
        <w:pStyle w:val="Heading3"/>
        <w:numPr>
          <w:ilvl w:val="2"/>
          <w:numId w:val="3"/>
        </w:numPr>
        <w:rPr/>
      </w:pPr>
      <w:bookmarkStart w:id="17" w:name="_Toc75446575"/>
      <w:r>
        <w:rPr>
          <w:lang w:val="ru-RU"/>
        </w:rPr>
        <w:t>Перечень и объем закупаемой продукции</w:t>
      </w:r>
      <w:bookmarkEnd w:id="17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8" w:name="_Toc75446576"/>
      <w:bookmarkStart w:id="19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9"/>
      <w:r>
        <w:rPr>
          <w:sz w:val="24"/>
          <w:szCs w:val="24"/>
          <w:lang w:val="ru-RU"/>
        </w:rPr>
        <w:t>и объем закупаемой продукции</w:t>
      </w:r>
      <w:bookmarkEnd w:id="18"/>
    </w:p>
    <w:tbl>
      <w:tblPr>
        <w:tblW w:w="1014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33"/>
        <w:gridCol w:w="6526"/>
        <w:gridCol w:w="1300"/>
        <w:gridCol w:w="1480"/>
      </w:tblGrid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Cтальные изделия, расходный материал, инструмент, лаки и краски: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1.1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Труба оцинкованная профильная 80*80*3, Марка Ст3, ГОСТ 8639-82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пог.м/кг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900/6615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1.2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color w:val="000000"/>
                <w:sz w:val="24"/>
                <w:szCs w:val="24"/>
                <w:shd w:fill="FFFF00" w:val="clear"/>
              </w:rPr>
            </w:pPr>
            <w:r>
              <w:rPr>
                <w:color w:val="000000"/>
                <w:sz w:val="24"/>
                <w:szCs w:val="24"/>
              </w:rPr>
              <w:t>Уголок оцинкованный 40х40х4 мм, Марка Ст3, ГОСТ 8509-93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пог.м/кг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515/2245</w:t>
            </w:r>
          </w:p>
        </w:tc>
      </w:tr>
      <w:tr>
        <w:trPr>
          <w:trHeight w:val="299" w:hRule="atLeast"/>
        </w:trPr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1.3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0" w:after="0"/>
              <w:ind w:left="57" w:hanging="0"/>
              <w:rPr>
                <w:sz w:val="24"/>
                <w:szCs w:val="24"/>
              </w:rPr>
            </w:pPr>
            <w:r>
              <w:rPr>
                <w:b w:val="false"/>
                <w:color w:val="000000"/>
                <w:sz w:val="24"/>
                <w:szCs w:val="24"/>
              </w:rPr>
              <w:t>Пруток оцинкованный горячекатаный d=10 мм, марка Ст0, ГОСТ 2590-2006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пог.м/кг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780/481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1.4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0" w:after="0"/>
              <w:ind w:left="57" w:hanging="0"/>
              <w:rPr>
                <w:sz w:val="24"/>
                <w:szCs w:val="24"/>
              </w:rPr>
            </w:pPr>
            <w:r>
              <w:rPr>
                <w:b w:val="false"/>
                <w:color w:val="000000"/>
                <w:sz w:val="24"/>
                <w:szCs w:val="24"/>
              </w:rPr>
              <w:t>Полоса оцинкованная 40×4 мм, Марка Ст3, ГОСТ 9.307-2021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пог.м/кг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50/63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1.5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color w:val="000000"/>
                <w:sz w:val="24"/>
                <w:szCs w:val="24"/>
                <w:shd w:fill="FFFF00" w:val="clear"/>
              </w:rPr>
            </w:pPr>
            <w:r>
              <w:rPr>
                <w:color w:val="000000"/>
                <w:sz w:val="24"/>
                <w:szCs w:val="24"/>
              </w:rPr>
              <w:t>Сверло по металлу Ду 11мм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1.6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Электроды Esab OK46 d=3 мм 1 кг или аналог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1.7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Круг отрезной, 150х2х22,2 CUTOR или аналог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1.8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Круг отрезной, 125х1,2х22,2 CUTOR или аналог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1.9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1C2126"/>
                <w:sz w:val="24"/>
                <w:szCs w:val="24"/>
              </w:rPr>
              <w:t xml:space="preserve">Диск отрезной по металлу Cutop Profi Plus Т41-355 х 3.5 х 25.4 мм </w:t>
            </w:r>
            <w:r>
              <w:rPr>
                <w:color w:val="000000"/>
                <w:sz w:val="24"/>
                <w:szCs w:val="24"/>
              </w:rPr>
              <w:t>или аналог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1.10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1C2126"/>
                <w:sz w:val="24"/>
                <w:szCs w:val="24"/>
              </w:rPr>
              <w:t xml:space="preserve">Диск зачистной полисерный коралловый 125х22.2 Х-PETR </w:t>
            </w:r>
            <w:r>
              <w:rPr>
                <w:color w:val="000000"/>
                <w:sz w:val="24"/>
                <w:szCs w:val="24"/>
              </w:rPr>
              <w:t>или аналог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1.11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20" w:leader="none"/>
              </w:tabs>
              <w:spacing w:before="0" w:after="0"/>
              <w:ind w:left="57" w:hanging="0"/>
              <w:rPr>
                <w:sz w:val="24"/>
                <w:szCs w:val="24"/>
              </w:rPr>
            </w:pPr>
            <w:r>
              <w:rPr>
                <w:b w:val="false"/>
                <w:color w:val="1C2126"/>
                <w:sz w:val="24"/>
                <w:szCs w:val="24"/>
              </w:rPr>
              <w:t>Набор магнитных фиксаторов Start HOLD 2 (6шт)</w:t>
            </w:r>
            <w:r>
              <w:rPr/>
              <w:t xml:space="preserve"> </w:t>
            </w:r>
            <w:r>
              <w:rPr>
                <w:b w:val="false"/>
                <w:color w:val="1C2126"/>
                <w:sz w:val="24"/>
                <w:szCs w:val="24"/>
              </w:rPr>
              <w:t>или аналог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1.12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0" w:after="0"/>
              <w:ind w:left="57" w:hanging="0"/>
              <w:rPr>
                <w:sz w:val="24"/>
                <w:szCs w:val="24"/>
                <w:lang w:val="ru-RU"/>
              </w:rPr>
            </w:pPr>
            <w:r>
              <w:rPr>
                <w:b w:val="false"/>
                <w:color w:val="000000"/>
                <w:sz w:val="24"/>
                <w:szCs w:val="24"/>
              </w:rPr>
              <w:t>Маска сварщика с турбоблоком собранная, КЕДР К-704т pro,  черная, арт. 8004493</w:t>
            </w:r>
            <w:r>
              <w:rPr>
                <w:b w:val="false"/>
                <w:color w:val="000000"/>
                <w:sz w:val="24"/>
                <w:szCs w:val="24"/>
                <w:lang w:val="ru-RU"/>
              </w:rPr>
              <w:t xml:space="preserve"> или аналог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1.13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0" w:after="0"/>
              <w:ind w:left="113" w:hanging="0"/>
              <w:rPr>
                <w:sz w:val="24"/>
                <w:szCs w:val="24"/>
                <w:lang w:val="ru-RU"/>
              </w:rPr>
            </w:pPr>
            <w:r>
              <w:rPr>
                <w:b w:val="false"/>
                <w:color w:val="1C2126"/>
                <w:sz w:val="24"/>
                <w:szCs w:val="24"/>
              </w:rPr>
              <w:t>Инверторный сварочный аппарат Ресанта САИ250К 65/38</w:t>
            </w:r>
            <w:r>
              <w:rPr>
                <w:b w:val="false"/>
                <w:color w:val="1C2126"/>
                <w:sz w:val="24"/>
                <w:szCs w:val="24"/>
                <w:lang w:val="ru-RU"/>
              </w:rPr>
              <w:t xml:space="preserve"> или аналог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1.14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1C2126"/>
                <w:sz w:val="24"/>
                <w:szCs w:val="24"/>
              </w:rPr>
              <w:t>УШМ 125 (220 В)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1.15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1C2126"/>
                <w:sz w:val="24"/>
                <w:szCs w:val="24"/>
              </w:rPr>
              <w:t>УШМ 150 (220 В)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1.16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0" w:after="0"/>
              <w:ind w:left="57" w:hanging="0"/>
              <w:rPr>
                <w:sz w:val="24"/>
                <w:szCs w:val="24"/>
                <w:lang w:val="ru-RU"/>
              </w:rPr>
            </w:pPr>
            <w:r>
              <w:rPr>
                <w:b w:val="false"/>
                <w:color w:val="000000"/>
                <w:sz w:val="24"/>
                <w:szCs w:val="24"/>
              </w:rPr>
              <w:t>Пила отрезная по металлу P.I.T. МАСТЕР PCM355-C1</w:t>
            </w:r>
            <w:r>
              <w:rPr>
                <w:b w:val="false"/>
                <w:color w:val="000000"/>
                <w:sz w:val="24"/>
                <w:szCs w:val="24"/>
                <w:lang w:val="ru-RU"/>
              </w:rPr>
              <w:t xml:space="preserve"> или аналог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1.17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Кисть малярная 50мм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1.18</w:t>
            </w:r>
          </w:p>
        </w:tc>
        <w:tc>
          <w:tcPr>
            <w:tcW w:w="6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Грунт-эмаль 3в1 по ржавчине, быстросохнущая, серая, 1,9кг 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20" w:name="_Toc75446578"/>
      <w:bookmarkStart w:id="21" w:name="_Toc51339696"/>
      <w:r>
        <w:rPr>
          <w:lang w:val="ru-RU"/>
        </w:rPr>
        <w:t xml:space="preserve">Требования </w:t>
      </w:r>
      <w:bookmarkEnd w:id="21"/>
      <w:r>
        <w:rPr>
          <w:lang w:val="ru-RU"/>
        </w:rPr>
        <w:t>к срокам поставки продукции и оказания сопутствующих услуг</w:t>
      </w:r>
      <w:bookmarkEnd w:id="20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2" w:name="_Toc75446579"/>
      <w:bookmarkStart w:id="23" w:name="_Toc51339697"/>
      <w:bookmarkStart w:id="24" w:name="_Toc50125127"/>
      <w:bookmarkStart w:id="25" w:name="_Toc50125126_Копия_1"/>
      <w:bookmarkEnd w:id="2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6" w:name="_Hlk50465284"/>
      <w:r>
        <w:rPr>
          <w:sz w:val="24"/>
          <w:szCs w:val="24"/>
        </w:rPr>
        <w:t xml:space="preserve">Требования по срокам </w:t>
      </w:r>
      <w:bookmarkEnd w:id="23"/>
      <w:bookmarkEnd w:id="24"/>
      <w:bookmarkEnd w:id="26"/>
      <w:r>
        <w:rPr>
          <w:sz w:val="24"/>
          <w:szCs w:val="24"/>
          <w:lang w:val="ru-RU"/>
        </w:rPr>
        <w:t>поставки продукции</w:t>
      </w:r>
      <w:bookmarkEnd w:id="22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31"/>
        <w:gridCol w:w="2549"/>
        <w:gridCol w:w="2980"/>
        <w:gridCol w:w="3115"/>
      </w:tblGrid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-57" w:hanging="0"/>
              <w:jc w:val="center"/>
              <w:rPr/>
            </w:pPr>
            <w:r>
              <w:rPr/>
              <w:t>1.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46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Cтальные изделия, расходный материал, инструмент, лаки и краски: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 30 календарных дней с даты подписания договора</w:t>
            </w:r>
          </w:p>
        </w:tc>
      </w:tr>
    </w:tbl>
    <w:p>
      <w:pPr>
        <w:sectPr>
          <w:headerReference w:type="even" r:id="rId4"/>
          <w:headerReference w:type="default" r:id="rId5"/>
          <w:headerReference w:type="first" r:id="rId6"/>
          <w:footerReference w:type="default" r:id="rId7"/>
          <w:footerReference w:type="first" r:id="rId8"/>
          <w:type w:val="nextPage"/>
          <w:pgSz w:w="11906" w:h="16838"/>
          <w:pgMar w:left="1134" w:right="851" w:gutter="0" w:header="315" w:top="705" w:footer="295" w:bottom="833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7" w:name="_Toc75446581"/>
      <w:bookmarkStart w:id="28" w:name="_Toc46743511"/>
      <w:bookmarkStart w:id="29" w:name="_Toc51339698"/>
      <w:bookmarkEnd w:id="29"/>
      <w:r>
        <w:rPr/>
        <w:t xml:space="preserve">Требования к </w:t>
      </w:r>
      <w:bookmarkEnd w:id="28"/>
      <w:r>
        <w:rPr>
          <w:lang w:val="ru-RU"/>
        </w:rPr>
        <w:t>качеству продукции</w:t>
      </w:r>
      <w:bookmarkEnd w:id="27"/>
    </w:p>
    <w:p>
      <w:pPr>
        <w:pStyle w:val="Heading1"/>
        <w:numPr>
          <w:ilvl w:val="0"/>
          <w:numId w:val="0"/>
        </w:numPr>
        <w:spacing w:before="240" w:after="60"/>
        <w:ind w:left="0" w:hanging="0"/>
        <w:rPr>
          <w:bCs/>
          <w:sz w:val="24"/>
          <w:szCs w:val="24"/>
        </w:rPr>
      </w:pPr>
      <w:bookmarkStart w:id="30" w:name="_Toc75446582_Копия_2"/>
      <w:r>
        <w:rPr>
          <w:bCs/>
          <w:sz w:val="24"/>
          <w:szCs w:val="24"/>
        </w:rPr>
        <w:t>Таблица 3. Требования к про</w:t>
      </w:r>
      <w:bookmarkEnd w:id="30"/>
      <w:r>
        <w:rPr>
          <w:bCs/>
          <w:sz w:val="24"/>
          <w:szCs w:val="24"/>
        </w:rPr>
        <w:t>дукции</w:t>
      </w:r>
    </w:p>
    <w:tbl>
      <w:tblPr>
        <w:tblW w:w="15418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1" w:val="04a0" w:noHBand="0" w:lastColumn="0" w:firstColumn="1" w:lastRow="0" w:firstRow="1"/>
      </w:tblPr>
      <w:tblGrid>
        <w:gridCol w:w="1162"/>
        <w:gridCol w:w="3264"/>
        <w:gridCol w:w="2669"/>
        <w:gridCol w:w="2840"/>
        <w:gridCol w:w="3083"/>
        <w:gridCol w:w="2399"/>
      </w:tblGrid>
      <w:tr>
        <w:trPr>
          <w:trHeight w:val="585" w:hRule="atLeast"/>
        </w:trPr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параметра</w:t>
            </w:r>
          </w:p>
        </w:tc>
        <w:tc>
          <w:tcPr>
            <w:tcW w:w="2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заказчика</w:t>
            </w:r>
          </w:p>
        </w:tc>
        <w:tc>
          <w:tcPr>
            <w:tcW w:w="5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720" w:hRule="atLeast"/>
        </w:trPr>
        <w:tc>
          <w:tcPr>
            <w:tcW w:w="116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6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3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>
        <w:trPr/>
        <w:tc>
          <w:tcPr>
            <w:tcW w:w="1541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85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rPr/>
            </w:pPr>
            <w:r>
              <w:rPr>
                <w:b/>
                <w:bCs/>
                <w:sz w:val="24"/>
                <w:szCs w:val="24"/>
              </w:rPr>
              <w:t>Cтальные изделия, расходный материал, инструмент, лаки и краски:</w:t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621" w:hRule="atLeast"/>
        </w:trPr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Труба оцинкованная профильная 80*80*3, Марка Ст3, ГОСТ 8639-82</w:t>
            </w:r>
          </w:p>
        </w:tc>
        <w:tc>
          <w:tcPr>
            <w:tcW w:w="2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классу, марке, размерам, ГОСТу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Уголок оцинкованный 40х40х4 мм, Марка Ст3, ГОСТ 8509-93</w:t>
            </w:r>
          </w:p>
        </w:tc>
        <w:tc>
          <w:tcPr>
            <w:tcW w:w="2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классу, марке, размерам, ГОСТу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left="57" w:hanging="0"/>
              <w:rPr>
                <w:sz w:val="24"/>
                <w:szCs w:val="24"/>
              </w:rPr>
            </w:pPr>
            <w:r>
              <w:rPr>
                <w:b w:val="false"/>
                <w:color w:val="000000"/>
                <w:sz w:val="24"/>
                <w:szCs w:val="24"/>
              </w:rPr>
              <w:t>Пруток оцинкованный горячекатаный d=10 мм, марка Ст0, ГОСТ 2590-2006</w:t>
            </w:r>
          </w:p>
        </w:tc>
        <w:tc>
          <w:tcPr>
            <w:tcW w:w="2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классу, марке, диаметру, ГОСТу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left="57" w:hanging="0"/>
              <w:rPr>
                <w:sz w:val="24"/>
                <w:szCs w:val="24"/>
              </w:rPr>
            </w:pPr>
            <w:r>
              <w:rPr>
                <w:b w:val="false"/>
                <w:color w:val="000000"/>
                <w:sz w:val="24"/>
                <w:szCs w:val="24"/>
              </w:rPr>
              <w:t>Полоса оцинкованная 40×4 мм, Марка Ст3, ГОСТ 9.307-2021</w:t>
            </w:r>
          </w:p>
        </w:tc>
        <w:tc>
          <w:tcPr>
            <w:tcW w:w="2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классу, марке, размерам, ГОСТу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/>
            </w:pPr>
            <w:r>
              <w:rPr/>
              <w:t>1.5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Сверло по металлу Ду 11мм</w:t>
            </w:r>
          </w:p>
        </w:tc>
        <w:tc>
          <w:tcPr>
            <w:tcW w:w="2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ТУ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/>
            </w:pPr>
            <w:r>
              <w:rPr/>
              <w:t>1.6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Электроды Esab OK46 d=3 мм 1 кг</w:t>
            </w:r>
          </w:p>
        </w:tc>
        <w:tc>
          <w:tcPr>
            <w:tcW w:w="2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ТУ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/>
            </w:pPr>
            <w:r>
              <w:rPr/>
              <w:t>1.7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Круг отрезной, 150х2х22,2 CUTOR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ТУ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/>
            </w:pPr>
            <w:r>
              <w:rPr/>
              <w:t>1.8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Круг отрезной, 125х1,2х22,2 CUTOR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ТУ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/>
            </w:pPr>
            <w:r>
              <w:rPr/>
              <w:t>1.9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1C2126"/>
                <w:sz w:val="24"/>
                <w:szCs w:val="24"/>
              </w:rPr>
              <w:t>Диск отрезной по металлу Cutop Profi Plus Т41-355 х 3.5 х 25.4 мм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ТУ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/>
            </w:pPr>
            <w:r>
              <w:rPr/>
              <w:t>1.10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1C2126"/>
                <w:sz w:val="24"/>
                <w:szCs w:val="24"/>
              </w:rPr>
              <w:t>Диск зачистной полисерный коралловый 125х22.2 Х-PETR</w:t>
            </w:r>
          </w:p>
        </w:tc>
        <w:tc>
          <w:tcPr>
            <w:tcW w:w="2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ТУ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/>
            </w:pPr>
            <w:r>
              <w:rPr/>
              <w:t>1.11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20" w:leader="none"/>
              </w:tabs>
              <w:spacing w:before="120" w:after="60"/>
              <w:ind w:left="57" w:hanging="0"/>
              <w:rPr>
                <w:sz w:val="24"/>
                <w:szCs w:val="24"/>
              </w:rPr>
            </w:pPr>
            <w:r>
              <w:rPr>
                <w:b w:val="false"/>
                <w:color w:val="1C2126"/>
                <w:sz w:val="24"/>
                <w:szCs w:val="24"/>
              </w:rPr>
              <w:t>Набор магнитных фиксаторов Start HOLD 2 (6шт)</w:t>
            </w:r>
          </w:p>
        </w:tc>
        <w:tc>
          <w:tcPr>
            <w:tcW w:w="2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ТУ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/>
            </w:pPr>
            <w:r>
              <w:rPr/>
              <w:t>1.12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left="57" w:hanging="0"/>
              <w:rPr>
                <w:sz w:val="24"/>
                <w:szCs w:val="24"/>
              </w:rPr>
            </w:pPr>
            <w:r>
              <w:rPr>
                <w:b w:val="false"/>
                <w:color w:val="000000"/>
                <w:sz w:val="24"/>
                <w:szCs w:val="24"/>
              </w:rPr>
              <w:t>Маска сварщика с турбоблоком собранная, КЕДР К-704т pro,  черная, арт. 8004493</w:t>
            </w:r>
          </w:p>
        </w:tc>
        <w:tc>
          <w:tcPr>
            <w:tcW w:w="2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ТУ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/>
            </w:pPr>
            <w:r>
              <w:rPr/>
              <w:t>1.13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left="113" w:hanging="0"/>
              <w:rPr>
                <w:sz w:val="24"/>
                <w:szCs w:val="24"/>
              </w:rPr>
            </w:pPr>
            <w:r>
              <w:rPr>
                <w:b w:val="false"/>
                <w:color w:val="1C2126"/>
                <w:sz w:val="24"/>
                <w:szCs w:val="24"/>
              </w:rPr>
              <w:t>Инверторный сварочный аппарат Ресанта САИ250К 65/38</w:t>
            </w:r>
          </w:p>
        </w:tc>
        <w:tc>
          <w:tcPr>
            <w:tcW w:w="2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ТУ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/>
            </w:pPr>
            <w:r>
              <w:rPr/>
              <w:t>1.14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1C2126"/>
                <w:sz w:val="24"/>
                <w:szCs w:val="24"/>
              </w:rPr>
              <w:t>УШМ 125 (220 В)</w:t>
            </w:r>
          </w:p>
        </w:tc>
        <w:tc>
          <w:tcPr>
            <w:tcW w:w="2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ТУ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/>
            </w:pPr>
            <w:r>
              <w:rPr/>
              <w:t>1.15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1C2126"/>
                <w:sz w:val="24"/>
                <w:szCs w:val="24"/>
              </w:rPr>
              <w:t>УШМ 150 (220 В)</w:t>
            </w:r>
          </w:p>
        </w:tc>
        <w:tc>
          <w:tcPr>
            <w:tcW w:w="2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202020"/>
                <w:sz w:val="24"/>
                <w:szCs w:val="24"/>
              </w:rPr>
              <w:t>Соответствие ТУ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/>
            </w:pPr>
            <w:r>
              <w:rPr/>
              <w:t>1.16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left="57" w:hanging="0"/>
              <w:rPr>
                <w:sz w:val="24"/>
                <w:szCs w:val="24"/>
              </w:rPr>
            </w:pPr>
            <w:r>
              <w:rPr>
                <w:b w:val="false"/>
                <w:color w:val="000000"/>
                <w:sz w:val="24"/>
                <w:szCs w:val="24"/>
              </w:rPr>
              <w:t>Пила отрезная по металлу P.I.T. МАСТЕР PCM355-C1</w:t>
            </w:r>
          </w:p>
        </w:tc>
        <w:tc>
          <w:tcPr>
            <w:tcW w:w="2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ТУ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/>
            </w:pPr>
            <w:r>
              <w:rPr/>
              <w:t>1.17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Кисть малярная 50мм</w:t>
            </w:r>
          </w:p>
        </w:tc>
        <w:tc>
          <w:tcPr>
            <w:tcW w:w="2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ТУ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/>
            </w:pPr>
            <w:r>
              <w:rPr/>
              <w:t>1.18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Грунт-эмаль 3в1 по ржавчине, быстросохнущая, серая, 1,9кг</w:t>
            </w:r>
          </w:p>
        </w:tc>
        <w:tc>
          <w:tcPr>
            <w:tcW w:w="2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ТУ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6"/>
              <w:widowControl w:val="false"/>
              <w:spacing w:before="0" w:after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sectPr>
          <w:headerReference w:type="default" r:id="rId9"/>
          <w:headerReference w:type="first" r:id="rId10"/>
          <w:footerReference w:type="default" r:id="rId11"/>
          <w:footerReference w:type="first" r:id="rId12"/>
          <w:type w:val="nextPage"/>
          <w:pgSz w:orient="landscape" w:w="16838" w:h="11906"/>
          <w:pgMar w:left="992" w:right="567" w:gutter="0" w:header="270" w:top="660" w:footer="221" w:bottom="896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0"/>
        </w:numPr>
        <w:ind w:left="357" w:hanging="0"/>
        <w:jc w:val="center"/>
        <w:rPr>
          <w:lang w:val="ru-RU"/>
        </w:rPr>
      </w:pPr>
      <w:r>
        <w:rPr>
          <w:lang w:val="ru-RU"/>
        </w:rPr>
      </w:r>
      <w:bookmarkStart w:id="31" w:name="_Toc51339698_Копия_1_Копия_1"/>
      <w:bookmarkStart w:id="32" w:name="_Toc51339698_Копия_1_Копия_1"/>
      <w:bookmarkEnd w:id="32"/>
    </w:p>
    <w:p>
      <w:pPr>
        <w:pStyle w:val="Normal"/>
        <w:spacing w:before="0" w:after="120"/>
        <w:ind w:left="284" w:hanging="0"/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Требования к документации по ценообразованию на этапе закупки.</w:t>
      </w:r>
    </w:p>
    <w:p>
      <w:pPr>
        <w:pStyle w:val="Normal"/>
        <w:ind w:left="284" w:hanging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Коммерческое предложение участника закупки должно содержать спецификацию предложенных к поставке товарно-материальных ценностей в соответствии с приложением №1 к настоящим Техническим требованиям.</w:t>
      </w:r>
    </w:p>
    <w:p>
      <w:pPr>
        <w:pStyle w:val="Normal"/>
        <w:spacing w:before="0" w:after="120"/>
        <w:ind w:left="284" w:hanging="0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4.Приложения</w:t>
      </w:r>
    </w:p>
    <w:p>
      <w:pPr>
        <w:pStyle w:val="Normal"/>
        <w:spacing w:before="0" w:after="120"/>
        <w:ind w:left="284" w:hanging="0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Приложение №1- Образец формы спецификации предлагаемых к поставке товарно-материальных ценностей на 1 листе.</w:t>
      </w:r>
    </w:p>
    <w:p>
      <w:pPr>
        <w:pStyle w:val="Normal"/>
        <w:spacing w:before="0" w:after="120"/>
        <w:ind w:left="284" w:hanging="0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left="284" w:hanging="0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left="284" w:hanging="0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Spacing"/>
        <w:jc w:val="both"/>
        <w:rPr>
          <w:b/>
        </w:rPr>
      </w:pPr>
      <w:r>
        <w:rPr>
          <w:b/>
        </w:rPr>
      </w:r>
      <w:bookmarkStart w:id="33" w:name="_GoBack"/>
      <w:bookmarkStart w:id="34" w:name="_GoBack"/>
      <w:bookmarkEnd w:id="34"/>
    </w:p>
    <w:p>
      <w:pPr>
        <w:sectPr>
          <w:headerReference w:type="default" r:id="rId13"/>
          <w:headerReference w:type="first" r:id="rId14"/>
          <w:footerReference w:type="default" r:id="rId15"/>
          <w:footerReference w:type="first" r:id="rId16"/>
          <w:type w:val="nextPage"/>
          <w:pgSz w:w="11906" w:h="16838"/>
          <w:pgMar w:left="1134" w:right="851" w:gutter="0" w:header="680" w:top="1134" w:footer="414" w:bottom="1073"/>
          <w:pgNumType w:fmt="decimal"/>
          <w:formProt w:val="false"/>
          <w:textDirection w:val="lrTb"/>
          <w:docGrid w:type="default" w:linePitch="381" w:charSpace="0"/>
        </w:sectPr>
        <w:pStyle w:val="NoSpacing"/>
        <w:ind w:left="284" w:hanging="0"/>
        <w:jc w:val="both"/>
        <w:rPr/>
      </w:pPr>
      <w:r>
        <w:rPr/>
      </w:r>
      <w:r>
        <w:br w:type="page"/>
      </w:r>
    </w:p>
    <w:p>
      <w:pPr>
        <w:pStyle w:val="Normal"/>
        <w:spacing w:before="0" w:after="0"/>
        <w:ind w:left="5038" w:hanging="0"/>
        <w:contextualSpacing/>
        <w:jc w:val="right"/>
        <w:rPr>
          <w:rFonts w:eastAsia="Calibri"/>
          <w:b/>
        </w:rPr>
      </w:pPr>
      <w:r>
        <w:rPr>
          <w:bCs/>
          <w:sz w:val="24"/>
          <w:szCs w:val="24"/>
        </w:rPr>
        <w:t>Приложение №1</w:t>
      </w:r>
    </w:p>
    <w:p>
      <w:pPr>
        <w:pStyle w:val="Normal"/>
        <w:spacing w:before="0" w:after="0"/>
        <w:contextualSpacing/>
        <w:jc w:val="center"/>
        <w:rPr/>
      </w:pPr>
      <w:r>
        <w:rPr>
          <w:rFonts w:eastAsia="Calibri"/>
          <w:b/>
        </w:rPr>
        <w:t>Спецификация</w:t>
      </w:r>
    </w:p>
    <w:p>
      <w:pPr>
        <w:pStyle w:val="Normal"/>
        <w:spacing w:before="0" w:after="0"/>
        <w:ind w:left="735" w:hanging="0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0"/>
        <w:ind w:left="735" w:hanging="0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tbl>
      <w:tblPr>
        <w:tblpPr w:bottomFromText="0" w:horzAnchor="margin" w:leftFromText="180" w:rightFromText="180" w:tblpX="0" w:tblpY="1873" w:topFromText="0" w:vertAnchor="page"/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5a0" w:noHBand="0" w:lastColumn="1" w:firstColumn="1" w:lastRow="0" w:firstRow="1"/>
      </w:tblPr>
      <w:tblGrid>
        <w:gridCol w:w="607"/>
        <w:gridCol w:w="1683"/>
        <w:gridCol w:w="1056"/>
        <w:gridCol w:w="1585"/>
        <w:gridCol w:w="1782"/>
        <w:gridCol w:w="713"/>
        <w:gridCol w:w="1135"/>
        <w:gridCol w:w="1140"/>
        <w:gridCol w:w="1156"/>
        <w:gridCol w:w="752"/>
        <w:gridCol w:w="1274"/>
        <w:gridCol w:w="1969"/>
      </w:tblGrid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№ </w:t>
            </w:r>
            <w:r>
              <w:rPr>
                <w:rFonts w:eastAsia="Calibri"/>
                <w:sz w:val="24"/>
                <w:szCs w:val="24"/>
              </w:rPr>
              <w:t>п/п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Наименование позиции товара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Тип, марка, артикул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Изготовитель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характеристики (описание)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Ед. изм.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i/>
                <w:i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Цена одной единицы товара руб. без НДС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Цена одной единицы товара руб. с НДС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поставки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Кол-во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Итоговая стоимость позиции товара руб. с НДС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документов, подтверждающих качество Оборудования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…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ИТОГО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х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х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left="5038" w:hanging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b/>
          <w:sz w:val="24"/>
          <w:szCs w:val="24"/>
          <w:u w:val="single"/>
        </w:rPr>
        <w:t>Примечание</w:t>
      </w:r>
      <w:r>
        <w:rPr>
          <w:sz w:val="24"/>
          <w:szCs w:val="24"/>
        </w:rPr>
        <w:t>: в случае закупки наименований комплектом, в спецификации 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tabs>
          <w:tab w:val="clear" w:pos="708"/>
          <w:tab w:val="left" w:pos="5100" w:leader="none"/>
        </w:tabs>
        <w:spacing w:before="0" w:after="0"/>
        <w:contextualSpacing/>
        <w:rPr>
          <w:sz w:val="24"/>
          <w:szCs w:val="24"/>
        </w:rPr>
      </w:pPr>
      <w:r>
        <w:rPr>
          <w:b/>
          <w:sz w:val="24"/>
          <w:szCs w:val="24"/>
        </w:rPr>
        <w:t>*</w:t>
      </w:r>
      <w:r>
        <w:rPr>
          <w:sz w:val="24"/>
          <w:szCs w:val="24"/>
        </w:rPr>
        <w:t xml:space="preserve"> в случае включения в спецификацию стоимости за единицу оборудования, МТР с учетом доставки, указать данное условие</w:t>
      </w:r>
    </w:p>
    <w:sectPr>
      <w:headerReference w:type="default" r:id="rId17"/>
      <w:headerReference w:type="first" r:id="rId18"/>
      <w:footerReference w:type="default" r:id="rId19"/>
      <w:footerReference w:type="first" r:id="rId20"/>
      <w:type w:val="nextPage"/>
      <w:pgSz w:orient="landscape" w:w="16838" w:h="11906"/>
      <w:pgMar w:left="1134" w:right="851" w:gutter="0" w:header="0" w:top="680" w:footer="353" w:bottom="112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  <w:shd w:fill="FFFFFF" w:val="clear"/>
      </w:rPr>
    </w:pPr>
    <w:r>
      <w:rPr>
        <w:sz w:val="24"/>
        <w:szCs w:val="24"/>
        <w:shd w:fill="FFFFFF" w:val="clear"/>
      </w:rPr>
      <w:fldChar w:fldCharType="begin"/>
    </w:r>
    <w:r>
      <w:rPr>
        <w:sz w:val="24"/>
        <w:shd w:fill="FFFFFF" w:val="clear"/>
        <w:szCs w:val="24"/>
      </w:rPr>
      <w:instrText xml:space="preserve"> PAGE </w:instrText>
    </w:r>
    <w:r>
      <w:rPr>
        <w:sz w:val="24"/>
        <w:shd w:fill="FFFFFF" w:val="clear"/>
        <w:szCs w:val="24"/>
      </w:rPr>
      <w:fldChar w:fldCharType="separate"/>
    </w:r>
    <w:r>
      <w:rPr>
        <w:sz w:val="24"/>
        <w:shd w:fill="FFFFFF" w:val="clear"/>
        <w:szCs w:val="24"/>
      </w:rPr>
      <w:t>1</w:t>
    </w:r>
    <w:r>
      <w:rPr>
        <w:sz w:val="24"/>
        <w:shd w:fill="FFFFFF" w:val="clear"/>
        <w:szCs w:val="24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  <w:shd w:fill="FFFFFF" w:val="clear"/>
      </w:rPr>
    </w:pPr>
    <w:r>
      <w:rPr>
        <w:sz w:val="24"/>
        <w:szCs w:val="24"/>
        <w:shd w:fill="FFFFFF" w:val="clear"/>
      </w:rPr>
      <w:fldChar w:fldCharType="begin"/>
    </w:r>
    <w:r>
      <w:rPr>
        <w:sz w:val="24"/>
        <w:shd w:fill="FFFFFF" w:val="clear"/>
        <w:szCs w:val="24"/>
      </w:rPr>
      <w:instrText xml:space="preserve"> PAGE </w:instrText>
    </w:r>
    <w:r>
      <w:rPr>
        <w:sz w:val="24"/>
        <w:shd w:fill="FFFFFF" w:val="clear"/>
        <w:szCs w:val="24"/>
      </w:rPr>
      <w:fldChar w:fldCharType="separate"/>
    </w:r>
    <w:r>
      <w:rPr>
        <w:sz w:val="24"/>
        <w:shd w:fill="FFFFFF" w:val="clear"/>
        <w:szCs w:val="24"/>
      </w:rPr>
      <w:t>5</w:t>
    </w:r>
    <w:r>
      <w:rPr>
        <w:sz w:val="24"/>
        <w:shd w:fill="FFFFFF" w:val="clear"/>
        <w:szCs w:val="24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  <w:shd w:fill="FFFFFF" w:val="clear"/>
      </w:rPr>
    </w:pPr>
    <w:r>
      <w:rPr>
        <w:sz w:val="24"/>
        <w:szCs w:val="24"/>
        <w:shd w:fill="FFFFFF" w:val="clear"/>
      </w:rPr>
      <w:fldChar w:fldCharType="begin"/>
    </w:r>
    <w:r>
      <w:rPr>
        <w:sz w:val="24"/>
        <w:shd w:fill="FFFFFF" w:val="clear"/>
        <w:szCs w:val="24"/>
      </w:rPr>
      <w:instrText xml:space="preserve"> PAGE </w:instrText>
    </w:r>
    <w:r>
      <w:rPr>
        <w:sz w:val="24"/>
        <w:shd w:fill="FFFFFF" w:val="clear"/>
        <w:szCs w:val="24"/>
      </w:rPr>
      <w:fldChar w:fldCharType="separate"/>
    </w:r>
    <w:r>
      <w:rPr>
        <w:sz w:val="24"/>
        <w:shd w:fill="FFFFFF" w:val="clear"/>
        <w:szCs w:val="24"/>
      </w:rPr>
      <w:t>7</w:t>
    </w:r>
    <w:r>
      <w:rPr>
        <w:sz w:val="24"/>
        <w:shd w:fill="FFFFFF" w:val="clear"/>
        <w:szCs w:val="24"/>
      </w:rPr>
      <w:fldChar w:fldCharType="end"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  <w:shd w:fill="FFFFFF" w:val="clear"/>
      </w:rPr>
    </w:pPr>
    <w:r>
      <w:rPr>
        <w:sz w:val="24"/>
        <w:szCs w:val="24"/>
        <w:shd w:fill="FFFFFF" w:val="clear"/>
      </w:rPr>
      <w:fldChar w:fldCharType="begin"/>
    </w:r>
    <w:r>
      <w:rPr>
        <w:sz w:val="24"/>
        <w:shd w:fill="FFFFFF" w:val="clear"/>
        <w:szCs w:val="24"/>
      </w:rPr>
      <w:instrText xml:space="preserve"> PAGE </w:instrText>
    </w:r>
    <w:r>
      <w:rPr>
        <w:sz w:val="24"/>
        <w:shd w:fill="FFFFFF" w:val="clear"/>
        <w:szCs w:val="24"/>
      </w:rPr>
      <w:fldChar w:fldCharType="separate"/>
    </w:r>
    <w:r>
      <w:rPr>
        <w:sz w:val="24"/>
        <w:shd w:fill="FFFFFF" w:val="clear"/>
        <w:szCs w:val="24"/>
      </w:rPr>
      <w:t>8</w:t>
    </w:r>
    <w:r>
      <w:rPr>
        <w:sz w:val="24"/>
        <w:shd w:fill="FFFFFF" w:val="clear"/>
        <w:szCs w:val="24"/>
      </w:rPr>
      <w:fldChar w:fldCharType="end"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  <w:shd w:fill="FFFFFF" w:val="clear"/>
      </w:rPr>
    </w:pPr>
    <w:r>
      <w:rPr>
        <w:sz w:val="24"/>
        <w:szCs w:val="24"/>
        <w:shd w:fill="FFFFFF" w:val="clear"/>
      </w:rPr>
      <w:fldChar w:fldCharType="begin"/>
    </w:r>
    <w:r>
      <w:rPr>
        <w:sz w:val="24"/>
        <w:shd w:fill="FFFFFF" w:val="clear"/>
        <w:szCs w:val="24"/>
      </w:rPr>
      <w:instrText xml:space="preserve"> PAGE </w:instrText>
    </w:r>
    <w:r>
      <w:rPr>
        <w:sz w:val="24"/>
        <w:shd w:fill="FFFFFF" w:val="clear"/>
        <w:szCs w:val="24"/>
      </w:rPr>
      <w:fldChar w:fldCharType="separate"/>
    </w:r>
    <w:r>
      <w:rPr>
        <w:sz w:val="24"/>
        <w:shd w:fill="FFFFFF" w:val="clear"/>
        <w:szCs w:val="24"/>
      </w:rPr>
      <w:t>9</w:t>
    </w:r>
    <w:r>
      <w:rPr>
        <w:sz w:val="24"/>
        <w:shd w:fill="FFFFFF" w:val="clear"/>
        <w:szCs w:val="24"/>
      </w:rPr>
      <w:fldChar w:fldCharType="end"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 w:customStyle="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18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4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8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6"/>
    <w:qFormat/>
    <w:rsid w:val="00de52bc"/>
    <w:rPr>
      <w:b/>
      <w:sz w:val="28"/>
    </w:rPr>
  </w:style>
  <w:style w:type="character" w:styleId="12" w:customStyle="1">
    <w:name w:val="УРОВЕНЬ_1. Знак"/>
    <w:link w:val="122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rong2" w:customStyle="1">
    <w:name w:val="Strong2"/>
    <w:qFormat/>
    <w:rPr>
      <w:b/>
      <w:bCs/>
    </w:rPr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Style16" w:customStyle="1">
    <w:name w:val="Основной текст_"/>
    <w:basedOn w:val="DefaultParagraphFont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3"/>
      <w:sz w:val="21"/>
      <w:u w:val="none"/>
    </w:rPr>
  </w:style>
  <w:style w:type="character" w:styleId="Style17" w:customStyle="1">
    <w:name w:val="Символ нумерации"/>
    <w:qFormat/>
    <w:rPr/>
  </w:style>
  <w:style w:type="character" w:styleId="Apple-style-span" w:customStyle="1">
    <w:name w:val="apple-style-span"/>
    <w:basedOn w:val="DefaultParagraphFont"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Linenumber1" w:customStyle="1">
    <w:name w:val="line number1"/>
    <w:basedOn w:val="DefaultParagraphFont"/>
    <w:qFormat/>
    <w:rPr/>
  </w:style>
  <w:style w:type="character" w:styleId="Style18" w:customStyle="1">
    <w:name w:val="Схема документа Знак"/>
    <w:qFormat/>
    <w:rPr>
      <w:rFonts w:ascii="Tahoma" w:hAnsi="Tahoma" w:cs="Tahoma"/>
      <w:sz w:val="16"/>
      <w:szCs w:val="16"/>
    </w:rPr>
  </w:style>
  <w:style w:type="character" w:styleId="61" w:customStyle="1">
    <w:name w:val="Основной текст (6)_"/>
    <w:basedOn w:val="DefaultParagraphFont"/>
    <w:qFormat/>
    <w:rPr>
      <w:rFonts w:ascii="Times New Roman" w:hAnsi="Times New Roman"/>
      <w:shd w:fill="FFFFFF" w:val="clear"/>
    </w:rPr>
  </w:style>
  <w:style w:type="character" w:styleId="Style19" w:customStyle="1">
    <w:name w:val="Колонтитул_"/>
    <w:basedOn w:val="DefaultParagraphFont"/>
    <w:qFormat/>
    <w:rPr>
      <w:rFonts w:ascii="Times New Roman" w:hAnsi="Times New Roman"/>
      <w:shd w:fill="FFFFFF" w:val="clear"/>
    </w:rPr>
  </w:style>
  <w:style w:type="character" w:styleId="14" w:customStyle="1">
    <w:name w:val="Абзац списка Знак1"/>
    <w:basedOn w:val="DefaultParagraphFont"/>
    <w:qFormat/>
    <w:rPr>
      <w:rFonts w:ascii="Calibri" w:hAnsi="Calibri"/>
      <w:sz w:val="22"/>
    </w:rPr>
  </w:style>
  <w:style w:type="character" w:styleId="ConsPlusNormal" w:customStyle="1">
    <w:name w:val="ConsPlusNormal Знак"/>
    <w:qFormat/>
    <w:rPr>
      <w:rFonts w:ascii="Arial" w:hAnsi="Arial" w:eastAsia="Times New Roman" w:cs="Arial"/>
      <w:color w:val="00000A"/>
      <w:sz w:val="28"/>
      <w:szCs w:val="20"/>
      <w:lang w:eastAsia="ru-RU"/>
    </w:rPr>
  </w:style>
  <w:style w:type="character" w:styleId="15" w:customStyle="1">
    <w:name w:val="Текст концевой сноски Знак1"/>
    <w:basedOn w:val="DefaultParagraphFont"/>
    <w:qFormat/>
    <w:rPr>
      <w:rFonts w:ascii="Times New Roman" w:hAnsi="Times New Roman" w:eastAsia="Times New Roman" w:cs="Times New Roman"/>
      <w:color w:val="00000A"/>
      <w:sz w:val="20"/>
      <w:szCs w:val="20"/>
      <w:lang w:eastAsia="ru-RU"/>
    </w:rPr>
  </w:style>
  <w:style w:type="character" w:styleId="16" w:customStyle="1">
    <w:name w:val="Электронная подпись Знак1"/>
    <w:basedOn w:val="DefaultParagraphFont"/>
    <w:qFormat/>
    <w:rPr>
      <w:rFonts w:ascii="Times New Roman" w:hAnsi="Times New Roman" w:eastAsia="Calibri" w:cs="Times New Roman"/>
      <w:color w:val="00000A"/>
      <w:sz w:val="24"/>
      <w:szCs w:val="24"/>
      <w:lang w:val="x-none" w:eastAsia="x-none"/>
    </w:rPr>
  </w:style>
  <w:style w:type="character" w:styleId="17" w:customStyle="1">
    <w:name w:val="Выделенная цитата Знак1"/>
    <w:basedOn w:val="DefaultParagraphFont"/>
    <w:qFormat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211" w:customStyle="1">
    <w:name w:val="Цитата 2 Знак1"/>
    <w:basedOn w:val="DefaultParagraphFont"/>
    <w:qFormat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18" w:customStyle="1">
    <w:name w:val="Подзаголовок Знак1"/>
    <w:basedOn w:val="DefaultParagraphFont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Style20" w:customStyle="1">
    <w:name w:val="Тема примечания Знак"/>
    <w:basedOn w:val="19"/>
    <w:qFormat/>
    <w:rPr>
      <w:rFonts w:ascii="Times New Roman" w:hAnsi="Times New Roman" w:eastAsia="Times New Roman" w:cs="Times New Roman"/>
      <w:b/>
      <w:bCs/>
      <w:color w:val="00000A"/>
      <w:sz w:val="20"/>
      <w:szCs w:val="20"/>
      <w:lang w:eastAsia="ru-RU"/>
    </w:rPr>
  </w:style>
  <w:style w:type="character" w:styleId="19" w:customStyle="1">
    <w:name w:val="Текст примечания Знак1"/>
    <w:basedOn w:val="DefaultParagraphFont"/>
    <w:qFormat/>
    <w:rPr>
      <w:rFonts w:ascii="Times New Roman" w:hAnsi="Times New Roman" w:eastAsia="Times New Roman" w:cs="Times New Roman"/>
      <w:color w:val="00000A"/>
      <w:sz w:val="20"/>
      <w:szCs w:val="20"/>
      <w:lang w:eastAsia="ru-RU"/>
    </w:rPr>
  </w:style>
  <w:style w:type="character" w:styleId="Style21" w:customStyle="1">
    <w:name w:val="Текст выноски Знак"/>
    <w:basedOn w:val="DefaultParagraphFont"/>
    <w:qFormat/>
    <w:rPr>
      <w:rFonts w:ascii="Tahoma" w:hAnsi="Tahoma" w:eastAsia="Times New Roman" w:cs="Tahoma"/>
      <w:color w:val="00000A"/>
      <w:sz w:val="16"/>
      <w:szCs w:val="16"/>
      <w:lang w:eastAsia="ru-RU"/>
    </w:rPr>
  </w:style>
  <w:style w:type="character" w:styleId="23" w:customStyle="1">
    <w:name w:val="Основной текст 2 Знак"/>
    <w:basedOn w:val="DefaultParagraphFont"/>
    <w:qFormat/>
    <w:rPr>
      <w:rFonts w:ascii="Times New Roman" w:hAnsi="Times New Roman" w:eastAsia="Times New Roman" w:cs="Times New Roman"/>
      <w:color w:val="00000A"/>
      <w:sz w:val="28"/>
      <w:szCs w:val="28"/>
      <w:lang w:eastAsia="ru-RU"/>
    </w:rPr>
  </w:style>
  <w:style w:type="character" w:styleId="311" w:customStyle="1">
    <w:name w:val="Основной текст с отступом 3 Знак1"/>
    <w:basedOn w:val="DefaultParagraphFont"/>
    <w:qFormat/>
    <w:rPr>
      <w:rFonts w:ascii="Times New Roman" w:hAnsi="Times New Roman" w:eastAsia="Times New Roman" w:cs="Times New Roman"/>
      <w:color w:val="00000A"/>
      <w:sz w:val="16"/>
      <w:szCs w:val="16"/>
      <w:lang w:eastAsia="ru-RU"/>
    </w:rPr>
  </w:style>
  <w:style w:type="character" w:styleId="33" w:customStyle="1">
    <w:name w:val="Основной текст 3 Знак"/>
    <w:basedOn w:val="DefaultParagraphFont"/>
    <w:qFormat/>
    <w:rPr>
      <w:rFonts w:ascii="Times New Roman" w:hAnsi="Times New Roman" w:eastAsia="Times New Roman" w:cs="Times New Roman"/>
      <w:color w:val="00000A"/>
      <w:sz w:val="16"/>
      <w:szCs w:val="16"/>
      <w:lang w:eastAsia="ru-RU"/>
    </w:rPr>
  </w:style>
  <w:style w:type="character" w:styleId="24" w:customStyle="1">
    <w:name w:val="Основной текст с отступом 2 Знак"/>
    <w:basedOn w:val="DefaultParagraphFont"/>
    <w:qFormat/>
    <w:rPr>
      <w:rFonts w:ascii="Times New Roman" w:hAnsi="Times New Roman" w:eastAsia="Times New Roman" w:cs="Times New Roman"/>
      <w:color w:val="00000A"/>
      <w:sz w:val="28"/>
      <w:szCs w:val="28"/>
      <w:lang w:eastAsia="ru-RU"/>
    </w:rPr>
  </w:style>
  <w:style w:type="character" w:styleId="Style22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color w:val="00000A"/>
      <w:sz w:val="28"/>
      <w:szCs w:val="28"/>
      <w:lang w:eastAsia="ru-RU"/>
    </w:rPr>
  </w:style>
  <w:style w:type="character" w:styleId="Style23" w:customStyle="1">
    <w:name w:val="Основной текст с отступом Знак"/>
    <w:basedOn w:val="DefaultParagraphFont"/>
    <w:qFormat/>
    <w:rPr>
      <w:rFonts w:ascii="Calibri" w:hAnsi="Calibri" w:eastAsia="Calibri" w:cs="Times New Roman"/>
      <w:color w:val="00000A"/>
    </w:rPr>
  </w:style>
  <w:style w:type="character" w:styleId="110" w:customStyle="1">
    <w:name w:val="Верхний колонтитул Знак1"/>
    <w:basedOn w:val="DefaultParagraphFont"/>
    <w:qFormat/>
    <w:rPr>
      <w:rFonts w:ascii="Times New Roman" w:hAnsi="Times New Roman" w:eastAsia="Times New Roman" w:cs="Times New Roman"/>
      <w:color w:val="00000A"/>
      <w:sz w:val="24"/>
      <w:szCs w:val="24"/>
      <w:lang w:eastAsia="ru-RU"/>
    </w:rPr>
  </w:style>
  <w:style w:type="character" w:styleId="111" w:customStyle="1">
    <w:name w:val="Текст сноски Знак1"/>
    <w:basedOn w:val="DefaultParagraphFont"/>
    <w:qFormat/>
    <w:rPr>
      <w:rFonts w:ascii="Times New Roman" w:hAnsi="Times New Roman" w:eastAsia="Times New Roman" w:cs="Times New Roman"/>
      <w:color w:val="00000A"/>
      <w:sz w:val="28"/>
      <w:szCs w:val="28"/>
      <w:lang w:eastAsia="ru-RU"/>
    </w:rPr>
  </w:style>
  <w:style w:type="character" w:styleId="112" w:customStyle="1">
    <w:name w:val="Основной текст Знак1"/>
    <w:basedOn w:val="DefaultParagraphFont"/>
    <w:qFormat/>
    <w:rPr>
      <w:rFonts w:ascii="Times New Roman" w:hAnsi="Times New Roman" w:eastAsia="Times New Roman" w:cs="Times New Roman"/>
      <w:color w:val="00000A"/>
      <w:sz w:val="28"/>
      <w:szCs w:val="28"/>
      <w:lang w:eastAsia="ru-RU"/>
    </w:rPr>
  </w:style>
  <w:style w:type="character" w:styleId="Style24" w:customStyle="1">
    <w:name w:val="Заголовок Знак"/>
    <w:basedOn w:val="DefaultParagraphFont"/>
    <w:qFormat/>
    <w:rPr>
      <w:rFonts w:ascii="Liberation Sans" w:hAnsi="Liberation Sans" w:eastAsia="Arial Unicode MS" w:cs="Arial Unicode MS"/>
      <w:color w:val="00000A"/>
      <w:sz w:val="28"/>
      <w:szCs w:val="28"/>
      <w:lang w:eastAsia="ru-RU"/>
    </w:rPr>
  </w:style>
  <w:style w:type="character" w:styleId="113" w:customStyle="1">
    <w:name w:val="Номер строки1"/>
    <w:qFormat/>
    <w:rPr/>
  </w:style>
  <w:style w:type="character" w:styleId="Style25" w:customStyle="1">
    <w:name w:val="Символы концевой сноски"/>
    <w:qFormat/>
    <w:rPr/>
  </w:style>
  <w:style w:type="character" w:styleId="WW8Num10z2" w:customStyle="1">
    <w:name w:val="WW8Num10z2"/>
    <w:qFormat/>
    <w:rPr>
      <w:rFonts w:ascii="Wingdings" w:hAnsi="Wingdings" w:cs="Wingdings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0" w:customStyle="1">
    <w:name w:val="WW8Num10z0"/>
    <w:qFormat/>
    <w:rPr>
      <w:rFonts w:ascii="Symbol" w:hAnsi="Symbol" w:eastAsia="Times New Roman" w:cs="Symbol"/>
      <w:lang w:eastAsia="ru-RU"/>
    </w:rPr>
  </w:style>
  <w:style w:type="character" w:styleId="WW8Num12z2" w:customStyle="1">
    <w:name w:val="WW8Num12z2"/>
    <w:qFormat/>
    <w:rPr>
      <w:rFonts w:ascii="Wingdings" w:hAnsi="Wingdings" w:cs="Wingdings"/>
    </w:rPr>
  </w:style>
  <w:style w:type="character" w:styleId="WW8Num12z1" w:customStyle="1">
    <w:name w:val="WW8Num12z1"/>
    <w:qFormat/>
    <w:rPr>
      <w:rFonts w:ascii="Courier New" w:hAnsi="Courier New" w:cs="Courier New"/>
    </w:rPr>
  </w:style>
  <w:style w:type="character" w:styleId="WW8Num12z0" w:customStyle="1">
    <w:name w:val="WW8Num12z0"/>
    <w:qFormat/>
    <w:rPr>
      <w:rFonts w:ascii="Symbol" w:hAnsi="Symbol" w:eastAsia="Times New Roman" w:cs="Symbol"/>
      <w:lang w:eastAsia="ru-RU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0" w:customStyle="1">
    <w:name w:val="WW8Num6z0"/>
    <w:qFormat/>
    <w:rPr>
      <w:rFonts w:ascii="Symbol" w:hAnsi="Symbol" w:cs="Symbol"/>
    </w:rPr>
  </w:style>
  <w:style w:type="character" w:styleId="WW8Num18z2" w:customStyle="1">
    <w:name w:val="WW8Num18z2"/>
    <w:qFormat/>
    <w:rPr>
      <w:rFonts w:ascii="Wingdings" w:hAnsi="Wingdings" w:cs="Wingdings"/>
    </w:rPr>
  </w:style>
  <w:style w:type="character" w:styleId="WW8Num18z1" w:customStyle="1">
    <w:name w:val="WW8Num18z1"/>
    <w:qFormat/>
    <w:rPr>
      <w:rFonts w:ascii="Courier New" w:hAnsi="Courier New" w:cs="Courier New"/>
    </w:rPr>
  </w:style>
  <w:style w:type="character" w:styleId="WW8Num18z0" w:customStyle="1">
    <w:name w:val="WW8Num18z0"/>
    <w:qFormat/>
    <w:rPr>
      <w:rFonts w:ascii="Symbol" w:hAnsi="Symbol" w:eastAsia="Times New Roman" w:cs="Symbol"/>
      <w:sz w:val="20"/>
      <w:szCs w:val="20"/>
      <w:lang w:eastAsia="ru-RU"/>
    </w:rPr>
  </w:style>
  <w:style w:type="character" w:styleId="WW8Num2z8" w:customStyle="1">
    <w:name w:val="WW8Num2z8"/>
    <w:qFormat/>
    <w:rPr/>
  </w:style>
  <w:style w:type="character" w:styleId="WW8Num2z7" w:customStyle="1">
    <w:name w:val="WW8Num2z7"/>
    <w:qFormat/>
    <w:rPr/>
  </w:style>
  <w:style w:type="character" w:styleId="WW8Num2z6" w:customStyle="1">
    <w:name w:val="WW8Num2z6"/>
    <w:qFormat/>
    <w:rPr/>
  </w:style>
  <w:style w:type="character" w:styleId="WW8Num2z5" w:customStyle="1">
    <w:name w:val="WW8Num2z5"/>
    <w:qFormat/>
    <w:rPr/>
  </w:style>
  <w:style w:type="character" w:styleId="WW8Num2z4" w:customStyle="1">
    <w:name w:val="WW8Num2z4"/>
    <w:qFormat/>
    <w:rPr/>
  </w:style>
  <w:style w:type="character" w:styleId="WW8Num2z3" w:customStyle="1">
    <w:name w:val="WW8Num2z3"/>
    <w:qFormat/>
    <w:rPr/>
  </w:style>
  <w:style w:type="character" w:styleId="WW8Num2z2" w:customStyle="1">
    <w:name w:val="WW8Num2z2"/>
    <w:qFormat/>
    <w:rPr/>
  </w:style>
  <w:style w:type="character" w:styleId="WW8Num2z0" w:customStyle="1">
    <w:name w:val="WW8Num2z0"/>
    <w:qFormat/>
    <w:rPr>
      <w:rFonts w:ascii="Times New Roman" w:hAnsi="Times New Roman" w:eastAsia="Times New Roman" w:cs="Times New Roman"/>
      <w:b w:val="false"/>
      <w:color w:val="000000"/>
      <w:lang w:eastAsia="ru-RU"/>
    </w:rPr>
  </w:style>
  <w:style w:type="character" w:styleId="WW8Num25z2" w:customStyle="1">
    <w:name w:val="WW8Num25z2"/>
    <w:qFormat/>
    <w:rPr>
      <w:rFonts w:ascii="Wingdings" w:hAnsi="Wingdings" w:cs="Wingdings"/>
    </w:rPr>
  </w:style>
  <w:style w:type="character" w:styleId="WW8Num25z1" w:customStyle="1">
    <w:name w:val="WW8Num25z1"/>
    <w:qFormat/>
    <w:rPr>
      <w:rFonts w:ascii="Courier New" w:hAnsi="Courier New" w:cs="Courier New"/>
    </w:rPr>
  </w:style>
  <w:style w:type="character" w:styleId="WW8Num25z0" w:customStyle="1">
    <w:name w:val="WW8Num25z0"/>
    <w:qFormat/>
    <w:rPr>
      <w:rFonts w:ascii="Symbol" w:hAnsi="Symbol" w:cs="Symbol"/>
    </w:rPr>
  </w:style>
  <w:style w:type="character" w:styleId="WW8Num23z2" w:customStyle="1">
    <w:name w:val="WW8Num23z2"/>
    <w:qFormat/>
    <w:rPr>
      <w:rFonts w:ascii="Wingdings" w:hAnsi="Wingdings" w:cs="Wingdings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0" w:customStyle="1">
    <w:name w:val="WW8Num23z0"/>
    <w:qFormat/>
    <w:rPr>
      <w:rFonts w:ascii="Symbol" w:hAnsi="Symbol" w:eastAsia="Times New Roman" w:cs="Symbol"/>
      <w:color w:val="000000"/>
      <w:lang w:eastAsia="ru-RU"/>
    </w:rPr>
  </w:style>
  <w:style w:type="character" w:styleId="WW8Num15z2" w:customStyle="1">
    <w:name w:val="WW8Num15z2"/>
    <w:qFormat/>
    <w:rPr>
      <w:rFonts w:ascii="Wingdings" w:hAnsi="Wingdings" w:cs="Wingdings"/>
    </w:rPr>
  </w:style>
  <w:style w:type="character" w:styleId="WW8Num15z1" w:customStyle="1">
    <w:name w:val="WW8Num15z1"/>
    <w:qFormat/>
    <w:rPr>
      <w:rFonts w:ascii="Courier New" w:hAnsi="Courier New" w:cs="Courier New"/>
    </w:rPr>
  </w:style>
  <w:style w:type="character" w:styleId="WW8Num15z0" w:customStyle="1">
    <w:name w:val="WW8Num15z0"/>
    <w:qFormat/>
    <w:rPr>
      <w:rFonts w:ascii="Symbol" w:hAnsi="Symbol" w:eastAsia="Times New Roman" w:cs="Symbol"/>
      <w:color w:val="000000"/>
      <w:lang w:eastAsia="ru-RU"/>
    </w:rPr>
  </w:style>
  <w:style w:type="character" w:styleId="WW8Num29z8" w:customStyle="1">
    <w:name w:val="WW8Num29z8"/>
    <w:qFormat/>
    <w:rPr/>
  </w:style>
  <w:style w:type="character" w:styleId="WW8Num29z7" w:customStyle="1">
    <w:name w:val="WW8Num29z7"/>
    <w:qFormat/>
    <w:rPr/>
  </w:style>
  <w:style w:type="character" w:styleId="WW8Num29z6" w:customStyle="1">
    <w:name w:val="WW8Num29z6"/>
    <w:qFormat/>
    <w:rPr/>
  </w:style>
  <w:style w:type="character" w:styleId="WW8Num29z5" w:customStyle="1">
    <w:name w:val="WW8Num29z5"/>
    <w:qFormat/>
    <w:rPr/>
  </w:style>
  <w:style w:type="character" w:styleId="WW8Num29z4" w:customStyle="1">
    <w:name w:val="WW8Num29z4"/>
    <w:qFormat/>
    <w:rPr/>
  </w:style>
  <w:style w:type="character" w:styleId="WW8Num29z3" w:customStyle="1">
    <w:name w:val="WW8Num29z3"/>
    <w:qFormat/>
    <w:rPr/>
  </w:style>
  <w:style w:type="character" w:styleId="WW8Num29z2" w:customStyle="1">
    <w:name w:val="WW8Num29z2"/>
    <w:qFormat/>
    <w:rPr/>
  </w:style>
  <w:style w:type="character" w:styleId="WW8Num29z1" w:customStyle="1">
    <w:name w:val="WW8Num29z1"/>
    <w:qFormat/>
    <w:rPr/>
  </w:style>
  <w:style w:type="character" w:styleId="WW8Num29z0" w:customStyle="1">
    <w:name w:val="WW8Num29z0"/>
    <w:qFormat/>
    <w:rPr>
      <w:strike w:val="false"/>
      <w:dstrike w:val="false"/>
      <w:u w:val="none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0" w:customStyle="1">
    <w:name w:val="WW8Num14z0"/>
    <w:qFormat/>
    <w:rPr>
      <w:rFonts w:ascii="Symbol" w:hAnsi="Symbol" w:eastAsia="Times New Roman" w:cs="Symbol"/>
      <w:lang w:eastAsia="ru-RU"/>
    </w:rPr>
  </w:style>
  <w:style w:type="character" w:styleId="WW8Num30z3" w:customStyle="1">
    <w:name w:val="WW8Num30z3"/>
    <w:qFormat/>
    <w:rPr>
      <w:rFonts w:ascii="Symbol" w:hAnsi="Symbol" w:cs="Symbol"/>
    </w:rPr>
  </w:style>
  <w:style w:type="character" w:styleId="WW8Num30z2" w:customStyle="1">
    <w:name w:val="WW8Num30z2"/>
    <w:qFormat/>
    <w:rPr>
      <w:rFonts w:ascii="Wingdings" w:hAnsi="Wingdings" w:cs="Wingdings"/>
    </w:rPr>
  </w:style>
  <w:style w:type="character" w:styleId="WW8Num30z1" w:customStyle="1">
    <w:name w:val="WW8Num30z1"/>
    <w:qFormat/>
    <w:rPr>
      <w:rFonts w:ascii="Courier New" w:hAnsi="Courier New" w:cs="Courier New"/>
    </w:rPr>
  </w:style>
  <w:style w:type="character" w:styleId="WW8Num30z0" w:customStyle="1">
    <w:name w:val="WW8Num30z0"/>
    <w:qFormat/>
    <w:rPr>
      <w:rFonts w:ascii="Symbol" w:hAnsi="Symbol" w:eastAsia="Times New Roman" w:cs="Symbol"/>
      <w:color w:val="000000"/>
      <w:lang w:eastAsia="ru-RU"/>
    </w:rPr>
  </w:style>
  <w:style w:type="character" w:styleId="WW8Num16z2" w:customStyle="1">
    <w:name w:val="WW8Num16z2"/>
    <w:qFormat/>
    <w:rPr>
      <w:rFonts w:ascii="Wingdings" w:hAnsi="Wingdings" w:cs="Wingdings"/>
    </w:rPr>
  </w:style>
  <w:style w:type="character" w:styleId="WW8Num16z1" w:customStyle="1">
    <w:name w:val="WW8Num16z1"/>
    <w:qFormat/>
    <w:rPr>
      <w:rFonts w:ascii="Courier New" w:hAnsi="Courier New" w:cs="Courier New"/>
    </w:rPr>
  </w:style>
  <w:style w:type="character" w:styleId="WW8Num16z0" w:customStyle="1">
    <w:name w:val="WW8Num16z0"/>
    <w:qFormat/>
    <w:rPr>
      <w:rFonts w:ascii="Symbol" w:hAnsi="Symbol" w:eastAsia="Times New Roman" w:cs="Symbol"/>
      <w:sz w:val="20"/>
      <w:szCs w:val="20"/>
      <w:lang w:eastAsia="ru-RU"/>
    </w:rPr>
  </w:style>
  <w:style w:type="character" w:styleId="WW8Num28z2" w:customStyle="1">
    <w:name w:val="WW8Num28z2"/>
    <w:qFormat/>
    <w:rPr>
      <w:rFonts w:ascii="Wingdings" w:hAnsi="Wingdings" w:cs="Wingdings"/>
    </w:rPr>
  </w:style>
  <w:style w:type="character" w:styleId="WW8Num28z1" w:customStyle="1">
    <w:name w:val="WW8Num28z1"/>
    <w:qFormat/>
    <w:rPr>
      <w:rFonts w:ascii="Courier New" w:hAnsi="Courier New" w:cs="Courier New"/>
    </w:rPr>
  </w:style>
  <w:style w:type="character" w:styleId="WW8Num28z0" w:customStyle="1">
    <w:name w:val="WW8Num28z0"/>
    <w:qFormat/>
    <w:rPr>
      <w:rFonts w:ascii="Symbol" w:hAnsi="Symbol" w:cs="Symbol"/>
    </w:rPr>
  </w:style>
  <w:style w:type="character" w:styleId="WW8Num13z8" w:customStyle="1">
    <w:name w:val="WW8Num13z8"/>
    <w:qFormat/>
    <w:rPr/>
  </w:style>
  <w:style w:type="character" w:styleId="WW8Num13z7" w:customStyle="1">
    <w:name w:val="WW8Num13z7"/>
    <w:qFormat/>
    <w:rPr/>
  </w:style>
  <w:style w:type="character" w:styleId="WW8Num13z6" w:customStyle="1">
    <w:name w:val="WW8Num13z6"/>
    <w:qFormat/>
    <w:rPr/>
  </w:style>
  <w:style w:type="character" w:styleId="WW8Num13z5" w:customStyle="1">
    <w:name w:val="WW8Num13z5"/>
    <w:qFormat/>
    <w:rPr/>
  </w:style>
  <w:style w:type="character" w:styleId="WW8Num13z4" w:customStyle="1">
    <w:name w:val="WW8Num13z4"/>
    <w:qFormat/>
    <w:rPr/>
  </w:style>
  <w:style w:type="character" w:styleId="WW8Num13z3" w:customStyle="1">
    <w:name w:val="WW8Num13z3"/>
    <w:qFormat/>
    <w:rPr/>
  </w:style>
  <w:style w:type="character" w:styleId="WW8Num13z2" w:customStyle="1">
    <w:name w:val="WW8Num13z2"/>
    <w:qFormat/>
    <w:rPr/>
  </w:style>
  <w:style w:type="character" w:styleId="WW8Num13z1" w:customStyle="1">
    <w:name w:val="WW8Num13z1"/>
    <w:qFormat/>
    <w:rPr/>
  </w:style>
  <w:style w:type="character" w:styleId="WW8Num13z0" w:customStyle="1">
    <w:name w:val="WW8Num13z0"/>
    <w:qFormat/>
    <w:rPr>
      <w:rFonts w:ascii="Times New Roman" w:hAnsi="Times New Roman" w:eastAsia="Calibri" w:cs="Times New Roman"/>
      <w:color w:val="000000"/>
      <w:lang w:eastAsia="ru-RU"/>
    </w:rPr>
  </w:style>
  <w:style w:type="character" w:styleId="WW8Num26z8" w:customStyle="1">
    <w:name w:val="WW8Num26z8"/>
    <w:qFormat/>
    <w:rPr/>
  </w:style>
  <w:style w:type="character" w:styleId="WW8Num26z7" w:customStyle="1">
    <w:name w:val="WW8Num26z7"/>
    <w:qFormat/>
    <w:rPr/>
  </w:style>
  <w:style w:type="character" w:styleId="WW8Num26z6" w:customStyle="1">
    <w:name w:val="WW8Num26z6"/>
    <w:qFormat/>
    <w:rPr/>
  </w:style>
  <w:style w:type="character" w:styleId="WW8Num26z5" w:customStyle="1">
    <w:name w:val="WW8Num26z5"/>
    <w:qFormat/>
    <w:rPr/>
  </w:style>
  <w:style w:type="character" w:styleId="WW8Num26z4" w:customStyle="1">
    <w:name w:val="WW8Num26z4"/>
    <w:qFormat/>
    <w:rPr/>
  </w:style>
  <w:style w:type="character" w:styleId="WW8Num26z3" w:customStyle="1">
    <w:name w:val="WW8Num26z3"/>
    <w:qFormat/>
    <w:rPr/>
  </w:style>
  <w:style w:type="character" w:styleId="WW8Num26z2" w:customStyle="1">
    <w:name w:val="WW8Num26z2"/>
    <w:qFormat/>
    <w:rPr/>
  </w:style>
  <w:style w:type="character" w:styleId="WW8Num26z1" w:customStyle="1">
    <w:name w:val="WW8Num26z1"/>
    <w:qFormat/>
    <w:rPr/>
  </w:style>
  <w:style w:type="character" w:styleId="WW8Num26z0" w:customStyle="1">
    <w:name w:val="WW8Num26z0"/>
    <w:qFormat/>
    <w:rPr/>
  </w:style>
  <w:style w:type="character" w:styleId="WW8Num31z3" w:customStyle="1">
    <w:name w:val="WW8Num31z3"/>
    <w:qFormat/>
    <w:rPr>
      <w:rFonts w:ascii="Symbol" w:hAnsi="Symbol" w:cs="Symbol"/>
    </w:rPr>
  </w:style>
  <w:style w:type="character" w:styleId="WW8Num31z2" w:customStyle="1">
    <w:name w:val="WW8Num31z2"/>
    <w:qFormat/>
    <w:rPr>
      <w:rFonts w:ascii="Wingdings" w:hAnsi="Wingdings" w:cs="Wingdings"/>
    </w:rPr>
  </w:style>
  <w:style w:type="character" w:styleId="WW8Num31z0" w:customStyle="1">
    <w:name w:val="WW8Num31z0"/>
    <w:qFormat/>
    <w:rPr>
      <w:rFonts w:ascii="Courier New" w:hAnsi="Courier New" w:cs="Courier New"/>
    </w:rPr>
  </w:style>
  <w:style w:type="character" w:styleId="WW8Num32z3" w:customStyle="1">
    <w:name w:val="WW8Num32z3"/>
    <w:qFormat/>
    <w:rPr>
      <w:rFonts w:ascii="Symbol" w:hAnsi="Symbol" w:cs="Symbol"/>
    </w:rPr>
  </w:style>
  <w:style w:type="character" w:styleId="WW8Num32z2" w:customStyle="1">
    <w:name w:val="WW8Num32z2"/>
    <w:qFormat/>
    <w:rPr>
      <w:rFonts w:ascii="Wingdings" w:hAnsi="Wingdings" w:cs="Wingdings"/>
    </w:rPr>
  </w:style>
  <w:style w:type="character" w:styleId="WW8Num32z1" w:customStyle="1">
    <w:name w:val="WW8Num32z1"/>
    <w:qFormat/>
    <w:rPr>
      <w:rFonts w:ascii="Symbol" w:hAnsi="Symbol" w:eastAsia="Times New Roman" w:cs="Symbol"/>
    </w:rPr>
  </w:style>
  <w:style w:type="character" w:styleId="WW8Num32z0" w:customStyle="1">
    <w:name w:val="WW8Num32z0"/>
    <w:qFormat/>
    <w:rPr>
      <w:rFonts w:ascii="Courier New" w:hAnsi="Courier New" w:cs="Courier New"/>
    </w:rPr>
  </w:style>
  <w:style w:type="character" w:styleId="34" w:customStyle="1">
    <w:name w:val="Основной текст3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2"/>
      <w:sz w:val="22"/>
      <w:szCs w:val="22"/>
      <w:u w:val="none"/>
      <w:vertAlign w:val="baseline"/>
      <w:lang w:val="ru-RU"/>
    </w:rPr>
  </w:style>
  <w:style w:type="character" w:styleId="114" w:customStyle="1">
    <w:name w:val="Просмотренная гиперссылка1"/>
    <w:qFormat/>
    <w:rPr>
      <w:color w:val="954F72"/>
      <w:u w:val="single"/>
    </w:rPr>
  </w:style>
  <w:style w:type="character" w:styleId="WW8Num1z2" w:customStyle="1">
    <w:name w:val="WW8Num1z2"/>
    <w:qFormat/>
    <w:rPr>
      <w:rFonts w:ascii="Wingdings" w:hAnsi="Wingdings" w:cs="Wingdings"/>
    </w:rPr>
  </w:style>
  <w:style w:type="character" w:styleId="WW8Num1z1" w:customStyle="1">
    <w:name w:val="WW8Num1z1"/>
    <w:qFormat/>
    <w:rPr>
      <w:rFonts w:ascii="Courier New" w:hAnsi="Courier New" w:cs="Courier New"/>
    </w:rPr>
  </w:style>
  <w:style w:type="character" w:styleId="WW8Num1z0" w:customStyle="1">
    <w:name w:val="WW8Num1z0"/>
    <w:qFormat/>
    <w:rPr>
      <w:rFonts w:ascii="Symbol" w:hAnsi="Symbol" w:cs="Symbol"/>
    </w:rPr>
  </w:style>
  <w:style w:type="character" w:styleId="WW8Num7z2" w:customStyle="1">
    <w:name w:val="WW8Num7z2"/>
    <w:qFormat/>
    <w:rPr/>
  </w:style>
  <w:style w:type="character" w:styleId="WW8Num7z1" w:customStyle="1">
    <w:name w:val="WW8Num7z1"/>
    <w:qFormat/>
    <w:rPr>
      <w:b w:val="false"/>
      <w:bCs/>
    </w:rPr>
  </w:style>
  <w:style w:type="character" w:styleId="WW8Num7z0" w:customStyle="1">
    <w:name w:val="WW8Num7z0"/>
    <w:qFormat/>
    <w:rPr/>
  </w:style>
  <w:style w:type="character" w:styleId="0pt" w:customStyle="1">
    <w:name w:val="Основной текст + Полужирный;Интервал 0 pt"/>
    <w:qFormat/>
    <w:rPr>
      <w:rFonts w:ascii="Times New Roman" w:hAnsi="Times New Roman" w:eastAsia="Times New Roman" w:cs="Times New Roman"/>
      <w:i w:val="false"/>
      <w:iCs w:val="false"/>
      <w:caps w:val="false"/>
      <w:smallCaps w:val="false"/>
      <w:color w:val="000000"/>
      <w:spacing w:val="9"/>
      <w:w w:val="100"/>
      <w:sz w:val="20"/>
      <w:szCs w:val="20"/>
      <w:shd w:fill="FFFFFF" w:val="clear"/>
      <w:lang w:val="ru-RU"/>
    </w:rPr>
  </w:style>
  <w:style w:type="character" w:styleId="71" w:customStyle="1">
    <w:name w:val="Основной текст7"/>
    <w:qFormat/>
    <w:rPr>
      <w:rFonts w:ascii="Times New Roman" w:hAnsi="Times New Roman" w:eastAsia="Times New Roman" w:cs="Times New Roman"/>
      <w:i w:val="false"/>
      <w:iCs w:val="false"/>
      <w:caps w:val="false"/>
      <w:smallCaps w:val="false"/>
      <w:color w:val="000000"/>
      <w:spacing w:val="8"/>
      <w:w w:val="100"/>
      <w:sz w:val="20"/>
      <w:szCs w:val="20"/>
      <w:shd w:fill="FFFFFF" w:val="clear"/>
      <w:lang w:val="ru-RU"/>
    </w:rPr>
  </w:style>
  <w:style w:type="character" w:styleId="Style26" w:customStyle="1">
    <w:name w:val="Красная строка Знак"/>
    <w:basedOn w:val="Style6"/>
    <w:qFormat/>
    <w:rPr>
      <w:rFonts w:ascii="Calibri" w:hAnsi="Calibri" w:eastAsia="Calibri"/>
      <w:sz w:val="22"/>
      <w:szCs w:val="22"/>
      <w:lang w:eastAsia="en-US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312" w:customStyle="1">
    <w:name w:val="Заголовок 3 Знак1"/>
    <w:qFormat/>
    <w:rPr>
      <w:rFonts w:eastAsia="Calibri"/>
      <w:sz w:val="26"/>
      <w:szCs w:val="28"/>
      <w:lang w:eastAsia="en-US"/>
    </w:rPr>
  </w:style>
  <w:style w:type="character" w:styleId="115" w:customStyle="1">
    <w:name w:val="Заголовок 1 Знак1"/>
    <w:qFormat/>
    <w:rPr>
      <w:sz w:val="28"/>
    </w:rPr>
  </w:style>
  <w:style w:type="character" w:styleId="116" w:customStyle="1">
    <w:name w:val="Гиперссылка1"/>
    <w:basedOn w:val="DefaultParagraphFont"/>
    <w:qFormat/>
    <w:rPr>
      <w:color w:val="0563C1"/>
      <w:u w:val="single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trong">
    <w:name w:val="Strong"/>
    <w:qFormat/>
    <w:rPr>
      <w:b/>
      <w:bCs/>
    </w:rPr>
  </w:style>
  <w:style w:type="paragraph" w:styleId="Style2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2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17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5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5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18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6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34" w:customStyle="1">
    <w:name w:val="Раздел регламента"/>
    <w:basedOn w:val="Normal"/>
    <w:qFormat/>
    <w:rsid w:val="00e228fa"/>
    <w:pPr/>
    <w:rPr/>
  </w:style>
  <w:style w:type="paragraph" w:styleId="Style3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19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6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7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20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1" w:customStyle="1">
    <w:name w:val="Подподпункт"/>
    <w:basedOn w:val="Style3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8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21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22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45" w:customStyle="1">
    <w:name w:val="Содержимое врезки"/>
    <w:basedOn w:val="Normal"/>
    <w:qFormat/>
    <w:pPr/>
    <w:rPr/>
  </w:style>
  <w:style w:type="paragraph" w:styleId="Style4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7" w:customStyle="1">
    <w:name w:val="Заголовок таблицы"/>
    <w:basedOn w:val="Style46"/>
    <w:qFormat/>
    <w:pPr>
      <w:jc w:val="center"/>
    </w:pPr>
    <w:rPr>
      <w:b/>
      <w:bCs/>
    </w:rPr>
  </w:style>
  <w:style w:type="paragraph" w:styleId="Style48" w:customStyle="1">
    <w:name w:val="Заголовок списка"/>
    <w:basedOn w:val="Normal"/>
    <w:next w:val="Style49"/>
    <w:qFormat/>
    <w:pPr/>
    <w:rPr/>
  </w:style>
  <w:style w:type="paragraph" w:styleId="Style49" w:customStyle="1">
    <w:name w:val="Содержимое списка"/>
    <w:basedOn w:val="Normal"/>
    <w:qFormat/>
    <w:pPr>
      <w:ind w:left="567" w:hanging="0"/>
    </w:pPr>
    <w:rPr/>
  </w:style>
  <w:style w:type="paragraph" w:styleId="Style50" w:customStyle="1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"/>
    </w:rPr>
  </w:style>
  <w:style w:type="paragraph" w:styleId="Style51" w:customStyle="1">
    <w:name w:val="Текст таблицы"/>
    <w:basedOn w:val="Normal"/>
    <w:qFormat/>
    <w:pPr>
      <w:spacing w:before="40" w:after="40"/>
      <w:ind w:left="57" w:right="57" w:hanging="0"/>
    </w:pPr>
    <w:rPr>
      <w:sz w:val="24"/>
      <w:szCs w:val="24"/>
    </w:rPr>
  </w:style>
  <w:style w:type="paragraph" w:styleId="Style52" w:customStyle="1">
    <w:name w:val="Пункт Знак"/>
    <w:basedOn w:val="Normal"/>
    <w:qFormat/>
    <w:pPr>
      <w:tabs>
        <w:tab w:val="clear" w:pos="708"/>
        <w:tab w:val="left" w:pos="357" w:leader="none"/>
        <w:tab w:val="left" w:pos="851" w:leader="none"/>
        <w:tab w:val="left" w:pos="1134" w:leader="none"/>
      </w:tabs>
      <w:spacing w:lineRule="auto" w:line="360"/>
      <w:jc w:val="both"/>
    </w:pPr>
    <w:rPr>
      <w:b/>
      <w:szCs w:val="20"/>
    </w:rPr>
  </w:style>
  <w:style w:type="paragraph" w:styleId="Style53" w:customStyle="1">
    <w:name w:val="Подподподпункт"/>
    <w:basedOn w:val="Normal"/>
    <w:qFormat/>
    <w:pPr>
      <w:numPr>
        <w:ilvl w:val="4"/>
        <w:numId w:val="1"/>
      </w:numPr>
      <w:tabs>
        <w:tab w:val="clear" w:pos="708"/>
        <w:tab w:val="left" w:pos="1134" w:leader="none"/>
        <w:tab w:val="left" w:pos="1701" w:leader="none"/>
      </w:tabs>
      <w:spacing w:lineRule="auto" w:line="360"/>
      <w:jc w:val="both"/>
    </w:pPr>
    <w:rPr>
      <w:szCs w:val="20"/>
    </w:rPr>
  </w:style>
  <w:style w:type="paragraph" w:styleId="123" w:customStyle="1">
    <w:name w:val="Пункт1"/>
    <w:basedOn w:val="Normal"/>
    <w:qFormat/>
    <w:pPr>
      <w:tabs>
        <w:tab w:val="clear" w:pos="708"/>
        <w:tab w:val="left" w:pos="360" w:leader="none"/>
      </w:tabs>
      <w:spacing w:lineRule="auto" w:line="360" w:before="240" w:after="0"/>
      <w:ind w:left="360" w:hanging="360"/>
      <w:jc w:val="center"/>
    </w:pPr>
    <w:rPr>
      <w:rFonts w:ascii="Arial" w:hAnsi="Arial"/>
      <w:b/>
    </w:rPr>
  </w:style>
  <w:style w:type="paragraph" w:styleId="39" w:customStyle="1">
    <w:name w:val="Пункт_3"/>
    <w:basedOn w:val="Normal"/>
    <w:qFormat/>
    <w:pPr>
      <w:tabs>
        <w:tab w:val="clear" w:pos="708"/>
        <w:tab w:val="left" w:pos="1134" w:leader="none"/>
      </w:tabs>
      <w:spacing w:lineRule="auto" w:line="360"/>
      <w:ind w:left="1134" w:hanging="1133"/>
      <w:jc w:val="both"/>
    </w:pPr>
    <w:rPr>
      <w:szCs w:val="20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Caption2" w:customStyle="1">
    <w:name w:val="caption2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212" w:customStyle="1">
    <w:name w:val="Абзац списка2"/>
    <w:basedOn w:val="Normal"/>
    <w:qFormat/>
    <w:pPr>
      <w:spacing w:before="0" w:after="200"/>
      <w:ind w:left="720" w:hanging="0"/>
      <w:contextualSpacing/>
    </w:pPr>
    <w:rPr/>
  </w:style>
  <w:style w:type="paragraph" w:styleId="Style54" w:customStyle="1">
    <w:name w:val="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62" w:customStyle="1">
    <w:name w:val="Основной текст (6)"/>
    <w:basedOn w:val="Normal"/>
    <w:qFormat/>
    <w:pPr>
      <w:widowControl w:val="false"/>
      <w:shd w:val="clear" w:color="auto" w:fill="FFFFFF"/>
      <w:ind w:firstLine="720"/>
      <w:jc w:val="both"/>
    </w:pPr>
    <w:rPr>
      <w:sz w:val="20"/>
      <w:szCs w:val="20"/>
    </w:rPr>
  </w:style>
  <w:style w:type="paragraph" w:styleId="TableListParagraph" w:customStyle="1">
    <w:name w:val="Table List Paragraph"/>
    <w:basedOn w:val="Normal"/>
    <w:qFormat/>
    <w:pPr>
      <w:numPr>
        <w:ilvl w:val="0"/>
        <w:numId w:val="6"/>
      </w:numPr>
      <w:tabs>
        <w:tab w:val="clear" w:pos="708"/>
        <w:tab w:val="left" w:pos="360" w:leader="none"/>
      </w:tabs>
      <w:jc w:val="both"/>
    </w:pPr>
    <w:rPr>
      <w:sz w:val="24"/>
      <w:szCs w:val="24"/>
    </w:rPr>
  </w:style>
  <w:style w:type="paragraph" w:styleId="Headertext" w:customStyle="1">
    <w:name w:val="headertext"/>
    <w:basedOn w:val="Normal"/>
    <w:qFormat/>
    <w:pPr>
      <w:spacing w:before="280" w:after="280"/>
    </w:pPr>
    <w:rPr>
      <w:sz w:val="24"/>
      <w:szCs w:val="24"/>
    </w:rPr>
  </w:style>
  <w:style w:type="paragraph" w:styleId="141" w:customStyle="1">
    <w:name w:val="Основной текст14"/>
    <w:basedOn w:val="Normal"/>
    <w:qFormat/>
    <w:pPr>
      <w:widowControl w:val="false"/>
      <w:shd w:val="clear" w:color="auto" w:fill="FFFFFF"/>
      <w:spacing w:lineRule="exact" w:line="278"/>
    </w:pPr>
    <w:rPr>
      <w:color w:val="000000"/>
      <w:spacing w:val="8"/>
      <w:sz w:val="20"/>
      <w:szCs w:val="20"/>
      <w:lang w:bidi="he-IL"/>
    </w:rPr>
  </w:style>
  <w:style w:type="paragraph" w:styleId="51" w:customStyle="1">
    <w:name w:val="Основной текст5"/>
    <w:basedOn w:val="Normal"/>
    <w:qFormat/>
    <w:pPr>
      <w:widowControl w:val="false"/>
      <w:shd w:val="clear" w:color="auto" w:fill="FFFFFF"/>
      <w:spacing w:lineRule="exact" w:line="278"/>
    </w:pPr>
    <w:rPr>
      <w:lang w:bidi="he-IL"/>
    </w:rPr>
  </w:style>
  <w:style w:type="paragraph" w:styleId="Style55" w:customStyle="1">
    <w:name w:val="ККГЭС Текст"/>
    <w:basedOn w:val="Normal"/>
    <w:qFormat/>
    <w:pPr>
      <w:spacing w:before="60" w:after="60"/>
      <w:ind w:firstLine="708"/>
    </w:pPr>
    <w:rPr>
      <w:rFonts w:eastAsia="Calibri"/>
      <w:sz w:val="24"/>
      <w:szCs w:val="24"/>
      <w:lang w:eastAsia="en-US"/>
    </w:rPr>
  </w:style>
  <w:style w:type="paragraph" w:styleId="310" w:customStyle="1">
    <w:name w:val="Оглавление 3 Знак"/>
    <w:basedOn w:val="Normal"/>
    <w:qFormat/>
    <w:pPr>
      <w:jc w:val="both"/>
    </w:pPr>
    <w:rPr>
      <w:rFonts w:ascii="Garamond" w:hAnsi="Garamond"/>
      <w:sz w:val="24"/>
      <w:szCs w:val="20"/>
    </w:rPr>
  </w:style>
  <w:style w:type="paragraph" w:styleId="213" w:customStyle="1">
    <w:name w:val="Заголовок 2 Знак1"/>
    <w:basedOn w:val="Normal"/>
    <w:qFormat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Index1">
    <w:name w:val="index 1"/>
    <w:basedOn w:val="Normal"/>
    <w:next w:val="Normal"/>
    <w:qFormat/>
    <w:pPr>
      <w:ind w:left="280" w:hanging="280"/>
    </w:pPr>
    <w:rPr/>
  </w:style>
  <w:style w:type="paragraph" w:styleId="124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2" w:customStyle="1">
    <w:name w:val="index heading12"/>
    <w:basedOn w:val="Title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25" w:customStyle="1">
    <w:name w:val="Стиль1"/>
    <w:uiPriority w:val="99"/>
    <w:qFormat/>
    <w:rsid w:val="00f001e4"/>
  </w:style>
  <w:style w:type="numbering" w:styleId="214" w:customStyle="1">
    <w:name w:val="Стиль2"/>
    <w:uiPriority w:val="99"/>
    <w:qFormat/>
    <w:rsid w:val="006629c9"/>
  </w:style>
  <w:style w:type="numbering" w:styleId="WW8Num7" w:customStyle="1">
    <w:name w:val="WW8Num7"/>
    <w:qFormat/>
  </w:style>
  <w:style w:type="numbering" w:styleId="WW8Num1" w:customStyle="1">
    <w:name w:val="WW8Num1"/>
    <w:qFormat/>
  </w:style>
  <w:style w:type="numbering" w:styleId="WW8Num32" w:customStyle="1">
    <w:name w:val="WW8Num32"/>
    <w:qFormat/>
  </w:style>
  <w:style w:type="numbering" w:styleId="WW8Num31" w:customStyle="1">
    <w:name w:val="WW8Num31"/>
    <w:qFormat/>
  </w:style>
  <w:style w:type="numbering" w:styleId="WW8Num26" w:customStyle="1">
    <w:name w:val="WW8Num26"/>
    <w:qFormat/>
  </w:style>
  <w:style w:type="numbering" w:styleId="WW8Num13" w:customStyle="1">
    <w:name w:val="WW8Num13"/>
    <w:qFormat/>
  </w:style>
  <w:style w:type="numbering" w:styleId="WW8Num28" w:customStyle="1">
    <w:name w:val="WW8Num28"/>
    <w:qFormat/>
  </w:style>
  <w:style w:type="numbering" w:styleId="WW8Num16" w:customStyle="1">
    <w:name w:val="WW8Num16"/>
    <w:qFormat/>
  </w:style>
  <w:style w:type="numbering" w:styleId="WW8Num30" w:customStyle="1">
    <w:name w:val="WW8Num30"/>
    <w:qFormat/>
  </w:style>
  <w:style w:type="numbering" w:styleId="WW8Num14" w:customStyle="1">
    <w:name w:val="WW8Num14"/>
    <w:qFormat/>
  </w:style>
  <w:style w:type="numbering" w:styleId="WW8Num29" w:customStyle="1">
    <w:name w:val="WW8Num29"/>
    <w:qFormat/>
  </w:style>
  <w:style w:type="numbering" w:styleId="WW8Num15" w:customStyle="1">
    <w:name w:val="WW8Num15"/>
    <w:qFormat/>
  </w:style>
  <w:style w:type="numbering" w:styleId="WW8Num23" w:customStyle="1">
    <w:name w:val="WW8Num23"/>
    <w:qFormat/>
  </w:style>
  <w:style w:type="numbering" w:styleId="WW8Num25" w:customStyle="1">
    <w:name w:val="WW8Num25"/>
    <w:qFormat/>
  </w:style>
  <w:style w:type="numbering" w:styleId="WW8Num2" w:customStyle="1">
    <w:name w:val="WW8Num2"/>
    <w:qFormat/>
  </w:style>
  <w:style w:type="numbering" w:styleId="WW8Num18" w:customStyle="1">
    <w:name w:val="WW8Num18"/>
    <w:qFormat/>
  </w:style>
  <w:style w:type="numbering" w:styleId="WW8Num6" w:customStyle="1">
    <w:name w:val="WW8Num6"/>
    <w:qFormat/>
  </w:style>
  <w:style w:type="numbering" w:styleId="WW8Num12" w:customStyle="1">
    <w:name w:val="WW8Num12"/>
    <w:qFormat/>
  </w:style>
  <w:style w:type="numbering" w:styleId="WW8Num10" w:customStyle="1">
    <w:name w:val="WW8Num10"/>
    <w:qFormat/>
  </w:style>
  <w:style w:type="numbering" w:styleId="27730842651" w:customStyle="1">
    <w:name w:val="27730842651"/>
    <w:qFormat/>
  </w:style>
  <w:style w:type="numbering" w:styleId="35777271091" w:customStyle="1">
    <w:name w:val="35777271091"/>
    <w:qFormat/>
  </w:style>
  <w:style w:type="numbering" w:styleId="30759022671" w:customStyle="1">
    <w:name w:val="30759022671"/>
    <w:qFormat/>
  </w:style>
  <w:style w:type="numbering" w:styleId="1870946231" w:customStyle="1">
    <w:name w:val="1870946231"/>
    <w:qFormat/>
  </w:style>
  <w:style w:type="numbering" w:styleId="35520544961" w:customStyle="1">
    <w:name w:val="35520544961"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c">
    <w:name w:val="Table Grid"/>
    <w:basedOn w:val="a6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b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header" Target="header7.xml"/><Relationship Id="rId14" Type="http://schemas.openxmlformats.org/officeDocument/2006/relationships/header" Target="header8.xml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header" Target="header9.xml"/><Relationship Id="rId18" Type="http://schemas.openxmlformats.org/officeDocument/2006/relationships/header" Target="header10.xml"/><Relationship Id="rId19" Type="http://schemas.openxmlformats.org/officeDocument/2006/relationships/footer" Target="footer8.xml"/><Relationship Id="rId20" Type="http://schemas.openxmlformats.org/officeDocument/2006/relationships/footer" Target="footer9.xml"/><Relationship Id="rId21" Type="http://schemas.openxmlformats.org/officeDocument/2006/relationships/numbering" Target="numbering.xm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<Relationship Id="rId2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51AE7-05E5-4017-A31D-374036240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Application>AlterOffice/3.4.0.9$Linux_X86_64 LibreOffice_project/b8daf9e823b1a5463a2f48435ddc2e8696e7d4fc</Application>
  <AppVersion>15.0000</AppVersion>
  <Pages>13</Pages>
  <Words>1280</Words>
  <Characters>8536</Characters>
  <CharactersWithSpaces>9559</CharactersWithSpaces>
  <Paragraphs>273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Антифеева Ирина Александровна</cp:lastModifiedBy>
  <dcterms:modified xsi:type="dcterms:W3CDTF">2026-10-07T12:21:00Z</dcterms:modified>
  <cp:revision>114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