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right"/>
        <w:rPr>
          <w:sz w:val="22"/>
          <w:szCs w:val="22"/>
        </w:rPr>
      </w:pPr>
      <w:r>
        <w:rPr>
          <w:b/>
          <w:sz w:val="22"/>
          <w:szCs w:val="22"/>
        </w:rPr>
        <w:t xml:space="preserve">Приложение к </w:t>
      </w:r>
      <w:r>
        <w:rPr>
          <w:b/>
          <w:sz w:val="22"/>
          <w:szCs w:val="22"/>
        </w:rPr>
        <w:t>Условия</w:t>
      </w:r>
      <w:r>
        <w:rPr>
          <w:b/>
          <w:sz w:val="22"/>
          <w:szCs w:val="22"/>
        </w:rPr>
        <w:t xml:space="preserve">м </w:t>
      </w:r>
      <w:r>
        <w:rPr>
          <w:b/>
          <w:sz w:val="22"/>
          <w:szCs w:val="22"/>
        </w:rPr>
        <w:t>процедуры Мониторинг Рынка</w:t>
      </w:r>
    </w:p>
    <w:p>
      <w:pPr>
        <w:pStyle w:val="Normal"/>
        <w:keepNext w:val="true"/>
        <w:keepLines/>
        <w:bidi w:val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bidi w:val="0"/>
        <w:spacing w:before="0" w:after="0"/>
        <w:jc w:val="center"/>
        <w:rPr>
          <w:rFonts w:ascii="Times New Roman" w:hAnsi="Times New Roman"/>
        </w:rPr>
      </w:pPr>
      <w:bookmarkStart w:id="0" w:name="__RefHeading___Toc11949_39410795"/>
      <w:bookmarkStart w:id="1" w:name="_Toc124592000"/>
      <w:bookmarkStart w:id="2" w:name="_Toc124846883"/>
      <w:bookmarkStart w:id="3" w:name="_Toc124591877"/>
      <w:bookmarkEnd w:id="0"/>
      <w:r>
        <w:rPr>
          <w:rFonts w:ascii="Times New Roman" w:hAnsi="Times New Roman"/>
          <w:b/>
          <w:bCs/>
        </w:rPr>
        <w:t>ТЕХНИЧЕСКИЕ ТРЕБОВАНИЯ</w:t>
      </w:r>
      <w:bookmarkEnd w:id="1"/>
      <w:bookmarkEnd w:id="2"/>
      <w:bookmarkEnd w:id="3"/>
    </w:p>
    <w:p>
      <w:pPr>
        <w:pStyle w:val="BodyText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на поставку МТР</w:t>
      </w:r>
    </w:p>
    <w:p>
      <w:pPr>
        <w:pStyle w:val="Normal"/>
        <w:keepNext w:val="true"/>
        <w:numPr>
          <w:ilvl w:val="0"/>
          <w:numId w:val="0"/>
        </w:numPr>
        <w:bidi w:val="0"/>
        <w:spacing w:before="0" w:after="0"/>
        <w:ind w:hanging="0" w:left="0" w:right="0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BodyText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ОКПД2: 28.13.14.110</w:t>
      </w:r>
    </w:p>
    <w:p>
      <w:pPr>
        <w:pStyle w:val="Style12"/>
        <w:bidi w:val="0"/>
        <w:spacing w:before="0" w:after="0"/>
        <w:jc w:val="center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Поставка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Канализационн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ого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насос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а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jc w:val="center"/>
            <w:rPr>
              <w:b/>
              <w:bCs/>
            </w:rPr>
          </w:pPr>
          <w:r>
            <w:br w:type="page"/>
          </w:r>
          <w:r>
            <w:rPr>
              <w:b/>
              <w:bCs/>
            </w:rPr>
            <w:t>Оглавление</w:t>
          </w:r>
        </w:p>
        <w:p>
          <w:pPr>
            <w:pStyle w:val="TOC1"/>
            <w:rPr/>
          </w:pPr>
          <w:r>
            <w:fldChar w:fldCharType="begin"/>
          </w:r>
          <w:r>
            <w:rPr>
              <w:rStyle w:val="Style8"/>
              <w:iCs/>
              <w:rFonts w:ascii="Times New Roman" w:hAnsi="Times New Roman"/>
            </w:rPr>
            <w:instrText xml:space="preserve"> TOC \f \o "1-9" \h</w:instrText>
          </w:r>
          <w:r>
            <w:rPr>
              <w:rStyle w:val="Style8"/>
              <w:iCs/>
              <w:rFonts w:ascii="Times New Roman" w:hAnsi="Times New Roman"/>
            </w:rPr>
            <w:fldChar w:fldCharType="separate"/>
          </w:r>
          <w:hyperlink w:anchor="__RefHeading___Toc11951_39410795">
            <w:r>
              <w:rPr>
                <w:rStyle w:val="Style8"/>
                <w:rFonts w:ascii="Times New Roman" w:hAnsi="Times New Roman"/>
                <w:iCs/>
              </w:rPr>
              <w:t>1. Общие</w:t>
            </w:r>
            <w:r>
              <w:rPr>
                <w:rStyle w:val="Style8"/>
                <w:rFonts w:ascii="Times New Roman" w:hAnsi="Times New Roman"/>
              </w:rPr>
              <w:t xml:space="preserve"> сведения</w:t>
              <w:tab/>
              <w:t>3</w:t>
            </w:r>
          </w:hyperlink>
        </w:p>
        <w:p>
          <w:pPr>
            <w:pStyle w:val="TOC1"/>
            <w:rPr/>
          </w:pPr>
          <w:hyperlink w:anchor="__RefHeading___Toc26746_3247078976">
            <w:r>
              <w:rPr>
                <w:rStyle w:val="Style8"/>
                <w:rFonts w:ascii="Times New Roman" w:hAnsi="Times New Roman"/>
              </w:rPr>
              <w:t>1.1 Наименование закупаемой продукции</w:t>
              <w:tab/>
              <w:t>3</w:t>
            </w:r>
          </w:hyperlink>
        </w:p>
        <w:p>
          <w:pPr>
            <w:pStyle w:val="TOC1"/>
            <w:rPr/>
          </w:pPr>
          <w:hyperlink w:anchor="__RefHeading___Toc26748_3247078976">
            <w:r>
              <w:rPr>
                <w:rStyle w:val="Style8"/>
                <w:rFonts w:ascii="Times New Roman" w:hAnsi="Times New Roman"/>
              </w:rPr>
              <w:t>1.2 Цель использования закупаемой продукции</w:t>
              <w:tab/>
              <w:t>3</w:t>
            </w:r>
          </w:hyperlink>
        </w:p>
        <w:p>
          <w:pPr>
            <w:pStyle w:val="TOC1"/>
            <w:rPr/>
          </w:pPr>
          <w:hyperlink w:anchor="__RefHeading___Toc82010_3858828881">
            <w:r>
              <w:rPr>
                <w:rStyle w:val="Style8"/>
                <w:rFonts w:ascii="Times New Roman" w:hAnsi="Times New Roman"/>
              </w:rPr>
              <w:t>2. Требования к продукции</w:t>
              <w:tab/>
              <w:t>3</w:t>
            </w:r>
          </w:hyperlink>
        </w:p>
        <w:p>
          <w:pPr>
            <w:pStyle w:val="TOC1"/>
            <w:rPr/>
          </w:pPr>
          <w:hyperlink w:anchor="__RefHeading___Toc26750_3247078976">
            <w:r>
              <w:rPr>
                <w:rStyle w:val="Style8"/>
                <w:rFonts w:ascii="Times New Roman" w:hAnsi="Times New Roman"/>
              </w:rPr>
              <w:t>2.1 Перечень и объем закупаемой продукции</w:t>
              <w:tab/>
              <w:t>3</w:t>
            </w:r>
          </w:hyperlink>
        </w:p>
        <w:p>
          <w:pPr>
            <w:pStyle w:val="TOC1"/>
            <w:rPr/>
          </w:pPr>
          <w:hyperlink w:anchor="__RefHeading___Toc26752_3247078976">
            <w:r>
              <w:rPr>
                <w:rStyle w:val="Style8"/>
                <w:rFonts w:ascii="Times New Roman" w:hAnsi="Times New Roman"/>
              </w:rPr>
              <w:t>2.2 Требования по срокам поставки продукции</w:t>
              <w:tab/>
              <w:t>3</w:t>
            </w:r>
          </w:hyperlink>
        </w:p>
        <w:p>
          <w:pPr>
            <w:pStyle w:val="TOC1"/>
            <w:rPr/>
          </w:pPr>
          <w:hyperlink w:anchor="__RefHeading___Toc26743_3247078976">
            <w:r>
              <w:rPr>
                <w:rStyle w:val="Style8"/>
                <w:rFonts w:ascii="Times New Roman" w:hAnsi="Times New Roman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rPr/>
          </w:pPr>
          <w:hyperlink w:anchor="__RefHeading___Toc82018_3858828881">
            <w:r>
              <w:rPr>
                <w:rStyle w:val="Style8"/>
                <w:rFonts w:ascii="Times New Roman" w:hAnsi="Times New Roman"/>
              </w:rPr>
              <w:t>3. Требования к документации по ценообразованию на этапе закупки.</w:t>
              <w:tab/>
              <w:t>8</w:t>
            </w:r>
          </w:hyperlink>
          <w:r>
            <w:rPr>
              <w:rStyle w:val="Style8"/>
              <w:rFonts w:ascii="Times New Roman" w:hAnsi="Times New Roman"/>
            </w:rPr>
            <w:fldChar w:fldCharType="end"/>
          </w:r>
        </w:p>
      </w:sdtContent>
    </w:sdt>
    <w:p>
      <w:pPr>
        <w:pStyle w:val="Normal"/>
        <w:numPr>
          <w:ilvl w:val="0"/>
          <w:numId w:val="0"/>
        </w:numPr>
        <w:bidi w:val="0"/>
        <w:ind w:hanging="0" w:left="0" w:right="0"/>
        <w:jc w:val="center"/>
        <w:outlineLvl w:val="0"/>
        <w:rPr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  <w:r>
        <w:br w:type="page"/>
      </w:r>
    </w:p>
    <w:p>
      <w:pPr>
        <w:pStyle w:val="Heading1"/>
        <w:numPr>
          <w:ilvl w:val="0"/>
          <w:numId w:val="0"/>
        </w:numPr>
        <w:bidi w:val="0"/>
        <w:spacing w:before="0" w:after="0"/>
        <w:ind w:hanging="0" w:left="3621" w:right="0"/>
        <w:jc w:val="left"/>
        <w:rPr>
          <w:rFonts w:ascii="Times New Roman" w:hAnsi="Times New Roman"/>
          <w:sz w:val="24"/>
          <w:szCs w:val="24"/>
        </w:rPr>
      </w:pPr>
      <w:bookmarkStart w:id="4" w:name="__RefHeading___Toc11951_39410795"/>
      <w:bookmarkEnd w:id="4"/>
      <w:r>
        <w:rPr>
          <w:rFonts w:ascii="Times New Roman" w:hAnsi="Times New Roman"/>
          <w:iCs/>
          <w:sz w:val="24"/>
          <w:szCs w:val="24"/>
        </w:rPr>
        <w:t xml:space="preserve">1. </w:t>
      </w:r>
      <w:bookmarkStart w:id="5" w:name="_Toc124846884"/>
      <w:r>
        <w:rPr>
          <w:rFonts w:ascii="Times New Roman" w:hAnsi="Times New Roman"/>
          <w:iCs/>
          <w:sz w:val="24"/>
          <w:szCs w:val="24"/>
        </w:rPr>
        <w:t>Общие</w:t>
      </w:r>
      <w:r>
        <w:rPr>
          <w:rFonts w:ascii="Times New Roman" w:hAnsi="Times New Roman"/>
          <w:sz w:val="24"/>
          <w:szCs w:val="24"/>
        </w:rPr>
        <w:t xml:space="preserve"> сведения</w:t>
      </w:r>
      <w:bookmarkEnd w:id="5"/>
    </w:p>
    <w:p>
      <w:pPr>
        <w:pStyle w:val="BodyText"/>
        <w:bidi w:val="0"/>
        <w:spacing w:lineRule="auto" w:line="276" w:before="0" w:after="0"/>
        <w:ind w:hanging="340" w:left="34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numPr>
          <w:ilvl w:val="0"/>
        </w:numPr>
        <w:ind w:hanging="0" w:left="0"/>
        <w:rPr/>
      </w:pPr>
      <w:bookmarkStart w:id="6" w:name="__RefHeading___Toc26746_3247078976"/>
      <w:bookmarkEnd w:id="6"/>
      <w:r>
        <w:rPr>
          <w:rStyle w:val="Strong1"/>
          <w:rFonts w:ascii="Times New Roman" w:hAnsi="Times New Roman"/>
          <w:b/>
          <w:sz w:val="24"/>
          <w:szCs w:val="24"/>
        </w:rPr>
        <w:t>1.1 Наименование закупаемой продукции</w:t>
      </w:r>
    </w:p>
    <w:p>
      <w:pPr>
        <w:pStyle w:val="Normal"/>
        <w:bidi w:val="0"/>
        <w:jc w:val="left"/>
        <w:rPr/>
      </w:pPr>
      <w:r>
        <w:rPr>
          <w:rStyle w:val="Strong1"/>
          <w:rFonts w:ascii="Times New Roman" w:hAnsi="Times New Roman"/>
          <w:b w:val="false"/>
          <w:bCs w:val="false"/>
          <w:sz w:val="24"/>
          <w:szCs w:val="24"/>
        </w:rPr>
        <w:t>Насос центробежный подачи жидкости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bidi w:val="0"/>
        <w:jc w:val="left"/>
        <w:rPr>
          <w:rStyle w:val="Strong1"/>
          <w:rFonts w:ascii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Style w:val="Strong1"/>
          <w:rFonts w:ascii="Times New Roman" w:hAnsi="Times New Roman"/>
          <w:b w:val="false"/>
          <w:bCs w:val="false"/>
          <w:sz w:val="24"/>
          <w:szCs w:val="24"/>
        </w:rPr>
        <w:t>Код продукции ОКПД2: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28</w:t>
      </w:r>
      <w:r>
        <w:rPr>
          <w:rFonts w:ascii="Times New Roman" w:hAnsi="Times New Roman"/>
          <w:sz w:val="24"/>
          <w:szCs w:val="24"/>
        </w:rPr>
        <w:t>.13.14.110 Насосы центробежные подачи жидкостей прочие.</w:t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numPr>
          <w:ilvl w:val="0"/>
        </w:numPr>
        <w:ind w:hanging="0" w:left="0"/>
        <w:rPr/>
      </w:pPr>
      <w:bookmarkStart w:id="7" w:name="__RefHeading___Toc26748_3247078976"/>
      <w:bookmarkEnd w:id="7"/>
      <w:r>
        <w:rPr>
          <w:rStyle w:val="Strong1"/>
          <w:rFonts w:ascii="Times New Roman" w:hAnsi="Times New Roman"/>
          <w:b/>
          <w:sz w:val="24"/>
          <w:szCs w:val="24"/>
        </w:rPr>
        <w:t>1.2 Цель использования закупаемой продукции</w:t>
      </w:r>
    </w:p>
    <w:p>
      <w:pPr>
        <w:pStyle w:val="Normal"/>
        <w:bidi w:val="0"/>
        <w:jc w:val="left"/>
        <w:rPr>
          <w:rStyle w:val="Strong1"/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widowControl/>
        <w:suppressAutoHyphens w:val="true"/>
        <w:overflowPunct w:val="true"/>
        <w:bidi w:val="0"/>
        <w:spacing w:before="0" w:after="0"/>
        <w:ind w:hanging="0" w:left="0" w:right="0"/>
        <w:jc w:val="both"/>
        <w:rPr/>
      </w:pPr>
      <w:r>
        <w:rPr>
          <w:rStyle w:val="Strong1"/>
          <w:rFonts w:ascii="Times New Roman" w:hAnsi="Times New Roman"/>
          <w:b w:val="false"/>
          <w:bCs w:val="false"/>
          <w:color w:val="000000"/>
          <w:sz w:val="24"/>
          <w:szCs w:val="24"/>
        </w:rPr>
        <w:t>Настоящие технические требования (далее — ТТ) распространяются на пополнение аварийного запаса для нужд филиала ПАО «РусГидро»-«Камская ГЭС» и определяют обязательные требования к техническим и функциональным характеристикам продукции, требованиям к качеству, комплектности, упаковке, хранению и гарантиям.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1"/>
        <w:numPr>
          <w:ilvl w:val="0"/>
        </w:numPr>
        <w:bidi w:val="0"/>
        <w:spacing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bookmarkStart w:id="8" w:name="__RefHeading___Toc82010_3858828881"/>
      <w:bookmarkEnd w:id="8"/>
      <w:r>
        <w:rPr>
          <w:rFonts w:ascii="Times New Roman" w:hAnsi="Times New Roman"/>
          <w:sz w:val="24"/>
          <w:szCs w:val="24"/>
        </w:rPr>
        <w:t>2. Требования к продукции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1"/>
        <w:numPr>
          <w:ilvl w:val="0"/>
        </w:numPr>
        <w:ind w:hanging="0" w:left="0"/>
        <w:rPr>
          <w:rFonts w:ascii="Times New Roman" w:hAnsi="Times New Roman"/>
          <w:sz w:val="24"/>
          <w:szCs w:val="24"/>
        </w:rPr>
      </w:pPr>
      <w:bookmarkStart w:id="9" w:name="__RefHeading___Toc26750_3247078976"/>
      <w:bookmarkEnd w:id="9"/>
      <w:r>
        <w:rPr>
          <w:rFonts w:ascii="Times New Roman" w:hAnsi="Times New Roman"/>
          <w:sz w:val="24"/>
          <w:szCs w:val="24"/>
        </w:rPr>
        <w:t xml:space="preserve">2.1 </w:t>
      </w:r>
      <w:r>
        <w:rPr>
          <w:rFonts w:ascii="Times New Roman" w:hAnsi="Times New Roman"/>
          <w:color w:val="000000"/>
          <w:sz w:val="24"/>
          <w:szCs w:val="24"/>
        </w:rPr>
        <w:t>Перечень и объем закупаемой продукции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2.1 — Перечень и объем закупаемой продукции</w:t>
      </w:r>
    </w:p>
    <w:tbl>
      <w:tblPr>
        <w:tblW w:w="964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59"/>
        <w:gridCol w:w="2782"/>
        <w:gridCol w:w="3469"/>
        <w:gridCol w:w="1395"/>
        <w:gridCol w:w="1440"/>
      </w:tblGrid>
      <w:tr>
        <w:trPr>
          <w:tblHeader w:val="true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bidi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bidi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bidi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3"/>
              <w:bidi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3"/>
              <w:bidi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2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2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Канализационный насос Grundfos</w:t>
            </w:r>
          </w:p>
        </w:tc>
        <w:tc>
          <w:tcPr>
            <w:tcW w:w="3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2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S2.100.200.500.4.62L.D.290.G.N.D.Z (P/N 97668351)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2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2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Style14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numPr>
          <w:ilvl w:val="0"/>
        </w:numPr>
        <w:ind w:hanging="0" w:left="0"/>
        <w:rPr/>
      </w:pPr>
      <w:bookmarkStart w:id="10" w:name="__RefHeading___Toc26752_3247078976"/>
      <w:bookmarkEnd w:id="10"/>
      <w:r>
        <w:rPr/>
        <w:t>2.2 Требования по срокам поставки продукции</w:t>
      </w:r>
    </w:p>
    <w:p>
      <w:pPr>
        <w:pStyle w:val="Style14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2.2 — Требования по срокам поставки продукции</w:t>
      </w:r>
    </w:p>
    <w:tbl>
      <w:tblPr>
        <w:tblW w:w="9625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"/>
        <w:gridCol w:w="2981"/>
        <w:gridCol w:w="3133"/>
        <w:gridCol w:w="3131"/>
      </w:tblGrid>
      <w:tr>
        <w:trPr/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№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Наименование продукции / партии продукции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Требования к началу срока поставки продукции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eastAsia="ＭＳ 明朝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Канализационный насос Grundfos S2.100.200.500.4.62L.D.290.G.N.D.Z (P/N 97668351)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с момента заключения договора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Не позднее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ＭＳ 明朝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ascii="Times New Roman" w:hAnsi="Times New Roman"/>
                <w:b w:val="false"/>
                <w:color w:val="000000"/>
                <w:kern w:val="0"/>
                <w:sz w:val="24"/>
                <w:szCs w:val="24"/>
                <w:lang w:val="en-US" w:eastAsia="en-US" w:bidi="ar-SA"/>
              </w:rPr>
              <w:t>30.09.2027</w:t>
            </w:r>
          </w:p>
        </w:tc>
      </w:tr>
    </w:tbl>
    <w:p>
      <w:pPr>
        <w:sectPr>
          <w:footerReference w:type="default" r:id="rId2"/>
          <w:footerReference w:type="first" r:id="rId3"/>
          <w:type w:val="nextPage"/>
          <w:pgSz w:w="11906" w:h="16838"/>
          <w:pgMar w:left="1134" w:right="1134" w:gutter="0" w:header="0" w:top="1134" w:footer="854" w:bottom="1448"/>
          <w:pgNumType w:fmt="decimal"/>
          <w:formProt w:val="false"/>
          <w:titlePg/>
          <w:textDirection w:val="lrTb"/>
          <w:docGrid w:type="default" w:linePitch="600" w:charSpace="32768"/>
        </w:sectPr>
      </w:pPr>
    </w:p>
    <w:p>
      <w:pPr>
        <w:pStyle w:val="Heading1"/>
        <w:keepNext w:val="true"/>
        <w:widowControl/>
        <w:numPr>
          <w:ilvl w:val="0"/>
          <w:numId w:val="0"/>
        </w:numPr>
        <w:suppressAutoHyphens w:val="true"/>
        <w:overflowPunct w:val="false"/>
        <w:bidi w:val="0"/>
        <w:spacing w:before="240" w:after="120"/>
        <w:ind w:hanging="0" w:left="-397" w:right="0"/>
        <w:jc w:val="left"/>
        <w:rPr>
          <w:rFonts w:ascii="Times New Roman" w:hAnsi="Times New Roman"/>
          <w:sz w:val="24"/>
          <w:szCs w:val="24"/>
        </w:rPr>
      </w:pPr>
      <w:bookmarkStart w:id="11" w:name="__RefHeading___Toc26743_3247078976"/>
      <w:bookmarkEnd w:id="11"/>
      <w:r>
        <w:rPr>
          <w:sz w:val="24"/>
          <w:szCs w:val="24"/>
        </w:rPr>
        <w:t>2.3. Требования к качеству продукции</w:t>
      </w:r>
    </w:p>
    <w:p>
      <w:pPr>
        <w:pStyle w:val="BodyText"/>
        <w:numPr>
          <w:ilvl w:val="0"/>
        </w:numPr>
        <w:bidi w:val="0"/>
        <w:spacing w:before="0" w:after="0"/>
        <w:ind w:hanging="0"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BodyText"/>
        <w:widowControl/>
        <w:numPr>
          <w:ilvl w:val="0"/>
        </w:numPr>
        <w:suppressAutoHyphens w:val="true"/>
        <w:overflowPunct w:val="false"/>
        <w:bidi w:val="0"/>
        <w:spacing w:lineRule="auto" w:line="276" w:before="0" w:after="0"/>
        <w:ind w:hanging="0" w:left="-34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2.3. Требования к качеству продукции</w:t>
      </w:r>
    </w:p>
    <w:tbl>
      <w:tblPr>
        <w:tblStyle w:val="af"/>
        <w:tblW w:w="15309" w:type="dxa"/>
        <w:jc w:val="left"/>
        <w:tblInd w:w="-3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3479"/>
        <w:gridCol w:w="4246"/>
        <w:gridCol w:w="1935"/>
        <w:gridCol w:w="2835"/>
        <w:gridCol w:w="2138"/>
      </w:tblGrid>
      <w:tr>
        <w:trPr>
          <w:tblHeader w:val="true"/>
          <w:cantSplit w:val="true"/>
        </w:trPr>
        <w:tc>
          <w:tcPr>
            <w:tcW w:w="675" w:type="dxa"/>
            <w:vMerge w:val="restart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uppressAutoHyphens w:val="true"/>
              <w:overflowPunct w:val="false"/>
              <w:bidi w:val="0"/>
              <w:snapToGrid w:val="false"/>
              <w:spacing w:before="0" w:after="0"/>
              <w:ind w:hanging="0" w:left="-113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uppressAutoHyphens w:val="true"/>
              <w:overflowPunct w:val="false"/>
              <w:bidi w:val="0"/>
              <w:snapToGrid w:val="false"/>
              <w:spacing w:before="0" w:after="0"/>
              <w:ind w:hanging="0" w:left="-113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479" w:type="dxa"/>
            <w:vMerge w:val="restart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246" w:type="dxa"/>
            <w:vMerge w:val="restart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</w:t>
            </w:r>
          </w:p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заказчика</w:t>
            </w:r>
          </w:p>
        </w:tc>
        <w:tc>
          <w:tcPr>
            <w:tcW w:w="4770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38" w:type="dxa"/>
            <w:vMerge w:val="restart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cantSplit w:val="true"/>
        </w:trPr>
        <w:tc>
          <w:tcPr>
            <w:tcW w:w="675" w:type="dxa"/>
            <w:vMerge w:val="continue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79" w:type="dxa"/>
            <w:vMerge w:val="continue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246" w:type="dxa"/>
            <w:vMerge w:val="continue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8" w:type="dxa"/>
            <w:vMerge w:val="continue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1.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Код продукта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Style12"/>
              <w:numPr>
                <w:ilvl w:val="0"/>
              </w:numPr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97668351 (или обновленный аналог)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Style12"/>
              <w:numPr>
                <w:ilvl w:val="0"/>
              </w:numPr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Вертикальное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погружной одноступенчатый центробежный насос с двухканальным рабочим колесом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Макс. подача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300 л/мин (1080 м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ru-RU" w:bidi="ar-SA"/>
              </w:rPr>
              <w:t>/ч)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Напор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33,5 м.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Мощность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Р1=56.2 кВт, Р2=50 кВт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2.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ТР ТС 004/2011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«О безопасности низковольтного оборудования»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Приложение к паспорту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ТР ТС 020/2011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«Электромагнитная совместимость технических средств»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Приложение к паспорту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3.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3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IP68, класс изоляции F, встроенная защита двигателя KLIXON, реле влажности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4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5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Маркировка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по ТУ изготовителя с учетом ГОСТ 6134-2007 «Насосы динамические. Методы испытаний»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Консервация и упаковка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по ГОСТ 23170</w:t>
            </w:r>
          </w:p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консервации патрубков заглушками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Совместная упаковка разнотипной арматуры без внутренней прокладки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не допускается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доставка, для оформления пропуска на территорию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предоставляется не позднее 10-00  рабочего дня, предшествующего дню поставки.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Адрес доставки и режим работы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Поставка оборудования осуществляется на склад Заказчика, расположенный по адресу: 614030, г. Пермь, ул. Соликамская 329. Стоимость оборудования включает в себя в том числе расходы по доставке до склада покупателя, страховке, транспортировке. Приемка продукции осуществляется только в рабочие дни: понедельник - четверг с 08-30 до 11-00 и с 13-00 до 16-00, пятница с 08-30 до 11-00 и с 13-00 до 15-00 по местному времени.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6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4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6"/>
              </w:numPr>
              <w:tabs>
                <w:tab w:val="clear" w:pos="709"/>
                <w:tab w:val="center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7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Срок гарантийных обязательств Поставщика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suppressAutoHyphens w:val="true"/>
              <w:overflowPunct w:val="true"/>
              <w:bidi w:val="0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Не менее гарантийных сроков завода-изготовителя продукции. При этом в любом случае гарантийный срок должен быть не менее 12 месяцев со дня ввода в эксплуатацию, но не более 18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numPr>
                <w:ilvl w:val="0"/>
              </w:numPr>
              <w:bidi w:val="0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Назначенный срок службы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BodyText"/>
              <w:numPr>
                <w:ilvl w:val="0"/>
              </w:numPr>
              <w:bidi w:val="0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не менее 10 лет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8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8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</w:numPr>
              <w:tabs>
                <w:tab w:val="left" w:pos="709" w:leader="none"/>
              </w:tabs>
              <w:suppressAutoHyphens w:val="true"/>
              <w:overflowPunct w:val="false"/>
              <w:bidi w:val="0"/>
              <w:spacing w:lineRule="auto" w:line="276" w:before="0" w:after="0"/>
              <w:ind w:hanging="0" w:left="57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паспорт изделия (с указанием давления настройки, результатов гидравлических испытаний корпуса и испытаний на герметичность)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Передаются совместно с продукцией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8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  <w:numId w:val="0"/>
              </w:numPr>
              <w:tabs>
                <w:tab w:val="left" w:pos="709" w:leader="none"/>
              </w:tabs>
              <w:suppressAutoHyphens w:val="true"/>
              <w:overflowPunct w:val="false"/>
              <w:bidi w:val="0"/>
              <w:spacing w:lineRule="auto" w:line="276" w:before="0" w:after="0"/>
              <w:ind w:hanging="0" w:left="57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сертификат/декларация соответствия ТР ТС 010/2011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Передаются совместно с продукцией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Приложение к паспорту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8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  <w:numId w:val="0"/>
              </w:numPr>
              <w:tabs>
                <w:tab w:val="left" w:pos="709" w:leader="none"/>
              </w:tabs>
              <w:suppressAutoHyphens w:val="true"/>
              <w:overflowPunct w:val="false"/>
              <w:bidi w:val="0"/>
              <w:spacing w:lineRule="auto" w:line="276" w:before="0" w:after="0"/>
              <w:ind w:hanging="0" w:left="57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Передаются совместно с продукцией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Приложение к паспорту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8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BodyText"/>
              <w:widowControl/>
              <w:numPr>
                <w:ilvl w:val="0"/>
                <w:numId w:val="0"/>
              </w:numPr>
              <w:tabs>
                <w:tab w:val="left" w:pos="709" w:leader="none"/>
              </w:tabs>
              <w:suppressAutoHyphens w:val="true"/>
              <w:overflowPunct w:val="false"/>
              <w:bidi w:val="0"/>
              <w:spacing w:lineRule="auto" w:line="276" w:before="0" w:after="0"/>
              <w:ind w:hanging="0" w:left="57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протокол приёмо-сдаточных испытаний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Передаются совместно с продукцией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Приложение к паспорту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9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9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10</w:t>
            </w:r>
          </w:p>
        </w:tc>
        <w:tc>
          <w:tcPr>
            <w:tcW w:w="7725" w:type="dxa"/>
            <w:gridSpan w:val="2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10"/>
              </w:numPr>
              <w:tabs>
                <w:tab w:val="clear" w:pos="709"/>
                <w:tab w:val="left" w:pos="6" w:leader="none"/>
              </w:tabs>
              <w:snapToGrid w:val="false"/>
              <w:spacing w:before="0" w:after="0"/>
              <w:ind w:hanging="0" w:left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Общие требования</w:t>
            </w:r>
          </w:p>
        </w:tc>
        <w:tc>
          <w:tcPr>
            <w:tcW w:w="424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Продукция должна быть новой, ранее не использовавшейся. Объем продукции каждой номенклатурной позиции, должен поставляться одной партией продукции.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19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</w:numPr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</w:numPr>
        <w:bidi w:val="0"/>
        <w:spacing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numPr>
          <w:ilvl w:val="0"/>
        </w:numPr>
        <w:bidi w:val="0"/>
        <w:spacing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/>
      </w:r>
    </w:p>
    <w:sectPr>
      <w:footerReference w:type="default" r:id="rId6"/>
      <w:footerReference w:type="first" r:id="rId7"/>
      <w:type w:val="nextPage"/>
      <w:pgSz w:w="11906" w:h="16838"/>
      <w:pgMar w:left="1134" w:right="1134" w:gutter="0" w:header="0" w:top="1134" w:footer="854" w:bottom="144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swiss"/>
    <w:pitch w:val="variable"/>
  </w:font>
  <w:font w:name="PT Sans"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Times New Roman">
    <w:charset w:val="01"/>
    <w:family w:val="roman"/>
    <w:pitch w:val="variable"/>
  </w:font>
  <w:font w:name="PT Mono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4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Noto Serif CJK SC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PT Sans" w:hAnsi="PT Sans" w:eastAsia="Noto Serif CJK SC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9"/>
    <w:next w:val="BodyText"/>
    <w:qFormat/>
    <w:pPr>
      <w:numPr>
        <w:ilvl w:val="0"/>
        <w:numId w:val="0"/>
      </w:numPr>
      <w:spacing w:before="0" w:after="0"/>
      <w:outlineLvl w:val="0"/>
    </w:pPr>
    <w:rPr>
      <w:rFonts w:ascii="Times New Roman" w:hAnsi="Times New Roman" w:eastAsia="Noto Serif CJK SC" w:cs="Arial Unicode MS"/>
      <w:b/>
      <w:bCs/>
      <w:sz w:val="24"/>
      <w:szCs w:val="48"/>
    </w:rPr>
  </w:style>
  <w:style w:type="paragraph" w:styleId="Heading2">
    <w:name w:val="Heading 2"/>
    <w:basedOn w:val="Style9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PT Sans" w:hAnsi="PT Sans" w:eastAsia="Noto Serif CJK SC" w:cs="Arial Unicode MS"/>
      <w:b/>
      <w:bCs/>
      <w:sz w:val="36"/>
      <w:szCs w:val="36"/>
    </w:rPr>
  </w:style>
  <w:style w:type="paragraph" w:styleId="Heading3">
    <w:name w:val="Heading 3"/>
    <w:basedOn w:val="Style9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PT Sans" w:hAnsi="PT Sans" w:eastAsia="Noto Serif CJK SC" w:cs="Arial Unicode MS"/>
      <w:b/>
      <w:bCs/>
      <w:sz w:val="28"/>
      <w:szCs w:val="28"/>
    </w:rPr>
  </w:style>
  <w:style w:type="paragraph" w:styleId="Heading4">
    <w:name w:val="Heading 4"/>
    <w:basedOn w:val="Heading3"/>
    <w:next w:val="Normal"/>
    <w:qFormat/>
    <w:pPr>
      <w:numPr>
        <w:ilvl w:val="0"/>
        <w:numId w:val="0"/>
      </w:numPr>
      <w:tabs>
        <w:tab w:val="clear" w:pos="709"/>
        <w:tab w:val="left" w:pos="432" w:leader="none"/>
      </w:tabs>
      <w:ind w:hanging="432" w:left="432" w:right="0"/>
      <w:outlineLvl w:val="3"/>
    </w:pPr>
    <w:rPr>
      <w:bCs/>
    </w:rPr>
  </w:style>
  <w:style w:type="character" w:styleId="Strong1">
    <w:name w:val="Strong1"/>
    <w:qFormat/>
    <w:rPr>
      <w:b/>
      <w:bCs/>
    </w:rPr>
  </w:style>
  <w:style w:type="character" w:styleId="Style5">
    <w:name w:val="Маркеры"/>
    <w:qFormat/>
    <w:rPr>
      <w:rFonts w:ascii="OpenSymbol" w:hAnsi="OpenSymbol" w:eastAsia="OpenSymbol" w:cs="OpenSymbol"/>
    </w:rPr>
  </w:style>
  <w:style w:type="character" w:styleId="Style6">
    <w:name w:val="Символ нумерации"/>
    <w:qFormat/>
    <w:rPr/>
  </w:style>
  <w:style w:type="character" w:styleId="Style7">
    <w:name w:val="комментарий"/>
    <w:qFormat/>
    <w:rPr>
      <w:b/>
      <w:i/>
      <w:shd w:fill="FFFF99" w:val="clear"/>
    </w:rPr>
  </w:style>
  <w:style w:type="character" w:styleId="Hyperlink">
    <w:name w:val="Hyperlink"/>
    <w:rPr>
      <w:color w:val="000080"/>
      <w:u w:val="single"/>
    </w:rPr>
  </w:style>
  <w:style w:type="character" w:styleId="Style8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Style11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paragraph" w:styleId="Style14">
    <w:name w:val="Блочная цитата"/>
    <w:basedOn w:val="Normal"/>
    <w:qFormat/>
    <w:pPr>
      <w:spacing w:before="0" w:after="283"/>
      <w:ind w:hanging="0" w:left="567" w:right="567"/>
    </w:pPr>
    <w:rPr/>
  </w:style>
  <w:style w:type="paragraph" w:styleId="IndexHeading">
    <w:name w:val="Index Heading"/>
    <w:basedOn w:val="Style9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IndexHeading"/>
    <w:qFormat/>
    <w:pPr>
      <w:suppressLineNumbers/>
      <w:ind w:hanging="0" w:left="0"/>
    </w:pPr>
    <w:rPr>
      <w:rFonts w:ascii="Times New Roman" w:hAnsi="Times New Roman"/>
      <w:b w:val="false"/>
      <w:bCs/>
      <w:sz w:val="24"/>
      <w:szCs w:val="32"/>
    </w:rPr>
  </w:style>
  <w:style w:type="paragraph" w:styleId="TOC1">
    <w:name w:val="TOC 1"/>
    <w:basedOn w:val="Style10"/>
    <w:pPr>
      <w:tabs>
        <w:tab w:val="clear" w:pos="709"/>
        <w:tab w:val="right" w:pos="9638" w:leader="dot"/>
      </w:tabs>
      <w:ind w:hanging="0" w:left="0"/>
    </w:pPr>
    <w:rPr/>
  </w:style>
  <w:style w:type="paragraph" w:styleId="TOC2">
    <w:name w:val="TOC 2"/>
    <w:basedOn w:val="Style10"/>
    <w:pPr>
      <w:tabs>
        <w:tab w:val="clear" w:pos="709"/>
        <w:tab w:val="right" w:pos="9638" w:leader="dot"/>
      </w:tabs>
      <w:ind w:hanging="0" w:left="283"/>
    </w:pPr>
    <w:rPr/>
  </w:style>
  <w:style w:type="paragraph" w:styleId="TOC3">
    <w:name w:val="TOC 3"/>
    <w:basedOn w:val="Style10"/>
    <w:pPr>
      <w:tabs>
        <w:tab w:val="clear" w:pos="709"/>
        <w:tab w:val="right" w:pos="9638" w:leader="dot"/>
      </w:tabs>
      <w:ind w:hanging="0" w:left="567"/>
    </w:pPr>
    <w:rPr/>
  </w:style>
  <w:style w:type="paragraph" w:styleId="Style15">
    <w:name w:val="Текст в заданном формате"/>
    <w:basedOn w:val="Normal"/>
    <w:qFormat/>
    <w:pPr>
      <w:spacing w:before="0" w:after="0"/>
    </w:pPr>
    <w:rPr>
      <w:rFonts w:ascii="PT Mono" w:hAnsi="PT Mono" w:eastAsia="Noto Sans Mono CJK SC" w:cs="PT Mono"/>
      <w:sz w:val="20"/>
      <w:szCs w:val="20"/>
    </w:rPr>
  </w:style>
  <w:style w:type="paragraph" w:styleId="Style16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Style16"/>
    <w:pPr>
      <w:suppressLineNumbers/>
    </w:pPr>
    <w:rPr/>
  </w:style>
  <w:style w:type="paragraph" w:styleId="Footer">
    <w:name w:val="Footer"/>
    <w:basedOn w:val="Style16"/>
    <w:pPr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Title">
    <w:name w:val="Title"/>
    <w:basedOn w:val="Style9"/>
    <w:next w:val="BodyText"/>
    <w:qFormat/>
    <w:pPr>
      <w:jc w:val="center"/>
    </w:pPr>
    <w:rPr>
      <w:b/>
      <w:bCs/>
      <w:sz w:val="56"/>
      <w:szCs w:val="56"/>
    </w:rPr>
  </w:style>
  <w:style w:type="paragraph" w:styleId="ListNumber">
    <w:name w:val="List Number"/>
    <w:basedOn w:val="Normal"/>
    <w:qFormat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numbering" w:styleId="30853333701">
    <w:name w:val="30853333701"/>
    <w:qFormat/>
  </w:style>
  <w:style w:type="numbering" w:styleId="38520495821">
    <w:name w:val="38520495821"/>
    <w:qFormat/>
  </w:style>
  <w:style w:type="numbering" w:styleId="25738173381">
    <w:name w:val="25738173381"/>
    <w:qFormat/>
  </w:style>
  <w:style w:type="numbering" w:styleId="33365834831">
    <w:name w:val="33365834831"/>
    <w:qFormat/>
  </w:style>
  <w:style w:type="numbering" w:styleId="10846892081">
    <w:name w:val="10846892081"/>
    <w:qFormat/>
  </w:style>
  <w:style w:type="numbering" w:styleId="39498785881">
    <w:name w:val="39498785881"/>
    <w:qFormat/>
  </w:style>
  <w:style w:type="numbering" w:styleId="42566279801">
    <w:name w:val="42566279801"/>
    <w:qFormat/>
  </w:style>
  <w:style w:type="numbering" w:styleId="21789711581">
    <w:name w:val="21789711581"/>
    <w:qFormat/>
  </w:style>
  <w:style w:type="numbering" w:styleId="20531691181">
    <w:name w:val="20531691181"/>
    <w:qFormat/>
  </w:style>
  <w:style w:type="numbering" w:styleId="42830800231">
    <w:name w:val="42830800231"/>
    <w:qFormat/>
  </w:style>
  <w:style w:type="numbering" w:styleId="18170272891">
    <w:name w:val="18170272891"/>
    <w:qFormat/>
  </w:style>
  <w:style w:type="numbering" w:styleId="39032187461">
    <w:name w:val="39032187461"/>
    <w:qFormat/>
  </w:style>
  <w:style w:type="numbering" w:styleId="33111258881">
    <w:name w:val="33111258881"/>
    <w:qFormat/>
  </w:style>
  <w:style w:type="numbering" w:styleId="35016425661">
    <w:name w:val="3501642566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637</TotalTime>
  <Application>AlterOffice/2026.2.0.0$Linux_X86_64 LibreOffice_project/bc4ef1adf80b36c7a6365f8ed6cbf29021361edd</Application>
  <AppVersion>15.0000</AppVersion>
  <Pages>8</Pages>
  <Words>774</Words>
  <Characters>5143</Characters>
  <CharactersWithSpaces>5688</CharactersWithSpaces>
  <Paragraphs>235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2026-10-06T09:05:57Z</dcterms:created>
  <dc:creator>fominykhov@corp.gidroogk.com</dc:creator>
  <dc:description/>
  <dc:language>ru-RU</dc:language>
  <cp:lastModifiedBy>bezmaternyheb@corp.gidroogk.com</cp:lastModifiedBy>
  <dcterms:modified xsi:type="dcterms:W3CDTF">2026-10-08T15:25:17Z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