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4.jpeg" ContentType="image/jpeg"/>
  <Override PartName="/word/media/image3.jpeg" ContentType="image/jpeg"/>
  <Override PartName="/word/media/image2.jpeg" ContentType="image/jpeg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32"/>
          <w:szCs w:val="32"/>
        </w:rPr>
      </w:pPr>
      <w:r>
        <w:drawing>
          <wp:anchor behindDoc="1" distT="0" distB="9525" distL="114300" distR="114300" simplePos="0" locked="0" layoutInCell="1" allowOverlap="1" relativeHeight="3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6362700" cy="1400175"/>
            <wp:effectExtent l="0" t="0" r="0" b="0"/>
            <wp:wrapNone/>
            <wp:docPr id="1" name="Рисунок 1" descr="C:\Users\Диана\Downloads\Новая папка\PLANSEO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Диана\Downloads\Новая папка\PLANSEO\1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1603" t="837" r="1084" b="83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/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/>
      </w:pPr>
      <w:r>
        <w:rPr>
          <w:sz w:val="32"/>
          <w:szCs w:val="32"/>
        </w:rPr>
        <w:t>Опросный лист-заявка на поставку элегазовых выключателей</w:t>
        <w:br/>
        <w:t>типа ВЭБ-35 с встроенными трансформаторами тока</w:t>
      </w:r>
    </w:p>
    <w:p>
      <w:pPr>
        <w:pStyle w:val="Normal"/>
        <w:rPr/>
      </w:pPr>
      <w:r>
        <w:rPr/>
        <w:t>Заказчик:__________</w:t>
      </w:r>
      <w:r>
        <w:rPr>
          <w:u w:val="single"/>
        </w:rPr>
        <w:t>АО «ДРСК» «Амурские Электрические Сети»_</w:t>
      </w:r>
      <w:r>
        <w:rPr/>
        <w:t>__________________</w:t>
        <w:br/>
        <w:t>Телефон:________________________________________________________</w:t>
        <w:br/>
        <w:t>Дата заполнения заявки:__________________________________________</w:t>
        <w:br/>
        <w:t>Место установки выключателя:________</w:t>
      </w:r>
      <w:r>
        <w:rPr>
          <w:u w:val="single"/>
        </w:rPr>
        <w:t xml:space="preserve">ПС 35 кВ </w:t>
      </w:r>
      <w:r>
        <w:rPr>
          <w:u w:val="single"/>
        </w:rPr>
        <w:t>Бомнак</w:t>
      </w:r>
      <w:r>
        <w:rPr/>
        <w:t>______________________________</w:t>
        <w:br/>
        <w:t>Количество заказываемых выключателей ВЭБ-35:____</w:t>
      </w:r>
      <w:r>
        <w:rPr>
          <w:u w:val="single"/>
        </w:rPr>
        <w:t>2</w:t>
      </w:r>
      <w:r>
        <w:rPr/>
        <w:t>__________________</w:t>
        <w:br/>
        <w:t>Параметры выключателя ВЭБ-35</w:t>
      </w:r>
    </w:p>
    <w:p>
      <w:pPr>
        <w:pStyle w:val="Caption"/>
        <w:keepNext w:val="true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1" wp14:anchorId="1FFD805A">
                <wp:simplePos x="0" y="0"/>
                <wp:positionH relativeFrom="column">
                  <wp:posOffset>3745230</wp:posOffset>
                </wp:positionH>
                <wp:positionV relativeFrom="paragraph">
                  <wp:posOffset>2391410</wp:posOffset>
                </wp:positionV>
                <wp:extent cx="140335" cy="140335"/>
                <wp:effectExtent l="0" t="0" r="12700" b="12700"/>
                <wp:wrapNone/>
                <wp:docPr id="2" name="Прямоугольник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680" cy="139680"/>
                        </a:xfrm>
                        <a:prstGeom prst="rect">
                          <a:avLst/>
                        </a:prstGeom>
                        <a:ln>
                          <a:round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5" fillcolor="black" stroked="t" style="position:absolute;margin-left:294.9pt;margin-top:188.3pt;width:10.95pt;height:10.95pt" wp14:anchorId="1FFD805A">
                <w10:wrap type="none"/>
                <v:fill o:detectmouseclick="t" type="solid" color2="white"/>
                <v:stroke color="black" weight="25560" joinstyle="round" endcap="flat"/>
              </v:rect>
            </w:pict>
          </mc:Fallback>
        </mc:AlternateContent>
      </w:r>
      <w:r>
        <w:rPr/>
        <w:t xml:space="preserve">Таблица </w:t>
      </w:r>
      <w:r>
        <w:rPr/>
        <w:fldChar w:fldCharType="begin"/>
      </w:r>
      <w:r>
        <w:instrText> SEQ Таблица \* ARABIC </w:instrText>
      </w:r>
      <w:r>
        <w:fldChar w:fldCharType="separate"/>
      </w:r>
      <w:r>
        <w:t>1</w:t>
      </w:r>
      <w:r>
        <w:fldChar w:fldCharType="end"/>
      </w:r>
      <w:r>
        <w:rPr/>
        <w:t>. Характеристики выключателя</w:t>
      </w:r>
    </w:p>
    <w:tbl>
      <w:tblPr>
        <w:tblStyle w:val="-5"/>
        <w:tblW w:w="9629" w:type="dxa"/>
        <w:jc w:val="center"/>
        <w:tblInd w:w="0" w:type="dxa"/>
        <w:tblCellMar>
          <w:top w:w="0" w:type="dxa"/>
          <w:left w:w="107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785"/>
        <w:gridCol w:w="2410"/>
        <w:gridCol w:w="2434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78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6" w:space="0" w:color="4BACC6"/>
              <w:right w:val="single" w:sz="6" w:space="0" w:color="4BACC6"/>
              <w:insideH w:val="single" w:sz="6" w:space="0" w:color="4BACC6"/>
              <w:insideV w:val="single" w:sz="6" w:space="0" w:color="4BACC6"/>
            </w:tcBorders>
            <w:shd w:color="auto" w:fill="4BACC6" w:themeFill="accent5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Наименование параметра</w:t>
            </w:r>
          </w:p>
        </w:tc>
        <w:tc>
          <w:tcPr>
            <w:tcW w:w="4844" w:type="dxa"/>
            <w:gridSpan w:val="2"/>
            <w:tcBorders>
              <w:left w:val="single" w:sz="6" w:space="0" w:color="4BACC6"/>
              <w:bottom w:val="single" w:sz="6" w:space="0" w:color="4BACC6"/>
              <w:insideH w:val="single" w:sz="6" w:space="0" w:color="4BACC6"/>
            </w:tcBorders>
            <w:shd w:color="auto" w:fill="4BACC6" w:themeFill="accent5" w:val="clear"/>
            <w:tcMar>
              <w:left w:w="10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Требуемые характеристики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78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Номинальный ток</w:t>
            </w:r>
          </w:p>
        </w:tc>
        <w:tc>
          <w:tcPr>
            <w:tcW w:w="2410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/>
              <w:t xml:space="preserve">630А 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243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1000А 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/>
        <w:tc>
          <w:tcPr>
            <w:tcW w:w="478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6" w:space="0" w:color="4BACC6"/>
              <w:bottom w:val="single" w:sz="6" w:space="0" w:color="4BACC6"/>
              <w:right w:val="single" w:sz="6" w:space="0" w:color="4BACC6"/>
              <w:insideH w:val="single" w:sz="6" w:space="0" w:color="4BACC6"/>
              <w:insideV w:val="single" w:sz="6" w:space="0" w:color="4BACC6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Тип изоляторов</w:t>
            </w:r>
          </w:p>
        </w:tc>
        <w:tc>
          <w:tcPr>
            <w:tcW w:w="2410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  <w:insideH w:val="single" w:sz="6" w:space="0" w:color="4BACC6"/>
              <w:insideV w:val="single" w:sz="6" w:space="0" w:color="4BACC6"/>
            </w:tcBorders>
            <w:shd w:fill="auto" w:val="clear"/>
            <w:tcMar>
              <w:left w:w="10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9" wp14:anchorId="22721F8C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-250825</wp:posOffset>
                      </wp:positionV>
                      <wp:extent cx="140335" cy="140335"/>
                      <wp:effectExtent l="0" t="0" r="12700" b="12700"/>
                      <wp:wrapNone/>
                      <wp:docPr id="3" name="Прямоугольник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12" fillcolor="black" stroked="t" style="position:absolute;margin-left:62.95pt;margin-top:-19.75pt;width:10.95pt;height:10.95pt" wp14:anchorId="22721F8C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</w:r>
            <w:r>
              <w:rPr/>
              <w:t xml:space="preserve">Фарфоровый 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2434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insideH w:val="single" w:sz="6" w:space="0" w:color="4BACC6"/>
            </w:tcBorders>
            <w:shd w:fill="auto" w:val="clear"/>
            <w:tcMar>
              <w:left w:w="10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Полимерный 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>
          <w:trHeight w:val="71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78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Климатическое исполнение по ГОСТ 15150-69</w:t>
            </w:r>
          </w:p>
        </w:tc>
        <w:tc>
          <w:tcPr>
            <w:tcW w:w="2410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13" wp14:anchorId="3858AE77">
                      <wp:simplePos x="0" y="0"/>
                      <wp:positionH relativeFrom="column">
                        <wp:posOffset>1038860</wp:posOffset>
                      </wp:positionH>
                      <wp:positionV relativeFrom="paragraph">
                        <wp:posOffset>-287020</wp:posOffset>
                      </wp:positionV>
                      <wp:extent cx="140335" cy="140335"/>
                      <wp:effectExtent l="0" t="0" r="12700" b="12700"/>
                      <wp:wrapNone/>
                      <wp:docPr id="4" name="Прямоугольник 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16" fillcolor="black" stroked="t" style="position:absolute;margin-left:81.8pt;margin-top:-22.6pt;width:10.95pt;height:10.95pt" wp14:anchorId="3858AE77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</w:r>
            <w:r>
              <w:rPr/>
              <w:t>УХЛ</w:t>
            </w:r>
            <w:r>
              <w:rPr/>
            </w:r>
            <m:oMath xmlns:m="http://schemas.openxmlformats.org/officeDocument/2006/math">
              <m:sSubSup>
                <m:e>
                  <m:r>
                    <w:rPr>
                      <w:rFonts w:ascii="Cambria Math" w:hAnsi="Cambria Math"/>
                    </w:rPr>
                    <m:t xml:space="preserve">1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60</m:t>
                  </m:r>
                  <m:r>
                    <w:rPr>
                      <w:rFonts w:ascii="Cambria Math" w:hAnsi="Cambria Math"/>
                    </w:rPr>
                    <m:t xml:space="preserve">°</m:t>
                  </m:r>
                  <m:r>
                    <w:rPr>
                      <w:rFonts w:ascii="Cambria Math" w:hAnsi="Cambria Math"/>
                    </w:rPr>
                    <m:t xml:space="preserve">С</m:t>
                  </m:r>
                </m:sub>
                <m:sup>
                  <m:r>
                    <w:rPr>
                      <w:rFonts w:ascii="Cambria Math" w:hAnsi="Cambria Math"/>
                    </w:rPr>
                    <m:t xml:space="preserve">+</m:t>
                  </m:r>
                  <m:r>
                    <w:rPr>
                      <w:rFonts w:ascii="Cambria Math" w:hAnsi="Cambria Math"/>
                    </w:rPr>
                    <m:t xml:space="preserve">45</m:t>
                  </m:r>
                  <m:r>
                    <w:rPr>
                      <w:rFonts w:ascii="Cambria Math" w:hAnsi="Cambria Math"/>
                    </w:rPr>
                    <m:t xml:space="preserve">°</m:t>
                  </m:r>
                  <m:r>
                    <w:rPr>
                      <w:rFonts w:ascii="Cambria Math" w:hAnsi="Cambria Math"/>
                    </w:rPr>
                    <m:t xml:space="preserve">С</m:t>
                  </m:r>
                </m:sup>
              </m:sSubSup>
            </m:oMath>
            <w:r>
              <w:rPr>
                <w:rFonts w:eastAsia="" w:eastAsiaTheme="minorEastAsia"/>
              </w:rPr>
              <w:t xml:space="preserve"> 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243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Т</w:t>
            </w:r>
            <w:r>
              <w:rPr/>
            </w:r>
            <m:oMath xmlns:m="http://schemas.openxmlformats.org/officeDocument/2006/math">
              <m:sSubSup>
                <m:e>
                  <m:r>
                    <w:rPr>
                      <w:rFonts w:ascii="Cambria Math" w:hAnsi="Cambria Math"/>
                    </w:rPr>
                    <m:t xml:space="preserve">1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10</m:t>
                  </m:r>
                  <m:r>
                    <w:rPr>
                      <w:rFonts w:ascii="Cambria Math" w:hAnsi="Cambria Math"/>
                    </w:rPr>
                    <m:t xml:space="preserve">°</m:t>
                  </m:r>
                  <m:r>
                    <w:rPr>
                      <w:rFonts w:ascii="Cambria Math" w:hAnsi="Cambria Math"/>
                    </w:rPr>
                    <m:t xml:space="preserve">С</m:t>
                  </m:r>
                </m:sub>
                <m:sup>
                  <m:r>
                    <w:rPr>
                      <w:rFonts w:ascii="Cambria Math" w:hAnsi="Cambria Math"/>
                    </w:rPr>
                    <m:t xml:space="preserve">+</m:t>
                  </m:r>
                  <m:r>
                    <w:rPr>
                      <w:rFonts w:ascii="Cambria Math" w:hAnsi="Cambria Math"/>
                    </w:rPr>
                    <m:t xml:space="preserve">55</m:t>
                  </m:r>
                  <m:r>
                    <w:rPr>
                      <w:rFonts w:ascii="Cambria Math" w:hAnsi="Cambria Math"/>
                    </w:rPr>
                    <m:t xml:space="preserve">°</m:t>
                  </m:r>
                  <m:r>
                    <w:rPr>
                      <w:rFonts w:ascii="Cambria Math" w:hAnsi="Cambria Math"/>
                    </w:rPr>
                    <m:t xml:space="preserve">С</m:t>
                  </m:r>
                </m:sup>
              </m:sSubSup>
            </m:oMath>
            <w:r>
              <w:rPr>
                <w:rFonts w:eastAsia="" w:eastAsiaTheme="minorEastAsia"/>
              </w:rPr>
              <w:t xml:space="preserve"> 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>
          <w:trHeight w:val="715" w:hRule="atLeast"/>
        </w:trPr>
        <w:tc>
          <w:tcPr>
            <w:tcW w:w="478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6" w:space="0" w:color="4BACC6"/>
              <w:bottom w:val="single" w:sz="6" w:space="0" w:color="4BACC6"/>
              <w:right w:val="single" w:sz="6" w:space="0" w:color="4BACC6"/>
              <w:insideH w:val="single" w:sz="6" w:space="0" w:color="4BACC6"/>
              <w:insideV w:val="single" w:sz="6" w:space="0" w:color="4BACC6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Тип привода</w:t>
            </w:r>
          </w:p>
        </w:tc>
        <w:tc>
          <w:tcPr>
            <w:tcW w:w="2410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  <w:insideH w:val="single" w:sz="6" w:space="0" w:color="4BACC6"/>
              <w:insideV w:val="single" w:sz="6" w:space="0" w:color="4BACC6"/>
            </w:tcBorders>
            <w:shd w:fill="auto" w:val="clear"/>
            <w:tcMar>
              <w:left w:w="10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10" wp14:anchorId="2CD11496">
                      <wp:simplePos x="0" y="0"/>
                      <wp:positionH relativeFrom="column">
                        <wp:posOffset>998220</wp:posOffset>
                      </wp:positionH>
                      <wp:positionV relativeFrom="paragraph">
                        <wp:posOffset>147955</wp:posOffset>
                      </wp:positionV>
                      <wp:extent cx="140335" cy="140335"/>
                      <wp:effectExtent l="0" t="0" r="12700" b="12700"/>
                      <wp:wrapNone/>
                      <wp:docPr id="5" name="Прямоугольник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14" fillcolor="black" stroked="t" style="position:absolute;margin-left:78.6pt;margin-top:11.65pt;width:10.95pt;height:10.95pt" wp14:anchorId="2CD11496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12" wp14:anchorId="7FA2F483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-330200</wp:posOffset>
                      </wp:positionV>
                      <wp:extent cx="140335" cy="140335"/>
                      <wp:effectExtent l="0" t="0" r="12700" b="12700"/>
                      <wp:wrapNone/>
                      <wp:docPr id="6" name="Прямоугольник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13" fillcolor="black" stroked="t" style="position:absolute;margin-left:74pt;margin-top:-26pt;width:10.95pt;height:10.95pt" wp14:anchorId="7FA2F483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</w:r>
            <w:r>
              <w:rPr/>
              <w:t xml:space="preserve">Пружинный 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2434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insideH w:val="single" w:sz="6" w:space="0" w:color="4BACC6"/>
            </w:tcBorders>
            <w:shd w:fill="auto" w:val="clear"/>
            <w:tcMar>
              <w:left w:w="10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/>
              <w:t xml:space="preserve">Электромагнитный 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>
          <w:trHeight w:val="71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78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Наличие предохранительной мембраны (служит для защиты бака от разрыва при превышении давления)</w:t>
            </w:r>
          </w:p>
        </w:tc>
        <w:tc>
          <w:tcPr>
            <w:tcW w:w="2410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Да 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243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Нет </w:t>
            </w:r>
            <w:r>
              <w:rPr>
                <w:sz w:val="48"/>
                <w:szCs w:val="48"/>
              </w:rPr>
              <w:t>□</w:t>
            </w:r>
          </w:p>
        </w:tc>
      </w:tr>
    </w:tbl>
    <w:p>
      <w:pPr>
        <w:pStyle w:val="Caption"/>
        <w:keepNext w:val="true"/>
        <w:rPr/>
      </w:pPr>
      <w:r>
        <w:rPr/>
      </w:r>
    </w:p>
    <w:p>
      <w:pPr>
        <w:pStyle w:val="Caption"/>
        <w:keepNext w:val="true"/>
        <w:rPr/>
      </w:pPr>
      <w:r>
        <w:rPr/>
        <w:t xml:space="preserve">Таблица </w:t>
      </w:r>
      <w:r>
        <w:rPr/>
        <w:fldChar w:fldCharType="begin"/>
      </w:r>
      <w:r>
        <w:instrText> SEQ Таблица \* ARABIC </w:instrText>
      </w:r>
      <w:r>
        <w:fldChar w:fldCharType="separate"/>
      </w:r>
      <w:r>
        <w:t>2</w:t>
      </w:r>
      <w:r>
        <w:fldChar w:fldCharType="end"/>
      </w:r>
      <w:r>
        <w:rPr/>
        <w:t>. Дополнительная комплектация</w:t>
      </w:r>
    </w:p>
    <w:tbl>
      <w:tblPr>
        <w:tblStyle w:val="-5"/>
        <w:tblW w:w="9488" w:type="dxa"/>
        <w:jc w:val="left"/>
        <w:tblInd w:w="0" w:type="dxa"/>
        <w:tblCellMar>
          <w:top w:w="0" w:type="dxa"/>
          <w:left w:w="107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134"/>
        <w:gridCol w:w="3139"/>
        <w:gridCol w:w="3215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4BACC6" w:themeFill="accent5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Наименование</w:t>
            </w:r>
          </w:p>
        </w:tc>
        <w:tc>
          <w:tcPr>
            <w:tcW w:w="3139" w:type="dxa"/>
            <w:tcBorders/>
            <w:shd w:color="auto" w:fill="4BACC6" w:themeFill="accent5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tcW w:w="3215" w:type="dxa"/>
            <w:tcBorders/>
            <w:shd w:color="auto" w:fill="4BACC6" w:themeFill="accent5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Блок пружинный (служит для динамического включения выключателя с электромагнитным приводом при отсутствии питания)</w:t>
            </w:r>
          </w:p>
        </w:tc>
        <w:tc>
          <w:tcPr>
            <w:tcW w:w="3139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Да </w:t>
            </w:r>
            <w:r>
              <w:rPr>
                <w:sz w:val="48"/>
                <w:szCs w:val="48"/>
              </w:rPr>
              <w:t>□</w:t>
              <w:br/>
            </w:r>
            <w:r>
              <w:rPr/>
              <w:t>количество____штук</w:t>
            </w:r>
          </w:p>
        </w:tc>
        <w:tc>
          <w:tcPr>
            <w:tcW w:w="3215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15" wp14:anchorId="2A7DD8F5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144780</wp:posOffset>
                      </wp:positionV>
                      <wp:extent cx="140335" cy="140335"/>
                      <wp:effectExtent l="0" t="0" r="12700" b="12700"/>
                      <wp:wrapNone/>
                      <wp:docPr id="7" name="Прямоугольник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11" fillcolor="black" stroked="t" style="position:absolute;margin-left:79.9pt;margin-top:11.4pt;width:10.95pt;height:10.95pt" wp14:anchorId="2A7DD8F5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</w:r>
            <w:r>
              <w:rPr/>
              <w:t xml:space="preserve">Нет 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/>
        <w:tc>
          <w:tcPr>
            <w:tcW w:w="3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Устройство мониторинга высоковольтного выключателя</w:t>
            </w:r>
          </w:p>
        </w:tc>
        <w:tc>
          <w:tcPr>
            <w:tcW w:w="3139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Да 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3215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14" wp14:anchorId="5EA0FACF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152400</wp:posOffset>
                      </wp:positionV>
                      <wp:extent cx="140335" cy="140335"/>
                      <wp:effectExtent l="0" t="0" r="12700" b="12700"/>
                      <wp:wrapNone/>
                      <wp:docPr id="8" name="Прямоугольник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18" fillcolor="black" stroked="t" style="position:absolute;margin-left:79.15pt;margin-top:12pt;width:10.95pt;height:10.95pt" wp14:anchorId="5EA0FACF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</w:r>
            <w:r>
              <w:rPr/>
              <w:t xml:space="preserve">Нет 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3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Комплект электродов искрового промежутка, 1 или 2 комплекта на выключатель, отметить расположение</w:t>
            </w:r>
          </w:p>
        </w:tc>
        <w:tc>
          <w:tcPr>
            <w:tcW w:w="6354" w:type="dxa"/>
            <w:gridSpan w:val="2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</w:rPr>
            </w:pPr>
            <w: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1262380</wp:posOffset>
                  </wp:positionH>
                  <wp:positionV relativeFrom="paragraph">
                    <wp:posOffset>-3810</wp:posOffset>
                  </wp:positionV>
                  <wp:extent cx="1524000" cy="1257300"/>
                  <wp:effectExtent l="0" t="0" r="0" b="0"/>
                  <wp:wrapTight wrapText="bothSides">
                    <wp:wrapPolygon edited="0">
                      <wp:start x="-30" y="0"/>
                      <wp:lineTo x="-30" y="21243"/>
                      <wp:lineTo x="21326" y="21243"/>
                      <wp:lineTo x="21326" y="0"/>
                      <wp:lineTo x="-30" y="0"/>
                    </wp:wrapPolygon>
                  </wp:wrapTight>
                  <wp:docPr id="9" name="Рисунок 4" descr="C:\Users\User\Desktop\2023-09-01_105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4" descr="C:\Users\User\Desktop\2023-09-01_105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           □</w:t>
            </w:r>
          </w:p>
        </w:tc>
      </w:tr>
    </w:tbl>
    <w:p>
      <w:pPr>
        <w:pStyle w:val="Caption"/>
        <w:keepNext w:val="true"/>
        <w:rPr/>
      </w:pPr>
      <w:r>
        <w:rPr/>
        <w:t>Таблица 3. Характеристики привода</w:t>
      </w:r>
    </w:p>
    <w:tbl>
      <w:tblPr>
        <w:tblStyle w:val="-5"/>
        <w:tblW w:w="9488" w:type="dxa"/>
        <w:jc w:val="left"/>
        <w:tblInd w:w="0" w:type="dxa"/>
        <w:tblCellMar>
          <w:top w:w="0" w:type="dxa"/>
          <w:left w:w="107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951"/>
        <w:gridCol w:w="3426"/>
        <w:gridCol w:w="951"/>
        <w:gridCol w:w="998"/>
        <w:gridCol w:w="116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51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4BACC6" w:themeFill="accent5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Исполнение привода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tcW w:w="3426" w:type="dxa"/>
            <w:vMerge w:val="restart"/>
            <w:tcBorders/>
            <w:shd w:color="auto" w:fill="4BACC6" w:themeFill="accent5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Наименование параметра</w:t>
            </w:r>
          </w:p>
        </w:tc>
        <w:tc>
          <w:tcPr>
            <w:tcW w:w="3111" w:type="dxa"/>
            <w:gridSpan w:val="3"/>
            <w:tcBorders/>
            <w:shd w:color="auto" w:fill="4BACC6" w:themeFill="accent5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Требуемые параметры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vMerge w:val="continue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Стандарт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По заказу</w:t>
            </w:r>
          </w:p>
        </w:tc>
      </w:tr>
      <w:tr>
        <w:trPr/>
        <w:tc>
          <w:tcPr>
            <w:tcW w:w="2951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Исп.1 </w:t>
            </w:r>
            <w:r>
              <w:rPr>
                <w:b/>
                <w:bCs/>
                <w:sz w:val="48"/>
                <w:szCs w:val="48"/>
              </w:rPr>
              <w:t>□</w:t>
              <w:br/>
            </w:r>
            <w:r>
              <w:rPr>
                <w:b/>
                <w:bCs/>
                <w:sz w:val="20"/>
                <w:szCs w:val="20"/>
              </w:rPr>
              <w:t>привод, предусматривающий питание всех указанных цепей от источника постоянного тока</w:t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Номинальное напряжение постоянного тока цепей питания электромагнитов включения, отключения и контактора, В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=220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=110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Второй электромагнит отключения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Нет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Да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/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Доп. переключатель сигнальных контактов на 10 групп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Нет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Да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Блокировка операций «В» и «О», когда команда на включение остаётся поданной после автоматического отключения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Нет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Да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/>
        <w:tc>
          <w:tcPr>
            <w:tcW w:w="2951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Исп.2 </w:t>
            </w:r>
            <w:r>
              <w:rPr>
                <w:b/>
                <w:bCs/>
                <w:sz w:val="48"/>
                <w:szCs w:val="48"/>
              </w:rPr>
              <w:t>□</w:t>
              <w:br/>
            </w:r>
            <w:r>
              <w:rPr>
                <w:b/>
                <w:bCs/>
                <w:sz w:val="20"/>
                <w:szCs w:val="20"/>
              </w:rPr>
              <w:t>привод, предусматривающий питание цепи YA1 выпрямленным (через встроенный выпрямитель) током, а питание цепей YA2 и КМ - постоянным током</w:t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Номинальное напряжение переменного тока цепей питания электромагнита включения, В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m:t xml:space="preserve"> </m:t>
              </m:r>
            </m:oMath>
            <w:r>
              <w:rPr/>
              <w:t>220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Номинальное напряжение постоянного тока цепей питания электромагнита отключения и контактора, В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=220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/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Доп. переключатель сигнальных контактов на 10 групп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Нет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Да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Блокировка операций «В» и «О», когда команда на включение остаётся поданной после автоматического отключения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5" wp14:anchorId="686B817C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807720</wp:posOffset>
                      </wp:positionV>
                      <wp:extent cx="140335" cy="140335"/>
                      <wp:effectExtent l="0" t="0" r="12700" b="12700"/>
                      <wp:wrapNone/>
                      <wp:docPr id="10" name="Прямоугольник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5" fillcolor="black" stroked="t" style="position:absolute;margin-left:58.5pt;margin-top:63.6pt;width:10.95pt;height:10.95pt" wp14:anchorId="686B817C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</w:r>
            <w:r>
              <w:rPr/>
              <w:t>Нет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Да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/>
        <w:tc>
          <w:tcPr>
            <w:tcW w:w="2951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4" wp14:anchorId="3F38F416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19050</wp:posOffset>
                      </wp:positionV>
                      <wp:extent cx="140335" cy="140335"/>
                      <wp:effectExtent l="0" t="0" r="12700" b="12700"/>
                      <wp:wrapNone/>
                      <wp:docPr id="11" name="Прямоугольник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1" fillcolor="black" stroked="t" style="position:absolute;margin-left:85.05pt;margin-top:1.5pt;width:10.95pt;height:10.95pt" wp14:anchorId="3F38F416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Исп.3 </w:t>
            </w:r>
            <w:r>
              <w:rPr>
                <w:b/>
                <w:bCs/>
                <w:sz w:val="48"/>
                <w:szCs w:val="48"/>
              </w:rPr>
              <w:br/>
            </w:r>
            <w:r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привод, предусматривающий питание всех указанных цепей выпрямленным (через встроенные выпрямители) током, комплектуется блоком реле с расцепителями прямого действия</w:t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Номинальное напряжение переменного тока цепей питания электромагнитов включения, отключения и контактора, В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m:t xml:space="preserve"> </m:t>
              </m:r>
            </m:oMath>
            <w:r>
              <w:rPr/>
              <w:t>220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Электромагнит релейного отключения </w:t>
            </w:r>
            <w:r>
              <w:rPr>
                <w:lang w:val="en-US"/>
              </w:rPr>
              <w:t>YAV</w:t>
            </w:r>
            <w:r>
              <w:rPr/>
              <w:t xml:space="preserve"> на напряжение, В</w:t>
            </w:r>
          </w:p>
        </w:tc>
        <w:tc>
          <w:tcPr>
            <w:tcW w:w="95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=220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998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m:t xml:space="preserve"> </m:t>
              </m:r>
            </m:oMath>
            <w:r>
              <w:rPr/>
              <w:t>220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6" wp14:anchorId="112484E6">
                      <wp:simplePos x="0" y="0"/>
                      <wp:positionH relativeFrom="column">
                        <wp:posOffset>-257810</wp:posOffset>
                      </wp:positionH>
                      <wp:positionV relativeFrom="paragraph">
                        <wp:posOffset>120650</wp:posOffset>
                      </wp:positionV>
                      <wp:extent cx="140335" cy="140335"/>
                      <wp:effectExtent l="0" t="0" r="12700" b="12700"/>
                      <wp:wrapNone/>
                      <wp:docPr id="12" name="Прямоугольник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6" fillcolor="black" stroked="t" style="position:absolute;margin-left:-20.3pt;margin-top:9.5pt;width:10.95pt;height:10.95pt" wp14:anchorId="112484E6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</w:r>
            <w:r>
              <w:rPr/>
              <w:t>=110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/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Токовые электромагниты </w:t>
            </w:r>
            <w:r>
              <w:rPr>
                <w:lang w:val="en-US"/>
              </w:rPr>
              <w:t>YAA</w:t>
            </w:r>
            <w:r>
              <w:rPr/>
              <w:t xml:space="preserve"> ток, </w:t>
            </w:r>
            <w:r>
              <w:rPr>
                <w:lang w:val="en-US"/>
              </w:rPr>
              <w:t>A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7" wp14:anchorId="64B7B04C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12700</wp:posOffset>
                      </wp:positionV>
                      <wp:extent cx="140335" cy="140335"/>
                      <wp:effectExtent l="0" t="0" r="12700" b="12700"/>
                      <wp:wrapNone/>
                      <wp:docPr id="13" name="Прямоугольник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7" fillcolor="black" stroked="t" style="position:absolute;margin-left:50.5pt;margin-top:1pt;width:10.95pt;height:10.95pt" wp14:anchorId="64B7B04C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</w:r>
            <w:r>
              <w:rPr>
                <w:lang w:val="en-US"/>
              </w:rPr>
              <w:t xml:space="preserve">5 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3 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Блокировка операций «В» и «О», когда команда на включение остаётся поданной после автоматического отключения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Нет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8" wp14:anchorId="10E37B42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10160</wp:posOffset>
                      </wp:positionV>
                      <wp:extent cx="140335" cy="140335"/>
                      <wp:effectExtent l="0" t="0" r="12700" b="12700"/>
                      <wp:wrapNone/>
                      <wp:docPr id="14" name="Прямоугольник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80" cy="139680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10" fillcolor="black" stroked="t" style="position:absolute;margin-left:33.5pt;margin-top:0.8pt;width:10.95pt;height:10.95pt" wp14:anchorId="10E37B42">
                      <w10:wrap type="none"/>
                      <v:fill o:detectmouseclick="t" type="solid" color2="white"/>
                      <v:stroke color="black" weight="25560" joinstyle="round" endcap="flat"/>
                    </v:rect>
                  </w:pict>
                </mc:Fallback>
              </mc:AlternateContent>
            </w:r>
            <w:r>
              <w:rPr/>
              <w:t>Да</w:t>
            </w:r>
          </w:p>
        </w:tc>
      </w:tr>
      <w:tr>
        <w:trPr/>
        <w:tc>
          <w:tcPr>
            <w:tcW w:w="2951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b/>
                <w:bCs/>
              </w:rPr>
              <w:t xml:space="preserve">Исп.4 </w:t>
            </w:r>
            <w:r>
              <w:rPr>
                <w:b/>
                <w:bCs/>
                <w:sz w:val="48"/>
                <w:szCs w:val="48"/>
              </w:rPr>
              <w:t>□</w:t>
              <w:br/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привод, предусматривающий питание всех указанных цепей от источника постоянного тока, комплектуется доп. переключателем сигнальных контактов на 10 групп, двумя электромагнитами отключения, переключателем дистанционного/местного управления.</w:t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Номинальное напряжение постоянного тока цепей питания электромагнитов включения, отключения и контактора, В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=220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>=110</w:t>
            </w:r>
            <w:r>
              <w:rPr>
                <w:sz w:val="48"/>
                <w:szCs w:val="48"/>
              </w:rPr>
              <w:t>□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5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2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Блокировка операций «В» и «О», когда команда на включение остаётся поданной после автоматического отключения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Нет</w:t>
            </w:r>
            <w:r>
              <w:rPr>
                <w:sz w:val="48"/>
                <w:szCs w:val="48"/>
              </w:rPr>
              <w:t>□</w:t>
            </w:r>
          </w:p>
        </w:tc>
        <w:tc>
          <w:tcPr>
            <w:tcW w:w="116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>Да</w:t>
            </w:r>
            <w:r>
              <w:rPr>
                <w:sz w:val="48"/>
                <w:szCs w:val="48"/>
              </w:rPr>
              <w:t>□</w:t>
            </w:r>
          </w:p>
        </w:tc>
      </w:tr>
    </w:tbl>
    <w:p>
      <w:pPr>
        <w:pStyle w:val="Normal"/>
        <w:rPr>
          <w:b/>
          <w:b/>
          <w:bCs/>
          <w:color w:val="4F81BD" w:themeColor="accent1"/>
          <w:sz w:val="18"/>
          <w:szCs w:val="18"/>
        </w:rPr>
      </w:pPr>
      <w:r>
        <w:rPr>
          <w:b/>
          <w:bCs/>
          <w:color w:val="4F81BD" w:themeColor="accent1"/>
          <w:sz w:val="18"/>
          <w:szCs w:val="18"/>
        </w:rPr>
      </w:r>
    </w:p>
    <w:p>
      <w:pPr>
        <w:pStyle w:val="Caption"/>
        <w:keepNext w:val="true"/>
        <w:rPr/>
      </w:pPr>
      <w:r>
        <w:rPr/>
        <w:t>Таблица 4. Стандартный вариант комплектации трансформаторами тока</w:t>
      </w:r>
      <w:r>
        <w:rPr>
          <w:sz w:val="48"/>
          <w:szCs w:val="48"/>
        </w:rPr>
        <w:t>□</w:t>
      </w:r>
    </w:p>
    <w:tbl>
      <w:tblPr>
        <w:tblStyle w:val="-5"/>
        <w:tblW w:w="9336" w:type="dxa"/>
        <w:jc w:val="left"/>
        <w:tblInd w:w="0" w:type="dxa"/>
        <w:tblCellMar>
          <w:top w:w="0" w:type="dxa"/>
          <w:left w:w="107" w:type="dxa"/>
          <w:bottom w:w="0" w:type="dxa"/>
          <w:right w:w="108" w:type="dxa"/>
        </w:tblCellMar>
        <w:tblLook w:val="0400" w:noVBand="1" w:noHBand="0" w:lastColumn="0" w:firstColumn="0" w:lastRow="0" w:firstRow="0"/>
      </w:tblPr>
      <w:tblGrid>
        <w:gridCol w:w="592"/>
        <w:gridCol w:w="747"/>
        <w:gridCol w:w="903"/>
        <w:gridCol w:w="541"/>
        <w:gridCol w:w="746"/>
        <w:gridCol w:w="903"/>
        <w:gridCol w:w="541"/>
        <w:gridCol w:w="747"/>
        <w:gridCol w:w="881"/>
        <w:gridCol w:w="541"/>
        <w:gridCol w:w="746"/>
        <w:gridCol w:w="903"/>
        <w:gridCol w:w="544"/>
      </w:tblGrid>
      <w:tr>
        <w:trPr>
          <w:trHeight w:val="1459" w:hRule="exact"/>
          <w:cantSplit w:val="true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92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/>
              <w:t>Трансфор-матор  тока</w:t>
            </w:r>
          </w:p>
        </w:tc>
        <w:tc>
          <w:tcPr>
            <w:tcW w:w="747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ном</w:t>
            </w:r>
            <w:r>
              <w:rPr/>
              <w:t>/</w:t>
            </w: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vertAlign w:val="subscript"/>
              </w:rPr>
              <w:t>ном</w:t>
            </w:r>
            <w:r>
              <w:rPr/>
              <w:t xml:space="preserve"> , А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/>
              <w:t>Класс точности/нагрузка, ВА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vertAlign w:val="subscript"/>
              </w:rPr>
            </w:pPr>
            <w:r>
              <w:rPr/>
              <w:t>К</w:t>
            </w:r>
            <w:r>
              <w:rPr>
                <w:vertAlign w:val="subscript"/>
              </w:rPr>
              <w:t>бном</w:t>
            </w:r>
            <w:r>
              <w:rPr/>
              <w:t xml:space="preserve"> или К</w:t>
            </w:r>
            <w:r>
              <w:rPr>
                <w:vertAlign w:val="subscript"/>
              </w:rPr>
              <w:t>ном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ном</w:t>
            </w:r>
            <w:r>
              <w:rPr/>
              <w:t>/</w:t>
            </w: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vertAlign w:val="subscript"/>
              </w:rPr>
              <w:t>ном</w:t>
            </w:r>
            <w:r>
              <w:rPr/>
              <w:t xml:space="preserve"> , А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/>
              <w:t>Класс точности/нагрузка, ВА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vertAlign w:val="subscript"/>
              </w:rPr>
            </w:pPr>
            <w:r>
              <w:rPr/>
              <w:t>К</w:t>
            </w:r>
            <w:r>
              <w:rPr>
                <w:vertAlign w:val="subscript"/>
              </w:rPr>
              <w:t>бном</w:t>
            </w:r>
            <w:r>
              <w:rPr/>
              <w:t xml:space="preserve"> или К</w:t>
            </w:r>
            <w:r>
              <w:rPr>
                <w:vertAlign w:val="subscript"/>
              </w:rPr>
              <w:t>ном</w:t>
            </w:r>
          </w:p>
        </w:tc>
        <w:tc>
          <w:tcPr>
            <w:tcW w:w="747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ном</w:t>
            </w:r>
            <w:r>
              <w:rPr/>
              <w:t>/</w:t>
            </w: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vertAlign w:val="subscript"/>
              </w:rPr>
              <w:t>ном</w:t>
            </w:r>
            <w:r>
              <w:rPr/>
              <w:t xml:space="preserve"> , А</w:t>
            </w:r>
          </w:p>
        </w:tc>
        <w:tc>
          <w:tcPr>
            <w:tcW w:w="881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/>
              <w:t>Класс точности/нагрузка, ВА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vertAlign w:val="subscript"/>
              </w:rPr>
            </w:pPr>
            <w:r>
              <w:rPr/>
              <w:t>К</w:t>
            </w:r>
            <w:r>
              <w:rPr>
                <w:vertAlign w:val="subscript"/>
              </w:rPr>
              <w:t>бном</w:t>
            </w:r>
            <w:r>
              <w:rPr/>
              <w:t xml:space="preserve"> или К</w:t>
            </w:r>
            <w:r>
              <w:rPr>
                <w:vertAlign w:val="subscript"/>
              </w:rPr>
              <w:t>ном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ном</w:t>
            </w:r>
            <w:r>
              <w:rPr/>
              <w:t>/</w:t>
            </w: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vertAlign w:val="subscript"/>
              </w:rPr>
              <w:t>ном</w:t>
            </w:r>
            <w:r>
              <w:rPr/>
              <w:t xml:space="preserve"> , А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/>
              <w:t>Класс точности/нагрузка, ВА</w:t>
            </w:r>
          </w:p>
        </w:tc>
        <w:tc>
          <w:tcPr>
            <w:tcW w:w="544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vertAlign w:val="subscript"/>
              </w:rPr>
            </w:pPr>
            <w:r>
              <w:rPr/>
              <w:t>К</w:t>
            </w:r>
            <w:r>
              <w:rPr>
                <w:vertAlign w:val="subscript"/>
              </w:rPr>
              <w:t>бном</w:t>
            </w:r>
            <w:r>
              <w:rPr/>
              <w:t xml:space="preserve"> или К</w:t>
            </w:r>
            <w:r>
              <w:rPr>
                <w:vertAlign w:val="subscript"/>
              </w:rPr>
              <w:t>ном</w:t>
            </w:r>
          </w:p>
        </w:tc>
      </w:tr>
      <w:tr>
        <w:trPr/>
        <w:tc>
          <w:tcPr>
            <w:tcW w:w="59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ТА1</w:t>
            </w:r>
          </w:p>
        </w:tc>
        <w:tc>
          <w:tcPr>
            <w:tcW w:w="74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600/5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>0,2</w:t>
            </w:r>
            <w:r>
              <w:rPr>
                <w:lang w:val="en-US"/>
              </w:rPr>
              <w:t>S/30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300/5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>0,2</w:t>
            </w:r>
            <w:r>
              <w:rPr>
                <w:lang w:val="en-US"/>
              </w:rPr>
              <w:t>S/15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4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200/5</w:t>
            </w:r>
          </w:p>
        </w:tc>
        <w:tc>
          <w:tcPr>
            <w:tcW w:w="88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>0,2</w:t>
            </w:r>
            <w:r>
              <w:rPr>
                <w:lang w:val="en-US"/>
              </w:rPr>
              <w:t>/10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150/5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>0,</w:t>
            </w:r>
            <w:r>
              <w:rPr>
                <w:lang w:val="en-US"/>
              </w:rPr>
              <w:t>5S/10</w:t>
            </w:r>
          </w:p>
        </w:tc>
        <w:tc>
          <w:tcPr>
            <w:tcW w:w="54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9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ТА2</w:t>
            </w:r>
          </w:p>
        </w:tc>
        <w:tc>
          <w:tcPr>
            <w:tcW w:w="74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600/5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>0,2</w:t>
            </w:r>
            <w:r>
              <w:rPr>
                <w:lang w:val="en-US"/>
              </w:rPr>
              <w:t>S/30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300/5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>0,2</w:t>
            </w:r>
            <w:r>
              <w:rPr>
                <w:lang w:val="en-US"/>
              </w:rPr>
              <w:t>S/15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4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200/5</w:t>
            </w:r>
          </w:p>
        </w:tc>
        <w:tc>
          <w:tcPr>
            <w:tcW w:w="88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>0,2</w:t>
            </w:r>
            <w:r>
              <w:rPr>
                <w:lang w:val="en-US"/>
              </w:rPr>
              <w:t>/10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150/5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>0,</w:t>
            </w:r>
            <w:r>
              <w:rPr>
                <w:lang w:val="en-US"/>
              </w:rPr>
              <w:t>5S/10</w:t>
            </w:r>
          </w:p>
        </w:tc>
        <w:tc>
          <w:tcPr>
            <w:tcW w:w="54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>
        <w:trPr/>
        <w:tc>
          <w:tcPr>
            <w:tcW w:w="59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ТА3</w:t>
            </w:r>
          </w:p>
        </w:tc>
        <w:tc>
          <w:tcPr>
            <w:tcW w:w="74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600/5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10P/30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300/5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10P/30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74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200/5</w:t>
            </w:r>
          </w:p>
        </w:tc>
        <w:tc>
          <w:tcPr>
            <w:tcW w:w="88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10P/30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150/5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10P/30</w:t>
            </w:r>
          </w:p>
        </w:tc>
        <w:tc>
          <w:tcPr>
            <w:tcW w:w="54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9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ТА4</w:t>
            </w:r>
          </w:p>
        </w:tc>
        <w:tc>
          <w:tcPr>
            <w:tcW w:w="74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600/5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10P/30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300/5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10P/30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74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200/5</w:t>
            </w:r>
          </w:p>
        </w:tc>
        <w:tc>
          <w:tcPr>
            <w:tcW w:w="88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10P/30</w:t>
            </w:r>
          </w:p>
        </w:tc>
        <w:tc>
          <w:tcPr>
            <w:tcW w:w="541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150/5</w:t>
            </w:r>
          </w:p>
        </w:tc>
        <w:tc>
          <w:tcPr>
            <w:tcW w:w="90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10P/30</w:t>
            </w:r>
          </w:p>
        </w:tc>
        <w:tc>
          <w:tcPr>
            <w:tcW w:w="54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>
      <w:pPr>
        <w:pStyle w:val="Normal"/>
        <w:rPr/>
      </w:pPr>
      <w:r>
        <w:rPr/>
      </w:r>
    </w:p>
    <w:p>
      <w:pPr>
        <w:pStyle w:val="Caption"/>
        <w:keepNext w:val="true"/>
        <w:rPr/>
      </w:pPr>
      <w:r>
        <w:rPr/>
        <w:t>Таблица 5. Специальный вариант комплектации трансформаторами тока</w:t>
      </w:r>
      <w:r>
        <w:rPr>
          <w:rFonts w:eastAsia="Wingdings" w:cs="Wingdings" w:ascii="Wingdings" w:hAnsi="Wingdings"/>
          <w:sz w:val="32"/>
          <w:szCs w:val="32"/>
        </w:rPr>
        <w:t></w:t>
      </w:r>
    </w:p>
    <w:tbl>
      <w:tblPr>
        <w:tblStyle w:val="-5"/>
        <w:tblW w:w="9488" w:type="dxa"/>
        <w:jc w:val="left"/>
        <w:tblInd w:w="0" w:type="dxa"/>
        <w:tblCellMar>
          <w:top w:w="0" w:type="dxa"/>
          <w:left w:w="107" w:type="dxa"/>
          <w:bottom w:w="0" w:type="dxa"/>
          <w:right w:w="108" w:type="dxa"/>
        </w:tblCellMar>
        <w:tblLook w:val="0400" w:noVBand="1" w:noHBand="0" w:lastColumn="0" w:firstColumn="0" w:lastRow="0" w:firstRow="0"/>
      </w:tblPr>
      <w:tblGrid>
        <w:gridCol w:w="582"/>
        <w:gridCol w:w="576"/>
        <w:gridCol w:w="626"/>
        <w:gridCol w:w="1"/>
        <w:gridCol w:w="523"/>
        <w:gridCol w:w="756"/>
        <w:gridCol w:w="969"/>
        <w:gridCol w:w="784"/>
        <w:gridCol w:w="746"/>
        <w:gridCol w:w="764"/>
        <w:gridCol w:w="696"/>
        <w:gridCol w:w="757"/>
        <w:gridCol w:w="998"/>
        <w:gridCol w:w="709"/>
      </w:tblGrid>
      <w:tr>
        <w:trPr>
          <w:trHeight w:val="1345" w:hRule="exact"/>
          <w:cantSplit w:val="true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82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/>
              <w:t>Трансфор-матор  тока</w:t>
            </w:r>
          </w:p>
        </w:tc>
        <w:tc>
          <w:tcPr>
            <w:tcW w:w="576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ном</w:t>
            </w:r>
            <w:r>
              <w:rPr/>
              <w:t>/</w:t>
            </w: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vertAlign w:val="subscript"/>
              </w:rPr>
              <w:t>ном</w:t>
            </w:r>
            <w:r>
              <w:rPr/>
              <w:t xml:space="preserve"> , А</w:t>
            </w:r>
          </w:p>
        </w:tc>
        <w:tc>
          <w:tcPr>
            <w:tcW w:w="627" w:type="dxa"/>
            <w:gridSpan w:val="2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/>
              <w:t>Класс точности/нагрузка, ВА</w:t>
            </w:r>
          </w:p>
        </w:tc>
        <w:tc>
          <w:tcPr>
            <w:tcW w:w="523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vertAlign w:val="subscript"/>
              </w:rPr>
            </w:pPr>
            <w:r>
              <w:rPr/>
              <w:t>К</w:t>
            </w:r>
            <w:r>
              <w:rPr>
                <w:vertAlign w:val="subscript"/>
              </w:rPr>
              <w:t>бном</w:t>
            </w:r>
            <w:r>
              <w:rPr/>
              <w:t xml:space="preserve"> или К</w:t>
            </w:r>
            <w:r>
              <w:rPr>
                <w:vertAlign w:val="subscript"/>
              </w:rPr>
              <w:t>ном</w:t>
            </w:r>
          </w:p>
        </w:tc>
        <w:tc>
          <w:tcPr>
            <w:tcW w:w="756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ном</w:t>
            </w:r>
            <w:r>
              <w:rPr/>
              <w:t>/</w:t>
            </w: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vertAlign w:val="subscript"/>
              </w:rPr>
              <w:t>ном</w:t>
            </w:r>
            <w:r>
              <w:rPr/>
              <w:t xml:space="preserve"> , А</w:t>
            </w:r>
          </w:p>
        </w:tc>
        <w:tc>
          <w:tcPr>
            <w:tcW w:w="969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/>
              <w:t>Класс точности/нагрузка, ВА</w:t>
            </w:r>
          </w:p>
        </w:tc>
        <w:tc>
          <w:tcPr>
            <w:tcW w:w="784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vertAlign w:val="subscript"/>
              </w:rPr>
            </w:pPr>
            <w:r>
              <w:rPr/>
              <w:t>К</w:t>
            </w:r>
            <w:r>
              <w:rPr>
                <w:vertAlign w:val="subscript"/>
              </w:rPr>
              <w:t>бном</w:t>
            </w:r>
            <w:r>
              <w:rPr/>
              <w:t xml:space="preserve"> или К</w:t>
            </w:r>
            <w:r>
              <w:rPr>
                <w:vertAlign w:val="subscript"/>
              </w:rPr>
              <w:t>ном</w:t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ном</w:t>
            </w:r>
            <w:r>
              <w:rPr/>
              <w:t>/</w:t>
            </w: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vertAlign w:val="subscript"/>
              </w:rPr>
              <w:t>ном</w:t>
            </w:r>
            <w:r>
              <w:rPr/>
              <w:t xml:space="preserve"> , А</w:t>
            </w:r>
          </w:p>
        </w:tc>
        <w:tc>
          <w:tcPr>
            <w:tcW w:w="764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/>
              <w:t>Класс точности/нагрузка, ВА</w:t>
            </w:r>
          </w:p>
        </w:tc>
        <w:tc>
          <w:tcPr>
            <w:tcW w:w="696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vertAlign w:val="subscript"/>
              </w:rPr>
            </w:pPr>
            <w:r>
              <w:rPr/>
              <w:t>К</w:t>
            </w:r>
            <w:r>
              <w:rPr>
                <w:vertAlign w:val="subscript"/>
              </w:rPr>
              <w:t>бном</w:t>
            </w:r>
            <w:r>
              <w:rPr/>
              <w:t xml:space="preserve"> или К</w:t>
            </w:r>
            <w:r>
              <w:rPr>
                <w:vertAlign w:val="subscript"/>
              </w:rPr>
              <w:t>ном</w:t>
            </w:r>
          </w:p>
        </w:tc>
        <w:tc>
          <w:tcPr>
            <w:tcW w:w="757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ном</w:t>
            </w:r>
            <w:r>
              <w:rPr/>
              <w:t>/</w:t>
            </w:r>
            <w:r>
              <w:rPr>
                <w:lang w:val="en-US"/>
              </w:rPr>
              <w:t>I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vertAlign w:val="subscript"/>
              </w:rPr>
              <w:t>ном</w:t>
            </w:r>
            <w:r>
              <w:rPr/>
              <w:t xml:space="preserve"> , А</w:t>
            </w:r>
          </w:p>
        </w:tc>
        <w:tc>
          <w:tcPr>
            <w:tcW w:w="998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/>
            </w:pPr>
            <w:r>
              <w:rPr/>
              <w:t>Класс точности/нагрузка, ВА</w:t>
            </w:r>
          </w:p>
        </w:tc>
        <w:tc>
          <w:tcPr>
            <w:tcW w:w="709" w:type="dxa"/>
            <w:tcBorders/>
            <w:shd w:fill="auto" w:val="clear"/>
            <w:tcMar>
              <w:left w:w="107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vertAlign w:val="subscript"/>
              </w:rPr>
            </w:pPr>
            <w:r>
              <w:rPr/>
              <w:t>К</w:t>
            </w:r>
            <w:r>
              <w:rPr>
                <w:vertAlign w:val="subscript"/>
              </w:rPr>
              <w:t>бном</w:t>
            </w:r>
            <w:r>
              <w:rPr/>
              <w:t xml:space="preserve"> или К</w:t>
            </w:r>
            <w:r>
              <w:rPr>
                <w:vertAlign w:val="subscript"/>
              </w:rPr>
              <w:t>ном</w:t>
            </w:r>
          </w:p>
        </w:tc>
      </w:tr>
      <w:tr>
        <w:trPr/>
        <w:tc>
          <w:tcPr>
            <w:tcW w:w="58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ТА1</w:t>
            </w:r>
          </w:p>
        </w:tc>
        <w:tc>
          <w:tcPr>
            <w:tcW w:w="57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627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2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5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300/5</w:t>
            </w:r>
          </w:p>
        </w:tc>
        <w:tc>
          <w:tcPr>
            <w:tcW w:w="96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0.</w:t>
            </w:r>
            <w:r>
              <w:rPr>
                <w:lang w:val="en-US"/>
              </w:rPr>
              <w:t>2S</w:t>
            </w:r>
            <w:r>
              <w:rPr/>
              <w:t>/</w:t>
            </w:r>
          </w:p>
        </w:tc>
        <w:tc>
          <w:tcPr>
            <w:tcW w:w="78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200/5</w:t>
            </w:r>
          </w:p>
        </w:tc>
        <w:tc>
          <w:tcPr>
            <w:tcW w:w="76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0.</w:t>
            </w:r>
            <w:r>
              <w:rPr>
                <w:lang w:val="en-US"/>
              </w:rPr>
              <w:t>2S</w:t>
            </w:r>
            <w:r>
              <w:rPr/>
              <w:t>/</w:t>
            </w:r>
          </w:p>
        </w:tc>
        <w:tc>
          <w:tcPr>
            <w:tcW w:w="69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75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100/5</w:t>
            </w:r>
          </w:p>
        </w:tc>
        <w:tc>
          <w:tcPr>
            <w:tcW w:w="998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0.</w:t>
            </w:r>
            <w:r>
              <w:rPr>
                <w:b/>
                <w:lang w:val="en-US"/>
              </w:rPr>
              <w:t>2S</w:t>
            </w:r>
            <w:r>
              <w:rPr>
                <w:b/>
              </w:rPr>
              <w:t>/10</w:t>
            </w:r>
          </w:p>
        </w:tc>
        <w:tc>
          <w:tcPr>
            <w:tcW w:w="70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5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8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ТА2</w:t>
            </w:r>
          </w:p>
        </w:tc>
        <w:tc>
          <w:tcPr>
            <w:tcW w:w="57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627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52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75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300/5</w:t>
            </w:r>
          </w:p>
        </w:tc>
        <w:tc>
          <w:tcPr>
            <w:tcW w:w="96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0.</w:t>
            </w:r>
            <w:r>
              <w:rPr>
                <w:lang w:val="en-US"/>
              </w:rPr>
              <w:t>2S</w:t>
            </w:r>
            <w:r>
              <w:rPr/>
              <w:t>/</w:t>
            </w:r>
          </w:p>
        </w:tc>
        <w:tc>
          <w:tcPr>
            <w:tcW w:w="78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200/5</w:t>
            </w:r>
          </w:p>
        </w:tc>
        <w:tc>
          <w:tcPr>
            <w:tcW w:w="76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0.</w:t>
            </w:r>
            <w:r>
              <w:rPr>
                <w:lang w:val="en-US"/>
              </w:rPr>
              <w:t>2S</w:t>
            </w:r>
            <w:r>
              <w:rPr/>
              <w:t>/</w:t>
            </w:r>
          </w:p>
        </w:tc>
        <w:tc>
          <w:tcPr>
            <w:tcW w:w="69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75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100/5</w:t>
            </w:r>
          </w:p>
        </w:tc>
        <w:tc>
          <w:tcPr>
            <w:tcW w:w="998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0.</w:t>
            </w:r>
            <w:r>
              <w:rPr>
                <w:b/>
                <w:lang w:val="en-US"/>
              </w:rPr>
              <w:t>2S</w:t>
            </w:r>
            <w:r>
              <w:rPr>
                <w:b/>
              </w:rPr>
              <w:t>/10</w:t>
            </w:r>
          </w:p>
        </w:tc>
        <w:tc>
          <w:tcPr>
            <w:tcW w:w="70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5</w:t>
            </w:r>
          </w:p>
        </w:tc>
      </w:tr>
      <w:tr>
        <w:trPr/>
        <w:tc>
          <w:tcPr>
            <w:tcW w:w="58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ТА3</w:t>
            </w:r>
          </w:p>
        </w:tc>
        <w:tc>
          <w:tcPr>
            <w:tcW w:w="57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627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52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75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300/5</w:t>
            </w:r>
          </w:p>
        </w:tc>
        <w:tc>
          <w:tcPr>
            <w:tcW w:w="96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>
              <w:rPr>
                <w:bCs/>
                <w:lang w:val="en-US"/>
              </w:rPr>
              <w:t>PR</w:t>
            </w:r>
            <w:r>
              <w:rPr>
                <w:bCs/>
              </w:rPr>
              <w:t>/</w:t>
            </w:r>
          </w:p>
        </w:tc>
        <w:tc>
          <w:tcPr>
            <w:tcW w:w="78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200/5</w:t>
            </w:r>
          </w:p>
        </w:tc>
        <w:tc>
          <w:tcPr>
            <w:tcW w:w="764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</w:t>
            </w:r>
            <w:r>
              <w:rPr>
                <w:lang w:val="en-US"/>
              </w:rPr>
              <w:t>PR/</w:t>
            </w:r>
          </w:p>
        </w:tc>
        <w:tc>
          <w:tcPr>
            <w:tcW w:w="696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00/5</w:t>
            </w:r>
          </w:p>
        </w:tc>
        <w:tc>
          <w:tcPr>
            <w:tcW w:w="998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10</w:t>
            </w:r>
            <w:r>
              <w:rPr>
                <w:b/>
                <w:lang w:val="en-US"/>
              </w:rPr>
              <w:t>PR</w:t>
            </w:r>
            <w:r>
              <w:rPr>
                <w:b/>
              </w:rPr>
              <w:t>/30</w:t>
            </w:r>
          </w:p>
        </w:tc>
        <w:tc>
          <w:tcPr>
            <w:tcW w:w="70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</w:rPr>
              <w:t>20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8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ТА4</w:t>
            </w:r>
          </w:p>
        </w:tc>
        <w:tc>
          <w:tcPr>
            <w:tcW w:w="57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627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52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75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300/5</w:t>
            </w:r>
          </w:p>
        </w:tc>
        <w:tc>
          <w:tcPr>
            <w:tcW w:w="96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>
              <w:rPr>
                <w:bCs/>
                <w:lang w:val="en-US"/>
              </w:rPr>
              <w:t>PR</w:t>
            </w:r>
            <w:r>
              <w:rPr>
                <w:bCs/>
              </w:rPr>
              <w:t>/</w:t>
            </w:r>
          </w:p>
        </w:tc>
        <w:tc>
          <w:tcPr>
            <w:tcW w:w="78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200/5</w:t>
            </w:r>
          </w:p>
        </w:tc>
        <w:tc>
          <w:tcPr>
            <w:tcW w:w="764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</w:t>
            </w:r>
            <w:r>
              <w:rPr>
                <w:lang w:val="en-US"/>
              </w:rPr>
              <w:t>PR/</w:t>
            </w:r>
          </w:p>
        </w:tc>
        <w:tc>
          <w:tcPr>
            <w:tcW w:w="696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100/5</w:t>
            </w:r>
          </w:p>
        </w:tc>
        <w:tc>
          <w:tcPr>
            <w:tcW w:w="998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10</w:t>
            </w:r>
            <w:r>
              <w:rPr>
                <w:b/>
                <w:lang w:val="en-US"/>
              </w:rPr>
              <w:t>PR</w:t>
            </w:r>
            <w:r>
              <w:rPr>
                <w:b/>
              </w:rPr>
              <w:t>/30</w:t>
            </w:r>
          </w:p>
        </w:tc>
        <w:tc>
          <w:tcPr>
            <w:tcW w:w="70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</w:rPr>
              <w:t>20</w:t>
            </w:r>
          </w:p>
        </w:tc>
      </w:tr>
      <w:tr>
        <w:trPr/>
        <w:tc>
          <w:tcPr>
            <w:tcW w:w="58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ТА5</w:t>
            </w:r>
          </w:p>
        </w:tc>
        <w:tc>
          <w:tcPr>
            <w:tcW w:w="57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627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52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75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300/5</w:t>
            </w:r>
          </w:p>
        </w:tc>
        <w:tc>
          <w:tcPr>
            <w:tcW w:w="96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>
              <w:rPr>
                <w:bCs/>
                <w:lang w:val="en-US"/>
              </w:rPr>
              <w:t>PR</w:t>
            </w:r>
            <w:r>
              <w:rPr>
                <w:bCs/>
              </w:rPr>
              <w:t>/</w:t>
            </w:r>
          </w:p>
        </w:tc>
        <w:tc>
          <w:tcPr>
            <w:tcW w:w="78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200/5</w:t>
            </w:r>
          </w:p>
        </w:tc>
        <w:tc>
          <w:tcPr>
            <w:tcW w:w="764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</w:t>
            </w:r>
            <w:r>
              <w:rPr>
                <w:lang w:val="en-US"/>
              </w:rPr>
              <w:t>PR/</w:t>
            </w:r>
          </w:p>
        </w:tc>
        <w:tc>
          <w:tcPr>
            <w:tcW w:w="696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100/5</w:t>
            </w:r>
          </w:p>
        </w:tc>
        <w:tc>
          <w:tcPr>
            <w:tcW w:w="998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10</w:t>
            </w:r>
            <w:r>
              <w:rPr>
                <w:b/>
                <w:lang w:val="en-US"/>
              </w:rPr>
              <w:t>PR</w:t>
            </w:r>
            <w:r>
              <w:rPr>
                <w:b/>
              </w:rPr>
              <w:t>/30</w:t>
            </w:r>
          </w:p>
        </w:tc>
        <w:tc>
          <w:tcPr>
            <w:tcW w:w="70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</w:rPr>
              <w:t>20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82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ТА6</w:t>
            </w:r>
          </w:p>
        </w:tc>
        <w:tc>
          <w:tcPr>
            <w:tcW w:w="57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627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523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75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300/5</w:t>
            </w:r>
          </w:p>
        </w:tc>
        <w:tc>
          <w:tcPr>
            <w:tcW w:w="96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10PR/</w:t>
            </w:r>
          </w:p>
        </w:tc>
        <w:tc>
          <w:tcPr>
            <w:tcW w:w="784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lang w:val="en-US"/>
              </w:rPr>
            </w:pPr>
            <w:r>
              <w:rPr>
                <w:b/>
                <w:lang w:val="en-US"/>
              </w:rPr>
            </w:r>
          </w:p>
        </w:tc>
        <w:tc>
          <w:tcPr>
            <w:tcW w:w="746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200/5</w:t>
            </w:r>
          </w:p>
        </w:tc>
        <w:tc>
          <w:tcPr>
            <w:tcW w:w="764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</w:t>
            </w:r>
            <w:r>
              <w:rPr>
                <w:lang w:val="en-US"/>
              </w:rPr>
              <w:t>PR/</w:t>
            </w:r>
          </w:p>
        </w:tc>
        <w:tc>
          <w:tcPr>
            <w:tcW w:w="696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7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100/5</w:t>
            </w:r>
          </w:p>
        </w:tc>
        <w:tc>
          <w:tcPr>
            <w:tcW w:w="998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lang w:val="en-US"/>
              </w:rPr>
              <w:t>10PR/30</w:t>
            </w:r>
          </w:p>
        </w:tc>
        <w:tc>
          <w:tcPr>
            <w:tcW w:w="709" w:type="dxa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</w:tr>
      <w:tr>
        <w:trPr/>
        <w:tc>
          <w:tcPr>
            <w:tcW w:w="1784" w:type="dxa"/>
            <w:gridSpan w:val="3"/>
            <w:vMerge w:val="restart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Заполняется при выборе классов точности 5</w:t>
            </w:r>
            <w:r>
              <w:rPr>
                <w:lang w:val="en-US"/>
              </w:rPr>
              <w:t>PR</w:t>
            </w:r>
            <w:r>
              <w:rPr/>
              <w:t>, 10</w:t>
            </w:r>
            <w:r>
              <w:rPr>
                <w:lang w:val="en-US"/>
              </w:rPr>
              <w:t>PR</w:t>
            </w:r>
            <w:r>
              <w:rPr/>
              <w:t xml:space="preserve">, </w:t>
            </w:r>
            <w:r>
              <w:rPr>
                <w:lang w:val="en-US"/>
              </w:rPr>
              <w:t>TPY</w:t>
            </w:r>
            <w:r>
              <w:rPr/>
              <w:t xml:space="preserve">, </w:t>
            </w:r>
            <w:r>
              <w:rPr>
                <w:lang w:val="en-US"/>
              </w:rPr>
              <w:t>TPZ</w:t>
            </w:r>
          </w:p>
        </w:tc>
        <w:tc>
          <w:tcPr>
            <w:tcW w:w="5996" w:type="dxa"/>
            <w:gridSpan w:val="9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Действующее значение первичного тока короткого замыкания, А</w:t>
            </w:r>
          </w:p>
        </w:tc>
        <w:tc>
          <w:tcPr>
            <w:tcW w:w="1707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en-US"/>
              </w:rPr>
              <w:t>I</w:t>
            </w:r>
            <w:r>
              <w:rPr>
                <w:vertAlign w:val="subscript"/>
              </w:rPr>
              <w:t>КЗ эфф</w:t>
            </w:r>
            <w:r>
              <w:rPr/>
              <w:t xml:space="preserve">= 444 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4" w:type="dxa"/>
            <w:gridSpan w:val="3"/>
            <w:vMerge w:val="continue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5996" w:type="dxa"/>
            <w:gridSpan w:val="9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Номинальная постоянная времени затухания апериодической составляющей первичного тока, мс</w:t>
            </w:r>
          </w:p>
        </w:tc>
        <w:tc>
          <w:tcPr>
            <w:tcW w:w="1707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p</w:t>
            </w:r>
            <w:r>
              <w:rPr>
                <w:lang w:val="en-US"/>
              </w:rPr>
              <w:t>=</w:t>
            </w:r>
            <w:r>
              <w:rPr/>
              <w:t xml:space="preserve"> 50</w:t>
            </w:r>
          </w:p>
        </w:tc>
      </w:tr>
      <w:tr>
        <w:trPr/>
        <w:tc>
          <w:tcPr>
            <w:tcW w:w="1784" w:type="dxa"/>
            <w:gridSpan w:val="3"/>
            <w:vMerge w:val="continue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5996" w:type="dxa"/>
            <w:gridSpan w:val="9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Длительность протекания ТКЗ (в течении которого ТТ должен находится в пределах заданного класса точности без насыщения) , необходимая для нормальной работы РЗА, с</w:t>
            </w:r>
          </w:p>
        </w:tc>
        <w:tc>
          <w:tcPr>
            <w:tcW w:w="1707" w:type="dxa"/>
            <w:gridSpan w:val="2"/>
            <w:tcBorders/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>2,12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Расположение трансформаторов тока на вводах выключателя ВЭБ-35</w:t>
        <w:br/>
      </w:r>
      <w:r>
        <w:rPr/>
        <w:drawing>
          <wp:inline distT="0" distB="9525" distL="0" distR="9525">
            <wp:extent cx="2352675" cy="923925"/>
            <wp:effectExtent l="0" t="0" r="0" b="0"/>
            <wp:docPr id="15" name="Рисунок 2" descr="C:\Users\User\Desktop\2023-08-31_113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2" descr="C:\Users\User\Desktop\2023-08-31_11384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9525">
            <wp:extent cx="2390775" cy="914400"/>
            <wp:effectExtent l="0" t="0" r="0" b="0"/>
            <wp:docPr id="16" name="Рисунок 3" descr="C:\Users\User\Desktop\2023-08-31_113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3" descr="C:\Users\User\Desktop\2023-08-31_1139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b/>
          <w:b/>
        </w:rPr>
      </w:pPr>
      <w:r>
        <w:rPr>
          <w:b/>
        </w:rPr>
        <w:t>Дополнительные требования заказчика:_________________________________________________ __________________________________________________________________________________________________________________________________________________________________________</w:t>
      </w:r>
    </w:p>
    <w:p>
      <w:pPr>
        <w:pStyle w:val="Normal"/>
        <w:rPr/>
      </w:pPr>
      <w:r>
        <w:rPr>
          <w:b/>
        </w:rPr>
        <w:t>Заказчик в лице</w:t>
      </w:r>
      <w:r>
        <w:rPr/>
        <w:t xml:space="preserve"> ______________________________________________________________________</w:t>
        <w:br/>
        <w:t>______________________________(подпись, печать)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footerReference w:type="default" r:id="rId6"/>
      <w:type w:val="nextPage"/>
      <w:pgSz w:w="11906" w:h="16838"/>
      <w:pgMar w:left="1701" w:right="850" w:header="0" w:top="426" w:footer="708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953697372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>
    <w:pPr>
      <w:pStyle w:val="Style22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b37807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uiPriority w:val="99"/>
    <w:semiHidden/>
    <w:qFormat/>
    <w:rsid w:val="00ed2a73"/>
    <w:rPr>
      <w:color w:val="808080"/>
    </w:rPr>
  </w:style>
  <w:style w:type="character" w:styleId="Style13" w:customStyle="1">
    <w:name w:val="Текст выноски Знак"/>
    <w:basedOn w:val="DefaultParagraphFont"/>
    <w:link w:val="a5"/>
    <w:uiPriority w:val="99"/>
    <w:semiHidden/>
    <w:qFormat/>
    <w:rsid w:val="00ed2a73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b37807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4" w:customStyle="1">
    <w:name w:val="Верхний колонтитул Знак"/>
    <w:basedOn w:val="DefaultParagraphFont"/>
    <w:link w:val="a8"/>
    <w:uiPriority w:val="99"/>
    <w:qFormat/>
    <w:rsid w:val="00e72c9e"/>
    <w:rPr/>
  </w:style>
  <w:style w:type="character" w:styleId="Style15" w:customStyle="1">
    <w:name w:val="Нижний колонтитул Знак"/>
    <w:basedOn w:val="DefaultParagraphFont"/>
    <w:link w:val="aa"/>
    <w:uiPriority w:val="99"/>
    <w:qFormat/>
    <w:rsid w:val="00e72c9e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ed2a7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uiPriority w:val="35"/>
    <w:unhideWhenUsed/>
    <w:qFormat/>
    <w:rsid w:val="001865f9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Style21">
    <w:name w:val="Header"/>
    <w:basedOn w:val="Normal"/>
    <w:link w:val="a9"/>
    <w:uiPriority w:val="99"/>
    <w:unhideWhenUsed/>
    <w:rsid w:val="00e72c9e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Footer"/>
    <w:basedOn w:val="Normal"/>
    <w:link w:val="ab"/>
    <w:uiPriority w:val="99"/>
    <w:unhideWhenUsed/>
    <w:rsid w:val="00e72c9e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949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-5">
    <w:name w:val="Light List Accent 5"/>
    <w:basedOn w:val="a1"/>
    <w:uiPriority w:val="61"/>
    <w:rsid w:val="00e749ef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LibreOffice/5.3.6.1$Linux_X86_64 LibreOffice_project/30$Build-1</Application>
  <Pages>4</Pages>
  <Words>652</Words>
  <Characters>4662</Characters>
  <CharactersWithSpaces>5112</CharactersWithSpaces>
  <Paragraphs>220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2024-02-28T01:28:00Z</dcterms:created>
  <dc:creator>User</dc:creator>
  <dc:description/>
  <dc:language>ru-RU</dc:language>
  <cp:lastModifiedBy/>
  <cp:lastPrinted>2023-09-01T06:07:00Z</cp:lastPrinted>
  <dcterms:modified xsi:type="dcterms:W3CDTF">2024-11-05T15:36:22Z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