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r>
        <w:rPr>
          <w:rFonts w:cs="Times New Roman" w:ascii="Times New Roman" w:hAnsi="Times New Roman"/>
          <w:b/>
          <w:sz w:val="26"/>
          <w:szCs w:val="26"/>
        </w:rPr>
        <w:t>Карта заказа устройства дуговой защиты Орион-ДЗ-220В-Н</w:t>
        <w:br/>
        <w:t>(ПС 110 кВ «</w:t>
      </w:r>
      <w:r>
        <w:rPr>
          <w:rFonts w:cs="Times New Roman" w:ascii="Times New Roman" w:hAnsi="Times New Roman"/>
          <w:b/>
          <w:sz w:val="26"/>
          <w:szCs w:val="26"/>
        </w:rPr>
        <w:t>Раздольное</w:t>
      </w:r>
      <w:r>
        <w:rPr>
          <w:rFonts w:cs="Times New Roman" w:ascii="Times New Roman" w:hAnsi="Times New Roman"/>
          <w:b/>
          <w:sz w:val="26"/>
          <w:szCs w:val="26"/>
        </w:rPr>
        <w:t>»)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Технические данные устройства дуговой защиты</w:t>
      </w:r>
    </w:p>
    <w:tbl>
      <w:tblPr>
        <w:tblStyle w:val="a4"/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6511"/>
        <w:gridCol w:w="3059"/>
      </w:tblGrid>
      <w:tr>
        <w:trPr>
          <w:trHeight w:val="70" w:hRule="atLeast"/>
        </w:trPr>
        <w:tc>
          <w:tcPr>
            <w:tcW w:w="65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Параметр</w:t>
            </w:r>
          </w:p>
        </w:tc>
        <w:tc>
          <w:tcPr>
            <w:tcW w:w="305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Значение</w:t>
            </w:r>
          </w:p>
        </w:tc>
      </w:tr>
      <w:tr>
        <w:trPr>
          <w:trHeight w:val="70" w:hRule="atLeast"/>
        </w:trPr>
        <w:tc>
          <w:tcPr>
            <w:tcW w:w="9570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u w:val="single"/>
                <w:lang w:val="ru-RU" w:eastAsia="en-US" w:bidi="ar-SA"/>
              </w:rPr>
              <w:t>Электропитание устройства:</w:t>
            </w:r>
          </w:p>
        </w:tc>
      </w:tr>
      <w:tr>
        <w:trPr/>
        <w:tc>
          <w:tcPr>
            <w:tcW w:w="65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Род оперативного тока</w:t>
            </w:r>
          </w:p>
        </w:tc>
        <w:tc>
          <w:tcPr>
            <w:tcW w:w="305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Переменный, постоянный или выпрямленный</w:t>
            </w:r>
          </w:p>
        </w:tc>
      </w:tr>
      <w:tr>
        <w:trPr>
          <w:trHeight w:val="70" w:hRule="atLeast"/>
        </w:trPr>
        <w:tc>
          <w:tcPr>
            <w:tcW w:w="65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Номинальная частота переменного тока, Гц</w:t>
            </w:r>
          </w:p>
        </w:tc>
        <w:tc>
          <w:tcPr>
            <w:tcW w:w="305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45-55</w:t>
            </w:r>
          </w:p>
        </w:tc>
      </w:tr>
      <w:tr>
        <w:trPr>
          <w:trHeight w:val="70" w:hRule="atLeast"/>
        </w:trPr>
        <w:tc>
          <w:tcPr>
            <w:tcW w:w="65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Номинальное напряжение питания оперативного тока, В</w:t>
            </w:r>
          </w:p>
        </w:tc>
        <w:tc>
          <w:tcPr>
            <w:tcW w:w="305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220</w:t>
            </w:r>
          </w:p>
        </w:tc>
      </w:tr>
      <w:tr>
        <w:trPr>
          <w:trHeight w:val="70" w:hRule="atLeast"/>
        </w:trPr>
        <w:tc>
          <w:tcPr>
            <w:tcW w:w="65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Допустимый диапазон питания от цепей оперативного тока, В</w:t>
            </w:r>
          </w:p>
        </w:tc>
        <w:tc>
          <w:tcPr>
            <w:tcW w:w="305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160-242</w:t>
            </w:r>
          </w:p>
        </w:tc>
      </w:tr>
      <w:tr>
        <w:trPr>
          <w:trHeight w:val="70" w:hRule="atLeast"/>
        </w:trPr>
        <w:tc>
          <w:tcPr>
            <w:tcW w:w="65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Потребляемая мощность, не более, Вт</w:t>
            </w:r>
          </w:p>
        </w:tc>
        <w:tc>
          <w:tcPr>
            <w:tcW w:w="305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5</w:t>
            </w:r>
          </w:p>
        </w:tc>
      </w:tr>
      <w:tr>
        <w:trPr>
          <w:trHeight w:val="70" w:hRule="atLeast"/>
        </w:trPr>
        <w:tc>
          <w:tcPr>
            <w:tcW w:w="65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Провалы напряжения на 30%, с</w:t>
            </w:r>
          </w:p>
        </w:tc>
        <w:tc>
          <w:tcPr>
            <w:tcW w:w="305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</w:tr>
      <w:tr>
        <w:trPr>
          <w:trHeight w:val="70" w:hRule="atLeast"/>
        </w:trPr>
        <w:tc>
          <w:tcPr>
            <w:tcW w:w="65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Перерывы питания, секунд, не менее: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при питании от цепей постоянного тока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при питании от цепей переменного тока</w:t>
            </w:r>
          </w:p>
        </w:tc>
        <w:tc>
          <w:tcPr>
            <w:tcW w:w="305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1,5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</w:tr>
      <w:tr>
        <w:trPr>
          <w:trHeight w:val="70" w:hRule="atLeast"/>
        </w:trPr>
        <w:tc>
          <w:tcPr>
            <w:tcW w:w="65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Допустимый уровень пульсаций напряжения питания, %</w:t>
            </w:r>
          </w:p>
        </w:tc>
        <w:tc>
          <w:tcPr>
            <w:tcW w:w="305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12</w:t>
            </w:r>
          </w:p>
        </w:tc>
      </w:tr>
      <w:tr>
        <w:trPr>
          <w:trHeight w:val="98" w:hRule="atLeast"/>
        </w:trPr>
        <w:tc>
          <w:tcPr>
            <w:tcW w:w="9570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u w:val="single"/>
                <w:lang w:val="ru-RU" w:eastAsia="en-US" w:bidi="ar-SA"/>
              </w:rPr>
              <w:t>Временные характеристики</w:t>
            </w:r>
          </w:p>
        </w:tc>
      </w:tr>
      <w:tr>
        <w:trPr/>
        <w:tc>
          <w:tcPr>
            <w:tcW w:w="65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Время готовности устройства к работе после подачи оперативного тока, не более, с</w:t>
            </w:r>
          </w:p>
        </w:tc>
        <w:tc>
          <w:tcPr>
            <w:tcW w:w="305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0,3</w:t>
            </w:r>
          </w:p>
        </w:tc>
      </w:tr>
      <w:tr>
        <w:trPr/>
        <w:tc>
          <w:tcPr>
            <w:tcW w:w="65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Время срабатывания устройства, не более, мс</w:t>
            </w:r>
          </w:p>
        </w:tc>
        <w:tc>
          <w:tcPr>
            <w:tcW w:w="305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10</w:t>
            </w:r>
          </w:p>
        </w:tc>
      </w:tr>
      <w:tr>
        <w:trPr/>
        <w:tc>
          <w:tcPr>
            <w:tcW w:w="65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Длительность выходного сигнала по каналам 1…3, с</w:t>
            </w:r>
          </w:p>
        </w:tc>
        <w:tc>
          <w:tcPr>
            <w:tcW w:w="305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0,4…0,65</w:t>
            </w:r>
          </w:p>
        </w:tc>
      </w:tr>
      <w:tr>
        <w:trPr>
          <w:trHeight w:val="98" w:hRule="atLeast"/>
        </w:trPr>
        <w:tc>
          <w:tcPr>
            <w:tcW w:w="9570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u w:val="single"/>
                <w:lang w:val="ru-RU" w:eastAsia="en-US" w:bidi="ar-SA"/>
              </w:rPr>
              <w:t>Входные сигналы</w:t>
            </w:r>
          </w:p>
        </w:tc>
      </w:tr>
      <w:tr>
        <w:trPr/>
        <w:tc>
          <w:tcPr>
            <w:tcW w:w="65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Число датчиков дуги, шт</w:t>
            </w:r>
          </w:p>
        </w:tc>
        <w:tc>
          <w:tcPr>
            <w:tcW w:w="305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65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Минимальный фиксируемый ток дуги, А</w:t>
            </w:r>
          </w:p>
        </w:tc>
        <w:tc>
          <w:tcPr>
            <w:tcW w:w="305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300</w:t>
            </w:r>
          </w:p>
        </w:tc>
      </w:tr>
      <w:tr>
        <w:trPr/>
        <w:tc>
          <w:tcPr>
            <w:tcW w:w="65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Максимальная длина оптоволоконной линии, м</w:t>
            </w:r>
          </w:p>
        </w:tc>
        <w:tc>
          <w:tcPr>
            <w:tcW w:w="305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20</w:t>
            </w:r>
          </w:p>
        </w:tc>
      </w:tr>
      <w:tr>
        <w:trPr/>
        <w:tc>
          <w:tcPr>
            <w:tcW w:w="9570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u w:val="single"/>
                <w:lang w:val="ru-RU" w:eastAsia="en-US" w:bidi="ar-SA"/>
              </w:rPr>
              <w:t>Выходные сигналы</w:t>
            </w:r>
          </w:p>
        </w:tc>
      </w:tr>
      <w:tr>
        <w:trPr/>
        <w:tc>
          <w:tcPr>
            <w:tcW w:w="65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Число выходных реле/групп контактов, шт</w:t>
            </w:r>
          </w:p>
        </w:tc>
        <w:tc>
          <w:tcPr>
            <w:tcW w:w="305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6/12</w:t>
            </w:r>
          </w:p>
        </w:tc>
      </w:tr>
      <w:tr>
        <w:trPr/>
        <w:tc>
          <w:tcPr>
            <w:tcW w:w="65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Коммутируемое напряжение постоянного или переменного тока, не более, В</w:t>
            </w:r>
          </w:p>
        </w:tc>
        <w:tc>
          <w:tcPr>
            <w:tcW w:w="305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264</w:t>
            </w:r>
          </w:p>
        </w:tc>
      </w:tr>
      <w:tr>
        <w:trPr/>
        <w:tc>
          <w:tcPr>
            <w:tcW w:w="65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Ток замыкания/размыкания при активно-индуктивной нагрузке с постоянной времени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L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/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R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 50 мс, не более, А</w:t>
            </w:r>
          </w:p>
        </w:tc>
        <w:tc>
          <w:tcPr>
            <w:tcW w:w="305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5/0,15</w:t>
            </w:r>
          </w:p>
        </w:tc>
      </w:tr>
      <w:tr>
        <w:trPr/>
        <w:tc>
          <w:tcPr>
            <w:tcW w:w="9570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u w:val="single"/>
                <w:lang w:val="ru-RU" w:eastAsia="en-US" w:bidi="ar-SA"/>
              </w:rPr>
              <w:t>Конструктивные характеристики</w:t>
            </w:r>
          </w:p>
        </w:tc>
      </w:tr>
      <w:tr>
        <w:trPr/>
        <w:tc>
          <w:tcPr>
            <w:tcW w:w="65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Климатическое исполнение</w:t>
            </w:r>
          </w:p>
        </w:tc>
        <w:tc>
          <w:tcPr>
            <w:tcW w:w="305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УХЛ 3.1</w:t>
            </w:r>
          </w:p>
        </w:tc>
      </w:tr>
      <w:tr>
        <w:trPr/>
        <w:tc>
          <w:tcPr>
            <w:tcW w:w="65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Диапазон рабочей температуры, °С</w:t>
            </w:r>
          </w:p>
        </w:tc>
        <w:tc>
          <w:tcPr>
            <w:tcW w:w="305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-40…+55</w:t>
            </w:r>
          </w:p>
        </w:tc>
      </w:tr>
      <w:tr>
        <w:trPr/>
        <w:tc>
          <w:tcPr>
            <w:tcW w:w="65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Габаритные размеры устройства, мм</w:t>
            </w:r>
          </w:p>
        </w:tc>
        <w:tc>
          <w:tcPr>
            <w:tcW w:w="305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200×155×70</w:t>
            </w:r>
          </w:p>
        </w:tc>
      </w:tr>
      <w:tr>
        <w:trPr/>
        <w:tc>
          <w:tcPr>
            <w:tcW w:w="65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Масса, не более, кг</w:t>
            </w:r>
          </w:p>
        </w:tc>
        <w:tc>
          <w:tcPr>
            <w:tcW w:w="305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3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В комплект поставки должны входить: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</w:rPr>
        <w:t>устройство защиты от дуговых замыканий «Орион-ДЗ-220В-Н» – 18 шт.;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</w:rPr>
        <w:t>волоконно-оптический датчик длиной 1,5 м – 36 шт.;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</w:rPr>
        <w:t>волоконно-оптический датчик длиной 3 м – 18 шт.;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</w:rPr>
        <w:t>оптический коннектор, обжимное кольцо, вспененный скотч 10*12 мм – 54 компл.;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</w:rPr>
        <w:t>клипсы для крепления световода – 360 шт.;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</w:rPr>
        <w:t>руководство по эксплуатации, паспорт – 18 шт.;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– </w:t>
      </w:r>
      <w:r>
        <w:rPr>
          <w:rFonts w:cs="Times New Roman" w:ascii="Times New Roman" w:hAnsi="Times New Roman"/>
          <w:sz w:val="26"/>
          <w:szCs w:val="26"/>
        </w:rPr>
        <w:t>ответная часть разъёма (24-контактная) – 18 шт.</w:t>
      </w:r>
    </w:p>
    <w:p>
      <w:pPr>
        <w:pStyle w:val="Normal"/>
        <w:spacing w:before="0" w:after="0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BodyText"/>
        <w:jc w:val="left"/>
        <w:rPr>
          <w:b/>
          <w:bCs/>
          <w:i/>
          <w:i/>
          <w:sz w:val="26"/>
          <w:szCs w:val="26"/>
        </w:rPr>
      </w:pPr>
      <w:r>
        <w:rPr>
          <w:b/>
          <w:bCs/>
          <w:i/>
          <w:sz w:val="26"/>
          <w:szCs w:val="26"/>
        </w:rPr>
        <w:t>Н</w:t>
      </w:r>
      <w:r>
        <w:rPr>
          <w:b/>
          <w:bCs/>
          <w:i/>
          <w:sz w:val="26"/>
          <w:szCs w:val="26"/>
        </w:rPr>
        <w:t>ачальник СРЗАИ СП «ЦЭС»</w:t>
        <w:tab/>
        <w:tab/>
        <w:tab/>
        <w:tab/>
        <w:tab/>
        <w:tab/>
        <w:tab/>
      </w:r>
      <w:r>
        <w:rPr>
          <w:b/>
          <w:bCs/>
          <w:i/>
          <w:sz w:val="26"/>
          <w:szCs w:val="26"/>
        </w:rPr>
        <w:t>В</w:t>
      </w:r>
      <w:r>
        <w:rPr>
          <w:b/>
          <w:bCs/>
          <w:i/>
          <w:sz w:val="26"/>
          <w:szCs w:val="26"/>
        </w:rPr>
        <w:t xml:space="preserve">.А. </w:t>
      </w:r>
      <w:bookmarkEnd w:id="0"/>
      <w:r>
        <w:rPr>
          <w:b/>
          <w:bCs/>
          <w:i/>
          <w:sz w:val="26"/>
          <w:szCs w:val="26"/>
        </w:rPr>
        <w:t>Попков</w:t>
      </w:r>
    </w:p>
    <w:sectPr>
      <w:headerReference w:type="default" r:id="rId2"/>
      <w:type w:val="nextPage"/>
      <w:pgSz w:w="11906" w:h="16838"/>
      <w:pgMar w:left="1701" w:right="850" w:gutter="0" w:header="708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ourier New">
    <w:charset w:val="01"/>
    <w:family w:val="roman"/>
    <w:pitch w:val="variable"/>
  </w:font>
  <w:font w:name="Verdana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Основной текст Знак"/>
    <w:basedOn w:val="DefaultParagraphFont"/>
    <w:qFormat/>
    <w:rsid w:val="00fb04dd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Style10" w:customStyle="1">
    <w:name w:val="Верхний колонтитул Знак"/>
    <w:basedOn w:val="DefaultParagraphFont"/>
    <w:uiPriority w:val="99"/>
    <w:qFormat/>
    <w:rsid w:val="00b14aad"/>
    <w:rPr/>
  </w:style>
  <w:style w:type="character" w:styleId="Style11" w:customStyle="1">
    <w:name w:val="Нижний колонтитул Знак"/>
    <w:basedOn w:val="DefaultParagraphFont"/>
    <w:uiPriority w:val="99"/>
    <w:qFormat/>
    <w:rsid w:val="00b14aad"/>
    <w:rPr/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link w:val="Style9"/>
    <w:rsid w:val="00fb04dd"/>
    <w:pPr>
      <w:spacing w:lineRule="auto" w:line="240" w:before="0" w:after="0"/>
      <w:jc w:val="both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Lohit Devanagari"/>
    </w:rPr>
  </w:style>
  <w:style w:type="paragraph" w:styleId="Ua515e9" w:customStyle="1">
    <w:name w:val="Обычныua515e9"/>
    <w:qFormat/>
    <w:rsid w:val="008d0ff5"/>
    <w:pPr>
      <w:widowControl w:val="false"/>
      <w:overflowPunct w:val="true"/>
      <w:bidi w:val="0"/>
      <w:spacing w:lineRule="auto" w:line="240" w:before="0" w:after="0"/>
      <w:jc w:val="left"/>
      <w:textAlignment w:val="baseline"/>
    </w:pPr>
    <w:rPr>
      <w:rFonts w:ascii="Courier New" w:hAnsi="Courier New" w:eastAsia="Times New Roman" w:cs="Times New Roman"/>
      <w:color w:val="auto"/>
      <w:kern w:val="0"/>
      <w:sz w:val="24"/>
      <w:szCs w:val="20"/>
      <w:lang w:eastAsia="ru-RU" w:val="ru-RU" w:bidi="ar-SA"/>
    </w:rPr>
  </w:style>
  <w:style w:type="paragraph" w:styleId="Style14" w:customStyle="1">
    <w:name w:val="Знак"/>
    <w:basedOn w:val="Normal"/>
    <w:qFormat/>
    <w:rsid w:val="008d0ff5"/>
    <w:pPr>
      <w:tabs>
        <w:tab w:val="clear" w:pos="708"/>
        <w:tab w:val="left" w:pos="360" w:leader="none"/>
      </w:tabs>
      <w:spacing w:lineRule="exact" w:line="240" w:before="0" w:after="160"/>
    </w:pPr>
    <w:rPr>
      <w:rFonts w:ascii="Verdana" w:hAnsi="Verdana" w:eastAsia="Times New Roman" w:cs="Verdana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b7326b"/>
    <w:pPr>
      <w:spacing w:before="0" w:after="200"/>
      <w:ind w:left="720" w:hanging="0"/>
      <w:contextualSpacing/>
    </w:pPr>
    <w:rPr/>
  </w:style>
  <w:style w:type="paragraph" w:styleId="Style15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unhideWhenUsed/>
    <w:rsid w:val="00b14aad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1"/>
    <w:uiPriority w:val="99"/>
    <w:unhideWhenUsed/>
    <w:rsid w:val="00b14aad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8d0ff5"/>
    <w:pPr>
      <w:spacing w:after="0" w:line="240" w:lineRule="auto"/>
      <w:jc w:val="right"/>
    </w:pPr>
    <w:rPr>
      <w:sz w:val="26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Application>AlterOffice/3.3.1.2$Linux_X86_64 LibreOffice_project/d24a236f19d27df058de70d7d77bbc59fadeaa60</Application>
  <AppVersion>15.0000</AppVersion>
  <Pages>1</Pages>
  <Words>250</Words>
  <Characters>1609</Characters>
  <CharactersWithSpaces>1818</CharactersWithSpaces>
  <Paragraphs>63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2015-01-15T04:06:00Z</dcterms:created>
  <dc:creator>Якушев Иван Александрович</dc:creator>
  <dc:description/>
  <dc:language>ru-RU</dc:language>
  <cp:lastModifiedBy>yakushev_ia</cp:lastModifiedBy>
  <dcterms:modified xsi:type="dcterms:W3CDTF">2024-11-06T13:55:12Z</dcterms:modified>
  <cp:revision>47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