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bookmarkStart w:id="0" w:name="_GoBack"/>
      <w:bookmarkEnd w:id="0"/>
      <w:r>
        <w:rPr>
          <w:b w:val="false"/>
        </w:rPr>
        <w:t>Приложение</w:t>
      </w:r>
    </w:p>
    <w:p>
      <w:pPr>
        <w:pStyle w:val="Normal"/>
        <w:shd w:val="clear" w:color="auto" w:fill="FFFFFF"/>
        <w:tabs>
          <w:tab w:val="clear" w:pos="709"/>
          <w:tab w:val="left" w:pos="6926" w:leader="none"/>
        </w:tabs>
        <w:jc w:val="right"/>
        <w:rPr>
          <w:bCs/>
          <w:sz w:val="24"/>
          <w:szCs w:val="24"/>
        </w:rPr>
      </w:pPr>
      <w:r>
        <w:rPr>
          <w:bCs/>
          <w:sz w:val="24"/>
          <w:szCs w:val="24"/>
        </w:rPr>
        <w:t>к приказу ПАО «РусГидро»</w:t>
      </w:r>
    </w:p>
    <w:p>
      <w:pPr>
        <w:pStyle w:val="Normal"/>
        <w:shd w:val="clear" w:color="auto" w:fill="FFFFFF"/>
        <w:tabs>
          <w:tab w:val="clear" w:pos="709"/>
          <w:tab w:val="left" w:pos="6926" w:leader="none"/>
        </w:tabs>
        <w:jc w:val="right"/>
        <w:rPr>
          <w:b/>
          <w:sz w:val="24"/>
          <w:szCs w:val="24"/>
        </w:rPr>
      </w:pPr>
      <w:r>
        <w:rPr>
          <w:sz w:val="24"/>
          <w:szCs w:val="24"/>
        </w:rPr>
        <w:t>от 02.07.2024 № 415</w:t>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z w:val="24"/>
          <w:szCs w:val="24"/>
        </w:rPr>
      </w:pPr>
      <w:r>
        <w:rPr>
          <w:b/>
          <w:bCs/>
          <w:color w:val="000000" w:themeColor="text1"/>
          <w:sz w:val="24"/>
          <w:szCs w:val="24"/>
        </w:rPr>
        <w:t xml:space="preserve">Акционерное общество «Транспортная компания РусГидро» (АО «ТК РусГидро») </w:t>
      </w:r>
      <w:r>
        <w:rPr>
          <w:b/>
          <w:color w:val="000000" w:themeColor="text1"/>
          <w:sz w:val="24"/>
          <w:szCs w:val="24"/>
        </w:rPr>
        <w:t xml:space="preserve">(далее – «Покупатель»), </w:t>
      </w:r>
      <w:r>
        <w:rPr>
          <w:b/>
          <w:color w:val="000000" w:themeColor="text1"/>
          <w:spacing w:val="4"/>
          <w:sz w:val="24"/>
          <w:szCs w:val="24"/>
          <w:lang w:eastAsia="en-US" w:bidi="en-US"/>
        </w:rPr>
        <w:t>в лице______________________</w:t>
      </w:r>
      <w:r>
        <w:rPr>
          <w:b/>
          <w:color w:val="000000" w:themeColor="text1"/>
          <w:sz w:val="24"/>
          <w:szCs w:val="24"/>
        </w:rPr>
        <w:t>, с одной стороны</w:t>
      </w:r>
      <w:r>
        <w:rPr>
          <w:spacing w:val="4"/>
          <w:sz w:val="24"/>
          <w:szCs w:val="24"/>
        </w:rPr>
        <w:t xml:space="preserve">, </w:t>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_____________</w:t>
      </w:r>
      <w:r>
        <w:rPr>
          <w:rStyle w:val="Hyperlink"/>
          <w:rFonts w:eastAsia="Times New Roman" w:cs="Times New Roman"/>
          <w:b w:val="false"/>
          <w:i w:val="false"/>
          <w:caps w:val="false"/>
          <w:smallCaps w:val="false"/>
          <w:color w:val="000000"/>
          <w:spacing w:val="0"/>
          <w:kern w:val="0"/>
          <w:sz w:val="24"/>
          <w:szCs w:val="26"/>
          <w:highlight w:val="lightGray"/>
          <w:u w:val="none"/>
          <w:shd w:fill="auto" w:val="clear"/>
          <w:lang w:val="ru-RU" w:eastAsia="ru-RU" w:bidi="ar-SA"/>
        </w:rPr>
        <w:t xml:space="preserve"> </w:t>
      </w:r>
      <w:r>
        <w:rPr>
          <w:sz w:val="24"/>
          <w:szCs w:val="24"/>
          <w:highlight w:val="lightGray"/>
          <w:lang w:eastAsia="en-US"/>
        </w:rPr>
        <w:t xml:space="preserve">и на основании протокола __________ от «___» _________ г. №_______, </w:t>
      </w:r>
      <w:r>
        <w:rPr>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tabs>
          <w:tab w:val="clear" w:pos="709"/>
          <w:tab w:val="left" w:pos="567" w:leader="none"/>
        </w:tabs>
        <w:ind w:firstLine="708"/>
        <w:jc w:val="both"/>
        <w:rPr>
          <w:sz w:val="24"/>
          <w:szCs w:val="24"/>
          <w:highlight w:val="lightGray"/>
          <w:lang w:eastAsia="en-US"/>
        </w:rPr>
      </w:pPr>
      <w:r>
        <w:rPr>
          <w:b/>
          <w:sz w:val="24"/>
          <w:szCs w:val="24"/>
          <w:highlight w:val="lightGray"/>
          <w:lang w:eastAsia="en-US"/>
        </w:rPr>
        <w:t xml:space="preserve">«Рабочая документация» </w:t>
      </w:r>
      <w:r>
        <w:rPr>
          <w:sz w:val="24"/>
          <w:szCs w:val="24"/>
          <w:highlight w:val="lightGray"/>
          <w:lang w:eastAsia="en-US"/>
        </w:rPr>
        <w:t>–</w:t>
      </w:r>
      <w:r>
        <w:rPr>
          <w:b/>
          <w:sz w:val="24"/>
          <w:szCs w:val="24"/>
          <w:highlight w:val="lightGray"/>
          <w:lang w:eastAsia="en-US"/>
        </w:rPr>
        <w:t xml:space="preserve"> </w:t>
      </w:r>
      <w:r>
        <w:rPr>
          <w:sz w:val="24"/>
          <w:szCs w:val="24"/>
          <w:highlight w:val="lightGray"/>
          <w:lang w:eastAsia="en-US"/>
        </w:rPr>
        <w:t xml:space="preserve">совокупность текстовых и графических документов </w:t>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w:t>
      </w:r>
    </w:p>
    <w:p>
      <w:pPr>
        <w:pStyle w:val="ListParagraph"/>
        <w:numPr>
          <w:ilvl w:val="0"/>
          <w:numId w:val="12"/>
        </w:numPr>
        <w:tabs>
          <w:tab w:val="clear" w:pos="709"/>
          <w:tab w:val="left" w:pos="567" w:leader="none"/>
          <w:tab w:val="left" w:pos="1134" w:leader="none"/>
        </w:tabs>
        <w:ind w:firstLine="709" w:left="0"/>
        <w:jc w:val="both"/>
        <w:rPr>
          <w:b/>
          <w:lang w:eastAsia="en-US"/>
        </w:rPr>
      </w:pPr>
      <w:r>
        <w:rPr>
          <w:sz w:val="24"/>
          <w:szCs w:val="24"/>
          <w:highlight w:val="lightGray"/>
          <w:lang w:eastAsia="en-US"/>
        </w:rPr>
        <w:t>рабочие чертежи основного комплекта, спецификации оборудования и изделий;</w:t>
      </w:r>
    </w:p>
    <w:p>
      <w:pPr>
        <w:pStyle w:val="ListParagraph"/>
        <w:numPr>
          <w:ilvl w:val="0"/>
          <w:numId w:val="12"/>
        </w:numPr>
        <w:tabs>
          <w:tab w:val="clear" w:pos="709"/>
          <w:tab w:val="left" w:pos="567" w:leader="none"/>
          <w:tab w:val="left" w:pos="1134" w:leader="none"/>
        </w:tabs>
        <w:ind w:firstLine="709" w:left="0"/>
        <w:jc w:val="both"/>
        <w:rPr>
          <w:b/>
          <w:lang w:eastAsia="en-US"/>
        </w:rPr>
      </w:pPr>
      <w:r>
        <w:rPr>
          <w:sz w:val="24"/>
          <w:szCs w:val="24"/>
          <w:highlight w:val="lightGray"/>
          <w:lang w:eastAsia="en-US"/>
        </w:rPr>
        <w:t>документы, разработанные в дополнение к рабочим чертежам основного комплекта;</w:t>
      </w:r>
    </w:p>
    <w:p>
      <w:pPr>
        <w:pStyle w:val="ListParagraph"/>
        <w:widowControl w:val="false"/>
        <w:tabs>
          <w:tab w:val="clear" w:pos="709"/>
          <w:tab w:val="left" w:pos="567" w:leader="none"/>
          <w:tab w:val="left" w:pos="1134" w:leader="none"/>
        </w:tabs>
        <w:suppressAutoHyphens w:val="true"/>
        <w:bidi w:val="0"/>
        <w:spacing w:before="0" w:after="0"/>
        <w:ind w:hanging="0" w:left="0"/>
        <w:contextualSpacing/>
        <w:jc w:val="both"/>
        <w:rPr>
          <w:b/>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highlight w:val="none"/>
          <w:shd w:fill="auto" w:val="clear"/>
        </w:rPr>
      </w:pPr>
      <w:r>
        <w:rPr>
          <w:bCs/>
          <w:sz w:val="24"/>
          <w:szCs w:val="24"/>
          <w:shd w:fill="auto" w:val="clear"/>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shd w:fill="auto" w:val="clear"/>
          <w:lang w:eastAsia="en-US"/>
        </w:rPr>
        <w:t xml:space="preserve"> </w:t>
      </w:r>
      <w:r>
        <w:rPr>
          <w:rFonts w:eastAsia="Calibri"/>
          <w:bCs/>
          <w:i/>
          <w:sz w:val="24"/>
          <w:szCs w:val="24"/>
          <w:shd w:fill="auto" w:val="clear"/>
          <w:lang w:eastAsia="en-US"/>
        </w:rPr>
        <w:t>_____________________</w:t>
      </w:r>
      <w:r>
        <w:rPr>
          <w:rFonts w:eastAsia="Calibri"/>
          <w:b/>
          <w:bCs/>
          <w:i/>
          <w:sz w:val="24"/>
          <w:szCs w:val="24"/>
          <w:shd w:fill="auto" w:val="clear"/>
          <w:lang w:eastAsia="en-US"/>
        </w:rPr>
        <w:t xml:space="preserve"> для нужд АО </w:t>
      </w:r>
      <w:r>
        <w:rPr>
          <w:rFonts w:eastAsia="Times New Roman" w:cs="Times New Roman"/>
          <w:b/>
          <w:bCs/>
          <w:i/>
          <w:color w:val="000000"/>
          <w:kern w:val="0"/>
          <w:sz w:val="24"/>
          <w:szCs w:val="24"/>
          <w:shd w:fill="auto" w:val="clear"/>
          <w:lang w:val="ru-RU" w:eastAsia="ru-RU" w:bidi="ar-SA"/>
        </w:rPr>
        <w:t>«ТК Русгидро»</w:t>
      </w:r>
      <w:r>
        <w:rPr>
          <w:bCs/>
          <w:sz w:val="24"/>
          <w:szCs w:val="24"/>
          <w:shd w:fill="auto" w:val="clear"/>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highlight w:val="none"/>
          <w:shd w:fill="auto" w:val="clear"/>
        </w:rPr>
      </w:pPr>
      <w:r>
        <w:rPr>
          <w:bCs/>
          <w:sz w:val="24"/>
          <w:szCs w:val="24"/>
          <w:shd w:fill="auto" w:val="clear"/>
        </w:rPr>
        <w:t>Поставка Товара по Договору осуществляется для нужд __________________ АО «ТК  РусГидро».</w:t>
      </w:r>
    </w:p>
    <w:p>
      <w:pPr>
        <w:pStyle w:val="Normal"/>
        <w:numPr>
          <w:ilvl w:val="1"/>
          <w:numId w:val="2"/>
        </w:numPr>
        <w:shd w:val="clear" w:color="auto" w:fill="FFFFFF"/>
        <w:tabs>
          <w:tab w:val="clear" w:pos="709"/>
          <w:tab w:val="left" w:pos="0" w:leader="none"/>
          <w:tab w:val="left" w:pos="1134" w:leader="none"/>
        </w:tabs>
        <w:ind w:firstLine="709" w:left="0"/>
        <w:jc w:val="both"/>
        <w:rPr>
          <w:highlight w:val="none"/>
          <w:shd w:fill="auto" w:val="clear"/>
        </w:rPr>
      </w:pPr>
      <w:r>
        <w:rPr>
          <w:bCs/>
          <w:sz w:val="24"/>
          <w:szCs w:val="24"/>
          <w:shd w:fill="auto" w:val="clear"/>
        </w:rPr>
        <w:t>Место поставки Товара: самовывоз со склада поставщика</w:t>
      </w:r>
      <w:r>
        <w:rPr>
          <w:sz w:val="24"/>
          <w:szCs w:val="24"/>
          <w:shd w:fill="auto" w:val="clear"/>
        </w:rPr>
        <w:t xml:space="preserve"> (далее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Ср</w:t>
      </w:r>
      <w:r>
        <w:rPr>
          <w:bCs/>
          <w:sz w:val="24"/>
          <w:szCs w:val="24"/>
          <w:shd w:fill="auto" w:val="clear"/>
        </w:rPr>
        <w:t xml:space="preserve">ок поставки Товара: </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ListParagraph"/>
        <w:widowControl w:val="false"/>
        <w:numPr>
          <w:ilvl w:val="1"/>
          <w:numId w:val="2"/>
        </w:numPr>
        <w:suppressAutoHyphens w:val="true"/>
        <w:bidi w:val="0"/>
        <w:spacing w:before="0" w:after="0"/>
        <w:ind w:hanging="794" w:left="1474" w:right="0"/>
        <w:contextualSpacing/>
        <w:jc w:val="left"/>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13"/>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highlight w:val="lightGray"/>
        </w:rPr>
        <w:footnoteReference w:id="2"/>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rPr>
      </w:pPr>
      <w:r>
        <w:rPr>
          <w:sz w:val="24"/>
        </w:rPr>
        <w:t>Авансовый платеж в размере 30 (тридцати) процентов от стоимости Товара</w:t>
      </w:r>
      <w:r>
        <w:rPr>
          <w:rStyle w:val="FootnoteReference"/>
          <w:sz w:val="24"/>
        </w:rPr>
        <w:footnoteReference w:id="3"/>
      </w:r>
      <w:r>
        <w:rPr>
          <w:sz w:val="24"/>
        </w:rPr>
        <w:t xml:space="preserve"> выплачивается Поставщику </w:t>
      </w:r>
      <w:r>
        <w:rPr>
          <w:sz w:val="24"/>
          <w:highlight w:val="lightGray"/>
        </w:rPr>
        <w:t>при условии согласования Сторонами Спецификации (Приложение № 1 к Договору) в соответствии с пунктом 2.2 Договора</w:t>
      </w:r>
      <w:r>
        <w:rPr>
          <w:sz w:val="24"/>
        </w:rPr>
        <w:t xml:space="preserve"> в течение </w:t>
        <w:br/>
        <w:t>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2.4.1, 2.4.4 Договора.</w:t>
      </w:r>
    </w:p>
    <w:p>
      <w:pPr>
        <w:pStyle w:val="ListParagraph"/>
        <w:numPr>
          <w:ilvl w:val="2"/>
          <w:numId w:val="2"/>
        </w:numPr>
        <w:ind w:firstLine="709" w:left="0"/>
        <w:jc w:val="both"/>
        <w:rPr>
          <w:sz w:val="24"/>
        </w:rPr>
      </w:pPr>
      <w:r>
        <w:rPr>
          <w:sz w:val="24"/>
        </w:rPr>
        <w:t>Окончательный платеж в размере 70 (семидесяти) процентов от стоимости Товара</w:t>
      </w:r>
      <w:r>
        <w:rPr>
          <w:rStyle w:val="FootnoteReference"/>
          <w:sz w:val="24"/>
        </w:rPr>
        <w:footnoteReference w:id="4"/>
      </w:r>
      <w:r>
        <w:rPr>
          <w:sz w:val="24"/>
        </w:rPr>
        <w:t xml:space="preserve"> выплачивается Поставщику в течение </w:t>
      </w:r>
      <w:r>
        <w:rPr>
          <w:sz w:val="24"/>
          <w:highlight w:val="lightGray"/>
        </w:rPr>
        <w:t>45 (сорока пяти) календарных дней</w:t>
      </w:r>
      <w:r>
        <w:rPr>
          <w:rStyle w:val="FootnoteReference"/>
          <w:sz w:val="24"/>
          <w:highlight w:val="lightGray"/>
        </w:rPr>
        <w:footnoteReference w:id="5"/>
      </w:r>
      <w:r>
        <w:rPr>
          <w:sz w:val="24"/>
          <w:highlight w:val="lightGray"/>
        </w:rPr>
        <w:t xml:space="preserve"> / 7 (семи) рабочих дней</w:t>
      </w:r>
      <w:r>
        <w:rPr>
          <w:rStyle w:val="FootnoteReference"/>
          <w:sz w:val="24"/>
          <w:highlight w:val="lightGray"/>
        </w:rPr>
        <w:footnoteReference w:id="6"/>
      </w:r>
      <w:r>
        <w:rPr>
          <w:sz w:val="24"/>
        </w:rPr>
        <w:t xml:space="preserve"> с даты подписания Сторонами Накладной ТОРГ-12/УПД на основании счета, выставленного Поставщиком, и с учетом пункта 2.4.4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1"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1"/>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bCs/>
          <w:sz w:val="24"/>
          <w:szCs w:val="24"/>
          <w:highlight w:val="lightGray"/>
        </w:rPr>
        <w:t>и 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2"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7"/>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3" w:name="_Ref361396594"/>
      <w:r>
        <w:rPr>
          <w:sz w:val="24"/>
          <w:szCs w:val="24"/>
        </w:rPr>
        <w:t xml:space="preserve">Датой поставки Товара является дата подписания Сторонами Накладной </w:t>
        <w:br/>
        <w:t>ТОРГ-12/УПД.</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4"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6"/>
      <w:bookmarkStart w:id="6" w:name="OLE_LINK5"/>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8"/>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w:t>
        <w:br/>
        <w:t xml:space="preserve">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w:t>
        <w:br/>
        <w:t>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shd w:val="clear" w:color="auto" w:fill="FFFFFF"/>
        <w:tabs>
          <w:tab w:val="clear" w:pos="709"/>
          <w:tab w:val="left" w:pos="1418" w:leader="none"/>
        </w:tabs>
        <w:ind w:firstLine="709" w:left="0"/>
        <w:jc w:val="both"/>
        <w:rPr>
          <w:bCs/>
        </w:rPr>
      </w:pPr>
      <w:r>
        <w:rPr>
          <w:bCs/>
          <w:color w:val="000000"/>
          <w:sz w:val="24"/>
          <w:szCs w:val="24"/>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ind w:firstLine="709"/>
        <w:jc w:val="both"/>
        <w:rPr>
          <w:bCs/>
          <w:sz w:val="24"/>
          <w:szCs w:val="24"/>
          <w:shd w:fill="FFFF00" w:val="clear"/>
        </w:rPr>
      </w:pPr>
      <w:r>
        <w:rPr>
          <w:bCs/>
          <w:color w:val="000000"/>
          <w:sz w:val="24"/>
          <w:szCs w:val="24"/>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firstLine="709" w:left="0"/>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firstLine="709" w:left="0"/>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firstLine="709" w:left="0"/>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9"/>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Положения пункта 2.4.1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firstLine="709" w:left="0"/>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10"/>
      </w:r>
      <w:r>
        <w:rPr>
          <w:sz w:val="24"/>
          <w:szCs w:val="24"/>
          <w:highlight w:val="lightGray"/>
        </w:rPr>
        <w:t>.</w:t>
      </w:r>
    </w:p>
    <w:p>
      <w:pPr>
        <w:pStyle w:val="ListParagraph"/>
        <w:widowControl/>
        <w:numPr>
          <w:ilvl w:val="1"/>
          <w:numId w:val="2"/>
        </w:numPr>
        <w:shd w:val="clear" w:color="auto" w:fill="FFFFFF"/>
        <w:ind w:firstLine="709" w:left="0"/>
        <w:jc w:val="both"/>
        <w:rPr>
          <w:bCs/>
          <w:sz w:val="24"/>
          <w:szCs w:val="24"/>
        </w:rPr>
      </w:pPr>
      <w:r>
        <w:rPr>
          <w:sz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color w:val="000000" w:themeColor="text1"/>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6"/>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6"/>
        </w:numPr>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6"/>
        </w:numPr>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6"/>
        </w:numPr>
        <w:tabs>
          <w:tab w:val="clear" w:pos="709"/>
          <w:tab w:val="left" w:pos="1276" w:leader="none"/>
          <w:tab w:val="left" w:pos="1701"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6"/>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6"/>
        </w:numPr>
        <w:shd w:val="clear" w:color="auto" w:fill="FFFFFF"/>
        <w:tabs>
          <w:tab w:val="clear" w:pos="709"/>
          <w:tab w:val="left" w:pos="1276" w:leader="none"/>
        </w:tabs>
        <w:ind w:firstLine="709" w:left="0"/>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6"/>
        </w:numPr>
        <w:shd w:val="clear" w:color="auto" w:fill="FFFFFF"/>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widowControl/>
        <w:numPr>
          <w:ilvl w:val="1"/>
          <w:numId w:val="16"/>
        </w:numPr>
        <w:shd w:val="clear" w:color="auto" w:fill="FFFFFF"/>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6"/>
        </w:numPr>
        <w:shd w:val="clear" w:color="auto" w:fill="FFFFFF"/>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6"/>
        </w:numPr>
        <w:shd w:val="clear" w:color="auto" w:fill="FFFFFF"/>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6"/>
        </w:numPr>
        <w:shd w:val="clear" w:color="auto" w:fill="FFFFFF"/>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6"/>
        </w:numPr>
        <w:shd w:val="clear" w:color="auto" w:fill="FFFFFF"/>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1"/>
          <w:numId w:val="16"/>
        </w:numPr>
        <w:shd w:val="clear" w:color="auto" w:fill="FFFFFF"/>
        <w:ind w:firstLine="709" w:left="0"/>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11"/>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7"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7"/>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8"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8"/>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9"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9"/>
    </w:p>
    <w:p>
      <w:pPr>
        <w:pStyle w:val="Normal"/>
        <w:numPr>
          <w:ilvl w:val="1"/>
          <w:numId w:val="2"/>
        </w:numPr>
        <w:shd w:val="clear" w:color="auto" w:fill="FFFFFF"/>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rPr>
        <w:footnoteReference w:id="12"/>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14.8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13"/>
      </w:r>
      <w:r>
        <w:rPr>
          <w:sz w:val="24"/>
          <w:szCs w:val="24"/>
          <w:highlight w:val="lightGray"/>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14.7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14.8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0"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14.8</w:t>
      </w:r>
      <w:r>
        <w:rPr>
          <w:sz w:val="24"/>
          <w:szCs w:val="24"/>
        </w:rPr>
        <w:t xml:space="preserve"> Договора.</w:t>
      </w:r>
      <w:bookmarkEnd w:id="10"/>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14.8.1 – 14.8.2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14"/>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5"/>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1"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1"/>
    </w:p>
    <w:p>
      <w:pPr>
        <w:pStyle w:val="Normal"/>
        <w:widowControl w:val="false"/>
        <w:suppressAutoHyphens w:val="true"/>
        <w:bidi w:val="0"/>
        <w:spacing w:before="0" w:after="0"/>
        <w:ind w:firstLine="709"/>
        <w:jc w:val="both"/>
        <w:rPr>
          <w:bCs/>
          <w:sz w:val="24"/>
          <w:szCs w:val="24"/>
          <w:highlight w:val="lightGray"/>
        </w:rPr>
      </w:pPr>
      <w:r>
        <w:rPr/>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74"/>
        <w:gridCol w:w="154"/>
        <w:gridCol w:w="4632"/>
        <w:gridCol w:w="330"/>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suppressAutoHyphens w:val="true"/>
              <w:bidi w:val="0"/>
              <w:spacing w:before="0" w:after="0"/>
              <w:jc w:val="left"/>
              <w:rPr>
                <w:sz w:val="24"/>
                <w:szCs w:val="24"/>
              </w:rPr>
            </w:pPr>
            <w:hyperlink r:id="rId5">
              <w:r>
                <w:rPr/>
              </w:r>
            </w:hyperlink>
          </w:p>
        </w:tc>
        <w:tc>
          <w:tcPr>
            <w:tcW w:w="4962" w:type="dxa"/>
            <w:gridSpan w:val="2"/>
            <w:tcBorders/>
            <w:shd w:color="auto" w:fill="BFBFBF" w:val="clear"/>
          </w:tcPr>
          <w:p>
            <w:pPr>
              <w:pStyle w:val="Normal"/>
              <w:widowControl w:val="false"/>
              <w:rPr>
                <w:sz w:val="24"/>
                <w:szCs w:val="24"/>
              </w:rPr>
            </w:pPr>
            <w:r>
              <w:rPr/>
            </w:r>
          </w:p>
        </w:tc>
      </w:tr>
      <w:tr>
        <w:trPr/>
        <w:tc>
          <w:tcPr>
            <w:tcW w:w="4774" w:type="dxa"/>
            <w:tcBorders/>
          </w:tcPr>
          <w:p>
            <w:pPr>
              <w:pStyle w:val="Normal"/>
              <w:widowControl w:val="false"/>
              <w:rPr>
                <w:sz w:val="24"/>
                <w:szCs w:val="24"/>
                <w:highlight w:val="lightGray"/>
              </w:rPr>
            </w:pPr>
            <w:r>
              <w:rPr>
                <w:sz w:val="24"/>
                <w:szCs w:val="24"/>
                <w:highlight w:val="lightGray"/>
              </w:rPr>
              <w:t>_______________ / _______________</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p>
        </w:tc>
        <w:tc>
          <w:tcPr>
            <w:tcW w:w="330" w:type="dxa"/>
            <w:tcBorders/>
          </w:tcPr>
          <w:p>
            <w:pPr>
              <w:pStyle w:val="Normal"/>
              <w:widowControl w:val="false"/>
              <w:rPr/>
            </w:pPr>
            <w:r>
              <w:rPr/>
            </w:r>
          </w:p>
        </w:tc>
      </w:tr>
    </w:tbl>
    <w:p>
      <w:pPr>
        <w:sectPr>
          <w:headerReference w:type="default" r:id="rId6"/>
          <w:headerReference w:type="first" r:id="rId7"/>
          <w:footerReference w:type="default" r:id="rId8"/>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16384"/>
        </w:sectPr>
      </w:pPr>
    </w:p>
    <w:p>
      <w:pPr>
        <w:pStyle w:val="Normal"/>
        <w:ind w:hanging="0" w:left="5103" w:right="96"/>
        <w:rPr>
          <w:sz w:val="22"/>
          <w:szCs w:val="22"/>
        </w:rPr>
      </w:pPr>
      <w:r>
        <w:rPr>
          <w:sz w:val="22"/>
          <w:szCs w:val="22"/>
        </w:rPr>
        <w:t>Приложение № 1</w:t>
      </w:r>
    </w:p>
    <w:p>
      <w:pPr>
        <w:pStyle w:val="Normal"/>
        <w:ind w:hanging="0" w:left="5103" w:right="96"/>
        <w:rPr>
          <w:sz w:val="22"/>
          <w:szCs w:val="22"/>
        </w:rPr>
      </w:pPr>
      <w:r>
        <w:rPr>
          <w:sz w:val="22"/>
          <w:szCs w:val="22"/>
        </w:rPr>
        <w:t>к Договору поставки</w:t>
      </w:r>
    </w:p>
    <w:p>
      <w:pPr>
        <w:pStyle w:val="Normal"/>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601"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4"/>
        <w:gridCol w:w="159"/>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6"/>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7"/>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69"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8"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ind w:hanging="0" w:left="-737" w:right="680"/>
        <w:jc w:val="both"/>
        <w:rPr>
          <w:i/>
          <w:i/>
          <w:iCs/>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hanging="0" w:left="-737" w:right="680"/>
        <w:jc w:val="both"/>
        <w:rPr>
          <w:i/>
          <w:i/>
          <w:iCs/>
        </w:rPr>
      </w:pPr>
      <w:r>
        <w:rPr>
          <w:i/>
          <w:iCs/>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ind w:firstLine="5103" w:right="96"/>
        <w:rPr>
          <w:sz w:val="22"/>
          <w:szCs w:val="22"/>
        </w:rPr>
      </w:pPr>
      <w:r>
        <w:rPr>
          <w:sz w:val="22"/>
          <w:szCs w:val="22"/>
        </w:rPr>
        <w:t>Приложение № 2</w:t>
      </w:r>
    </w:p>
    <w:p>
      <w:pPr>
        <w:pStyle w:val="Normal"/>
        <w:ind w:firstLine="5103" w:right="96"/>
        <w:rPr>
          <w:sz w:val="22"/>
          <w:szCs w:val="22"/>
        </w:rPr>
      </w:pPr>
      <w:r>
        <w:rPr>
          <w:sz w:val="22"/>
          <w:szCs w:val="22"/>
        </w:rPr>
        <w:t xml:space="preserve">к Договору поставки </w:t>
      </w:r>
    </w:p>
    <w:p>
      <w:pPr>
        <w:pStyle w:val="Normal"/>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ind w:firstLine="5529" w:right="96"/>
        <w:rPr>
          <w:sz w:val="22"/>
          <w:szCs w:val="22"/>
        </w:rPr>
      </w:pPr>
      <w:r>
        <w:rPr>
          <w:sz w:val="22"/>
          <w:szCs w:val="22"/>
        </w:rPr>
        <w:t>Приложение № 3</w:t>
      </w:r>
    </w:p>
    <w:p>
      <w:pPr>
        <w:pStyle w:val="Normal"/>
        <w:ind w:firstLine="5529" w:right="96"/>
        <w:rPr>
          <w:sz w:val="22"/>
          <w:szCs w:val="22"/>
        </w:rPr>
      </w:pPr>
      <w:r>
        <w:rPr>
          <w:sz w:val="22"/>
          <w:szCs w:val="22"/>
        </w:rPr>
        <w:t>к Договору поставки</w:t>
      </w:r>
    </w:p>
    <w:p>
      <w:pPr>
        <w:pStyle w:val="Normal"/>
        <w:ind w:firstLine="5529"/>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18"/>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lang w:val="en-GB"/>
        </w:rPr>
        <w:footnoteReference w:id="19"/>
      </w:r>
      <w:r>
        <w:rPr>
          <w:sz w:val="24"/>
          <w:szCs w:val="24"/>
        </w:rPr>
        <w:t>, а также соответствовать следующим критериям:</w:t>
      </w:r>
    </w:p>
    <w:p>
      <w:pPr>
        <w:pStyle w:val="Normal"/>
        <w:widowControl/>
        <w:numPr>
          <w:ilvl w:val="1"/>
          <w:numId w:val="14"/>
        </w:numPr>
        <w:tabs>
          <w:tab w:val="clear" w:pos="709"/>
          <w:tab w:val="left" w:pos="1134" w:leader="none"/>
        </w:tabs>
        <w:ind w:firstLine="710" w:left="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4"/>
        </w:numPr>
        <w:tabs>
          <w:tab w:val="clear" w:pos="709"/>
          <w:tab w:val="left" w:pos="1134" w:leader="none"/>
        </w:tabs>
        <w:ind w:firstLine="710" w:left="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br/>
        <w:t>213-ФЗ).</w:t>
      </w:r>
    </w:p>
    <w:p>
      <w:pPr>
        <w:pStyle w:val="Normal"/>
        <w:widowControl/>
        <w:numPr>
          <w:ilvl w:val="1"/>
          <w:numId w:val="14"/>
        </w:numPr>
        <w:tabs>
          <w:tab w:val="clear" w:pos="709"/>
          <w:tab w:val="left" w:pos="1134" w:leader="none"/>
        </w:tabs>
        <w:ind w:firstLine="710" w:left="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9">
        <w:r>
          <w:rPr>
            <w:rStyle w:val="Hyperlink"/>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pPr>
        <w:pStyle w:val="Normal"/>
        <w:widowControl/>
        <w:numPr>
          <w:ilvl w:val="1"/>
          <w:numId w:val="14"/>
        </w:numPr>
        <w:tabs>
          <w:tab w:val="clear" w:pos="709"/>
          <w:tab w:val="left" w:pos="1134" w:leader="none"/>
        </w:tabs>
        <w:ind w:firstLine="710" w:left="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lang w:val="en-GB"/>
        </w:rPr>
        <w:footnoteReference w:id="20"/>
      </w:r>
      <w:r>
        <w:rPr>
          <w:sz w:val="24"/>
          <w:szCs w:val="24"/>
        </w:rPr>
        <w:t xml:space="preserve">. </w:t>
      </w:r>
    </w:p>
    <w:p>
      <w:pPr>
        <w:pStyle w:val="Normal"/>
        <w:widowControl/>
        <w:numPr>
          <w:ilvl w:val="1"/>
          <w:numId w:val="14"/>
        </w:numPr>
        <w:tabs>
          <w:tab w:val="clear" w:pos="709"/>
          <w:tab w:val="left" w:pos="1134" w:leader="none"/>
        </w:tabs>
        <w:ind w:firstLine="710" w:left="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lang w:val="en-GB"/>
        </w:rPr>
        <w:footnoteReference w:id="21"/>
      </w:r>
      <w:r>
        <w:rPr>
          <w:sz w:val="24"/>
          <w:szCs w:val="24"/>
        </w:rPr>
        <w:t>.</w:t>
      </w:r>
    </w:p>
    <w:p>
      <w:pPr>
        <w:pStyle w:val="Normal"/>
        <w:widowControl/>
        <w:numPr>
          <w:ilvl w:val="1"/>
          <w:numId w:val="14"/>
        </w:numPr>
        <w:tabs>
          <w:tab w:val="clear" w:pos="709"/>
          <w:tab w:val="left" w:pos="1134" w:leader="none"/>
        </w:tabs>
        <w:ind w:firstLine="710" w:left="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4"/>
        </w:numPr>
        <w:tabs>
          <w:tab w:val="clear" w:pos="709"/>
          <w:tab w:val="left" w:pos="1134" w:leader="none"/>
        </w:tabs>
        <w:ind w:firstLine="710" w:left="0"/>
        <w:jc w:val="both"/>
        <w:rPr>
          <w:sz w:val="24"/>
          <w:szCs w:val="24"/>
        </w:rPr>
      </w:pPr>
      <w:r>
        <w:rPr>
          <w:sz w:val="24"/>
          <w:szCs w:val="24"/>
        </w:rPr>
        <w:t>Не иметь просроченную задолженность перед Заказчиком и компаниями Группы РусГидро.</w:t>
      </w:r>
    </w:p>
    <w:p>
      <w:pPr>
        <w:pStyle w:val="Normal"/>
        <w:widowControl/>
        <w:numPr>
          <w:ilvl w:val="1"/>
          <w:numId w:val="14"/>
        </w:numPr>
        <w:tabs>
          <w:tab w:val="clear" w:pos="709"/>
          <w:tab w:val="left" w:pos="1134" w:leader="none"/>
        </w:tabs>
        <w:ind w:firstLine="710" w:left="0"/>
        <w:jc w:val="both"/>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lang w:val="en-GB"/>
        </w:rPr>
        <w:footnoteReference w:id="22"/>
      </w:r>
      <w:r>
        <w:rPr>
          <w:sz w:val="24"/>
          <w:szCs w:val="24"/>
        </w:rPr>
        <w:t>.</w:t>
      </w:r>
    </w:p>
    <w:p>
      <w:pPr>
        <w:pStyle w:val="Normal"/>
        <w:widowControl/>
        <w:numPr>
          <w:ilvl w:val="1"/>
          <w:numId w:val="14"/>
        </w:numPr>
        <w:tabs>
          <w:tab w:val="clear" w:pos="709"/>
          <w:tab w:val="left" w:pos="1134" w:leader="none"/>
        </w:tabs>
        <w:ind w:firstLine="710" w:left="0"/>
        <w:jc w:val="both"/>
        <w:rPr>
          <w:sz w:val="24"/>
          <w:szCs w:val="24"/>
        </w:rPr>
      </w:pPr>
      <w:r>
        <w:rPr>
          <w:sz w:val="24"/>
          <w:szCs w:val="24"/>
        </w:rPr>
        <w:t xml:space="preserve">Требования, установленные пунктами 2 – 4 настоящих Критериев, </w:t>
        <w:br/>
        <w:t>не распространяются на кредитные организации:</w:t>
      </w:r>
    </w:p>
    <w:p>
      <w:pPr>
        <w:pStyle w:val="Normal"/>
        <w:widowControl/>
        <w:numPr>
          <w:ilvl w:val="1"/>
          <w:numId w:val="15"/>
        </w:numPr>
        <w:tabs>
          <w:tab w:val="clear" w:pos="709"/>
          <w:tab w:val="left" w:pos="1134" w:leader="none"/>
        </w:tabs>
        <w:ind w:firstLine="709" w:left="0"/>
        <w:jc w:val="both"/>
        <w:rPr>
          <w:sz w:val="24"/>
          <w:szCs w:val="24"/>
        </w:rPr>
      </w:pPr>
      <w:r>
        <w:rPr>
          <w:sz w:val="24"/>
          <w:szCs w:val="24"/>
        </w:rPr>
        <w:t xml:space="preserve"> </w:t>
      </w:r>
      <w:r>
        <w:rPr>
          <w:sz w:val="24"/>
          <w:szCs w:val="24"/>
        </w:rPr>
        <w:t xml:space="preserve">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br/>
        <w:t xml:space="preserve">в которой могут размещаться средства федерального бюджета на банковских депозитах </w:t>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5"/>
        </w:numPr>
        <w:tabs>
          <w:tab w:val="clear" w:pos="709"/>
          <w:tab w:val="left" w:pos="1134" w:leader="none"/>
        </w:tabs>
        <w:ind w:firstLine="709" w:left="0"/>
        <w:jc w:val="both"/>
        <w:rPr>
          <w:sz w:val="24"/>
          <w:szCs w:val="24"/>
        </w:rPr>
      </w:pPr>
      <w:r>
        <w:rPr>
          <w:sz w:val="24"/>
          <w:szCs w:val="24"/>
        </w:rPr>
        <w:t xml:space="preserve"> </w:t>
      </w:r>
      <w:r>
        <w:rPr>
          <w:sz w:val="24"/>
          <w:szCs w:val="24"/>
        </w:rPr>
        <w:t xml:space="preserve">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br/>
        <w:t>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5"/>
        </w:numPr>
        <w:tabs>
          <w:tab w:val="clear" w:pos="709"/>
          <w:tab w:val="left" w:pos="1134" w:leader="none"/>
        </w:tabs>
        <w:ind w:firstLine="709" w:left="0"/>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5"/>
        </w:numPr>
        <w:tabs>
          <w:tab w:val="clear" w:pos="709"/>
          <w:tab w:val="left" w:pos="1134" w:leader="none"/>
        </w:tabs>
        <w:ind w:firstLine="709" w:left="0"/>
        <w:jc w:val="both"/>
        <w:rPr>
          <w:sz w:val="24"/>
          <w:szCs w:val="24"/>
          <w:lang w:val="en-GB"/>
        </w:rPr>
      </w:pPr>
      <w:r>
        <w:rPr>
          <w:sz w:val="24"/>
          <w:szCs w:val="24"/>
        </w:rPr>
        <w:t xml:space="preserve"> </w:t>
      </w:r>
      <w:r>
        <w:rPr>
          <w:sz w:val="24"/>
          <w:szCs w:val="24"/>
          <w:lang w:val="en-GB"/>
        </w:rPr>
        <w:t>ВЭБ.РФ.</w:t>
      </w:r>
    </w:p>
    <w:p>
      <w:pPr>
        <w:pStyle w:val="Normal"/>
        <w:numPr>
          <w:ilvl w:val="1"/>
          <w:numId w:val="15"/>
        </w:numPr>
        <w:tabs>
          <w:tab w:val="clear" w:pos="709"/>
          <w:tab w:val="left" w:pos="1134" w:leader="none"/>
        </w:tabs>
        <w:ind w:firstLine="709" w:left="0"/>
        <w:rPr>
          <w:sz w:val="24"/>
          <w:szCs w:val="24"/>
        </w:rPr>
      </w:pPr>
      <w:r>
        <w:rPr>
          <w:sz w:val="24"/>
          <w:szCs w:val="24"/>
          <w:lang w:val="en-GB"/>
        </w:rPr>
        <w:t>Нерезидентов Российской Федерации.</w:t>
      </w:r>
    </w:p>
    <w:p>
      <w:pPr>
        <w:pStyle w:val="Normal"/>
        <w:widowControl/>
        <w:numPr>
          <w:ilvl w:val="1"/>
          <w:numId w:val="14"/>
        </w:numPr>
        <w:tabs>
          <w:tab w:val="clear" w:pos="709"/>
          <w:tab w:val="left" w:pos="1134" w:leader="none"/>
        </w:tabs>
        <w:ind w:firstLine="710" w:left="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tbl>
      <w:tblPr>
        <w:tblW w:w="9606"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ind w:hanging="0" w:right="-108"/>
              <w:rPr>
                <w:color w:val="000000"/>
                <w:sz w:val="24"/>
                <w:szCs w:val="24"/>
              </w:rPr>
            </w:pPr>
            <w:r>
              <w:rPr>
                <w:b/>
                <w:i/>
                <w:color w:val="000000"/>
                <w:sz w:val="24"/>
                <w:szCs w:val="24"/>
              </w:rPr>
              <w:t>Lim</w:t>
            </w:r>
            <w:r>
              <w:rPr>
                <w:b/>
                <w:i/>
                <w:color w:val="000000"/>
                <w:sz w:val="24"/>
                <w:szCs w:val="24"/>
                <w:vertAlign w:val="subscript"/>
                <w:lang w:val="en-US"/>
              </w:rPr>
              <w:t>Ai</w:t>
            </w:r>
          </w:p>
        </w:tc>
        <w:tc>
          <w:tcPr>
            <w:tcW w:w="280" w:type="dxa"/>
            <w:tcBorders/>
            <w:shd w:color="auto" w:fill="auto" w:val="clear"/>
          </w:tcPr>
          <w:p>
            <w:pPr>
              <w:pStyle w:val="Normal"/>
              <w:widowControl w:val="false"/>
              <w:ind w:hanging="317" w:left="317" w:right="-108"/>
              <w:rPr>
                <w:color w:val="000000"/>
                <w:sz w:val="24"/>
                <w:szCs w:val="24"/>
              </w:rPr>
            </w:pPr>
            <w:r>
              <w:rPr>
                <w:sz w:val="24"/>
                <w:szCs w:val="24"/>
              </w:rPr>
              <w:t>-</w:t>
            </w:r>
          </w:p>
        </w:tc>
        <w:tc>
          <w:tcPr>
            <w:tcW w:w="8509" w:type="dxa"/>
            <w:tcBorders/>
            <w:shd w:color="auto" w:fill="auto" w:val="clear"/>
          </w:tcPr>
          <w:p>
            <w:pPr>
              <w:pStyle w:val="Normal"/>
              <w:widowControl w:val="false"/>
              <w:ind w:firstLine="567" w:left="-75" w:right="-108"/>
              <w:rPr>
                <w:color w:val="000000"/>
                <w:sz w:val="24"/>
                <w:szCs w:val="24"/>
              </w:rPr>
            </w:pPr>
            <w:r>
              <w:rPr>
                <w:sz w:val="24"/>
                <w:szCs w:val="24"/>
              </w:rPr>
              <w:t>Лимит риска для i-ой кредитной организации</w:t>
            </w:r>
            <w:r>
              <w:rPr>
                <w:rStyle w:val="FootnoteReference"/>
                <w:sz w:val="24"/>
                <w:szCs w:val="24"/>
              </w:rPr>
              <w:footnoteReference w:id="23"/>
            </w:r>
            <w:r>
              <w:rPr>
                <w:sz w:val="24"/>
                <w:szCs w:val="24"/>
              </w:rPr>
              <w:t>.</w:t>
            </w:r>
          </w:p>
        </w:tc>
      </w:tr>
      <w:tr>
        <w:trPr>
          <w:trHeight w:val="280" w:hRule="atLeast"/>
        </w:trPr>
        <w:tc>
          <w:tcPr>
            <w:tcW w:w="817" w:type="dxa"/>
            <w:tcBorders/>
            <w:shd w:color="auto" w:fill="auto" w:val="clear"/>
          </w:tcPr>
          <w:p>
            <w:pPr>
              <w:pStyle w:val="Normal"/>
              <w:widowControl w:val="false"/>
              <w:ind w:hanging="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ind w:firstLine="567" w:right="-108"/>
              <w:rPr>
                <w:color w:val="000000"/>
                <w:sz w:val="24"/>
                <w:szCs w:val="24"/>
              </w:rPr>
            </w:pPr>
            <w:r>
              <w:rPr>
                <w:color w:val="000000"/>
                <w:sz w:val="24"/>
                <w:szCs w:val="24"/>
              </w:rPr>
            </w:r>
          </w:p>
        </w:tc>
        <w:tc>
          <w:tcPr>
            <w:tcW w:w="280" w:type="dxa"/>
            <w:tcBorders/>
            <w:shd w:color="auto" w:fill="auto" w:val="clear"/>
          </w:tcPr>
          <w:p>
            <w:pPr>
              <w:pStyle w:val="Normal"/>
              <w:widowControl w:val="false"/>
              <w:ind w:hanging="0" w:right="-108"/>
              <w:rPr>
                <w:color w:val="000000"/>
                <w:sz w:val="24"/>
                <w:szCs w:val="24"/>
              </w:rPr>
            </w:pPr>
            <w:r>
              <w:rPr>
                <w:sz w:val="24"/>
                <w:szCs w:val="24"/>
              </w:rPr>
              <w:t>-</w:t>
            </w:r>
          </w:p>
        </w:tc>
        <w:tc>
          <w:tcPr>
            <w:tcW w:w="8509" w:type="dxa"/>
            <w:tcBorders/>
            <w:shd w:color="auto" w:fill="auto" w:val="clear"/>
          </w:tcPr>
          <w:p>
            <w:pPr>
              <w:pStyle w:val="Normal"/>
              <w:widowControl w:val="false"/>
              <w:ind w:firstLine="567" w:left="-75" w:right="-108"/>
              <w:rPr>
                <w:color w:val="000000"/>
                <w:sz w:val="24"/>
                <w:szCs w:val="24"/>
              </w:rPr>
            </w:pPr>
            <w:r>
              <w:rPr>
                <w:sz w:val="24"/>
                <w:szCs w:val="24"/>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0">
              <w:r>
                <w:rPr>
                  <w:rStyle w:val="Hyperlink"/>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trPr>
          <w:trHeight w:val="3894" w:hRule="atLeast"/>
        </w:trPr>
        <w:tc>
          <w:tcPr>
            <w:tcW w:w="817" w:type="dxa"/>
            <w:tcBorders/>
          </w:tcPr>
          <w:p>
            <w:pPr>
              <w:pStyle w:val="Normal"/>
              <w:widowControl w:val="false"/>
              <w:ind w:hanging="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ind w:hanging="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ind w:hanging="0" w:left="680"/>
              <w:jc w:val="both"/>
              <w:rPr/>
            </w:pPr>
            <w:r>
              <w:rPr>
                <w:sz w:val="24"/>
                <w:szCs w:val="24"/>
              </w:rPr>
              <w:t>рейтинговый коэффициент</w:t>
            </w:r>
            <w:r>
              <w:rPr>
                <w:rStyle w:val="FootnoteReference"/>
                <w:sz w:val="24"/>
                <w:szCs w:val="24"/>
              </w:rPr>
              <w:footnoteReference w:id="24"/>
            </w:r>
            <w:r>
              <w:rPr>
                <w:sz w:val="24"/>
                <w:szCs w:val="24"/>
              </w:rPr>
              <w:t xml:space="preserve"> для i-ой кредитной организации, равный:</w:t>
            </w:r>
          </w:p>
          <w:p>
            <w:pPr>
              <w:pStyle w:val="Normal"/>
              <w:widowControl w:val="false"/>
              <w:tabs>
                <w:tab w:val="left" w:pos="709" w:leader="none"/>
                <w:tab w:val="left" w:pos="851" w:leader="none"/>
              </w:tabs>
              <w:ind w:firstLine="709" w:right="-108"/>
              <w:jc w:val="both"/>
              <w:rPr>
                <w:sz w:val="24"/>
                <w:szCs w:val="24"/>
              </w:rPr>
            </w:pPr>
            <w:r>
              <w:rPr>
                <w:b/>
                <w:sz w:val="24"/>
                <w:szCs w:val="24"/>
              </w:rPr>
              <w:t>0,075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pPr>
              <w:pStyle w:val="Normal"/>
              <w:widowControl w:val="false"/>
              <w:tabs>
                <w:tab w:val="left" w:pos="709" w:leader="none"/>
                <w:tab w:val="left" w:pos="851" w:leader="none"/>
              </w:tabs>
              <w:ind w:firstLine="709" w:right="-108"/>
              <w:jc w:val="both"/>
              <w:rPr>
                <w:sz w:val="24"/>
                <w:szCs w:val="24"/>
              </w:rPr>
            </w:pPr>
            <w:r>
              <w:rPr>
                <w:b/>
                <w:sz w:val="24"/>
                <w:szCs w:val="24"/>
              </w:rPr>
              <w:t>0,05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«ruA-»</w:t>
            </w:r>
            <w:r>
              <w:rPr>
                <w:sz w:val="24"/>
                <w:szCs w:val="24"/>
              </w:rPr>
              <w:t xml:space="preserve"> по классификации рейтингового агентства Эксперт РА;</w:t>
            </w:r>
          </w:p>
          <w:p>
            <w:pPr>
              <w:pStyle w:val="Normal"/>
              <w:widowControl w:val="false"/>
              <w:tabs>
                <w:tab w:val="clear" w:pos="709"/>
                <w:tab w:val="left" w:pos="7130" w:leader="none"/>
              </w:tabs>
              <w:ind w:firstLine="567" w:right="-108"/>
              <w:rPr>
                <w:sz w:val="24"/>
                <w:szCs w:val="24"/>
              </w:rPr>
            </w:pPr>
            <w:r>
              <w:rPr>
                <w:b/>
                <w:sz w:val="24"/>
                <w:szCs w:val="24"/>
              </w:rPr>
              <w:t>0,025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425" w:leader="none"/>
        </w:tabs>
        <w:rPr>
          <w:sz w:val="24"/>
          <w:szCs w:val="24"/>
        </w:rPr>
      </w:pPr>
      <w:r>
        <w:rPr>
          <w:sz w:val="24"/>
          <w:szCs w:val="24"/>
        </w:rPr>
      </w:r>
    </w:p>
    <w:tbl>
      <w:tblPr>
        <w:tblW w:w="1375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_______________ / _______________</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_______________ / _______________</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ind w:firstLine="6237" w:right="96"/>
        <w:rPr>
          <w:sz w:val="24"/>
          <w:szCs w:val="24"/>
        </w:rPr>
      </w:pPr>
      <w:r>
        <w:rPr>
          <w:sz w:val="24"/>
          <w:szCs w:val="24"/>
        </w:rPr>
      </w:r>
    </w:p>
    <w:p>
      <w:pPr>
        <w:pStyle w:val="Normal"/>
        <w:widowControl w:val="false"/>
        <w:suppressAutoHyphens w:val="true"/>
        <w:bidi w:val="0"/>
        <w:spacing w:before="0" w:after="0"/>
        <w:jc w:val="left"/>
        <w:rPr>
          <w:b/>
          <w:sz w:val="24"/>
          <w:szCs w:val="24"/>
        </w:rPr>
      </w:pPr>
      <w:r>
        <w:rPr>
          <w:b/>
          <w:sz w:val="24"/>
          <w:szCs w:val="24"/>
        </w:rPr>
      </w:r>
    </w:p>
    <w:tbl>
      <w:tblPr>
        <w:tblW w:w="5000" w:type="pct"/>
        <w:jc w:val="left"/>
        <w:tblInd w:w="113"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r>
          </w:p>
        </w:tc>
      </w:tr>
    </w:tbl>
    <w:p>
      <w:pPr>
        <w:pStyle w:val="Normal"/>
        <w:widowControl w:val="false"/>
        <w:numPr>
          <w:ilvl w:val="0"/>
          <w:numId w:val="0"/>
        </w:numPr>
        <w:suppressAutoHyphens w:val="true"/>
        <w:bidi w:val="0"/>
        <w:spacing w:before="0" w:after="0"/>
        <w:ind w:hanging="0" w:left="0"/>
        <w:jc w:val="center"/>
        <w:outlineLvl w:val="0"/>
        <w:rPr>
          <w:bCs/>
          <w:sz w:val="24"/>
          <w:szCs w:val="24"/>
        </w:rPr>
      </w:pPr>
      <w:r>
        <w:rPr>
          <w:bCs/>
          <w:sz w:val="24"/>
          <w:szCs w:val="24"/>
        </w:rPr>
      </w:r>
    </w:p>
    <w:tbl>
      <w:tblPr>
        <w:tblW w:w="9815"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suppressAutoHyphens w:val="true"/>
              <w:bidi w:val="0"/>
              <w:spacing w:lineRule="auto" w:line="360" w:before="0" w:after="0"/>
              <w:jc w:val="left"/>
              <w:rPr>
                <w:sz w:val="24"/>
                <w:szCs w:val="24"/>
              </w:rPr>
            </w:pPr>
            <w:r>
              <w:rPr>
                <w:sz w:val="24"/>
                <w:szCs w:val="24"/>
              </w:rPr>
            </w:r>
          </w:p>
        </w:tc>
        <w:tc>
          <w:tcPr>
            <w:tcW w:w="4819" w:type="dxa"/>
            <w:tcBorders/>
            <w:shd w:color="auto" w:fill="auto" w:val="clear"/>
          </w:tcPr>
          <w:p>
            <w:pPr>
              <w:pStyle w:val="Normal"/>
              <w:widowControl w:val="false"/>
              <w:suppressAutoHyphens w:val="true"/>
              <w:bidi w:val="0"/>
              <w:spacing w:lineRule="auto" w:line="360" w:before="0" w:after="0"/>
              <w:ind w:firstLine="33"/>
              <w:jc w:val="left"/>
              <w:rPr>
                <w:b/>
                <w:sz w:val="24"/>
                <w:szCs w:val="24"/>
              </w:rPr>
            </w:pPr>
            <w:r>
              <w:rPr>
                <w:b/>
                <w:sz w:val="24"/>
                <w:szCs w:val="24"/>
              </w:rPr>
            </w:r>
          </w:p>
        </w:tc>
      </w:tr>
    </w:tbl>
    <w:p>
      <w:pPr>
        <w:pStyle w:val="Normal"/>
        <w:widowControl w:val="false"/>
        <w:suppressAutoHyphens w:val="true"/>
        <w:bidi w:val="0"/>
        <w:spacing w:before="0" w:after="0"/>
        <w:ind w:hanging="0" w:left="0"/>
        <w:jc w:val="both"/>
        <w:rPr>
          <w:bCs/>
        </w:rPr>
      </w:pPr>
      <w:r>
        <w:rPr>
          <w:bCs/>
        </w:rPr>
      </w:r>
    </w:p>
    <w:tbl>
      <w:tblPr>
        <w:tblW w:w="9815"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suppressAutoHyphens w:val="true"/>
              <w:bidi w:val="0"/>
              <w:spacing w:lineRule="auto" w:line="360" w:before="0" w:after="0"/>
              <w:jc w:val="left"/>
              <w:rPr>
                <w:sz w:val="24"/>
                <w:szCs w:val="24"/>
              </w:rPr>
            </w:pPr>
            <w:r>
              <w:rPr>
                <w:sz w:val="24"/>
                <w:szCs w:val="24"/>
              </w:rPr>
            </w:r>
          </w:p>
        </w:tc>
        <w:tc>
          <w:tcPr>
            <w:tcW w:w="4819" w:type="dxa"/>
            <w:tcBorders/>
            <w:shd w:color="auto" w:fill="auto" w:val="clear"/>
          </w:tcPr>
          <w:p>
            <w:pPr>
              <w:pStyle w:val="Normal"/>
              <w:widowControl w:val="false"/>
              <w:suppressAutoHyphens w:val="true"/>
              <w:bidi w:val="0"/>
              <w:spacing w:lineRule="auto" w:line="360" w:before="0" w:after="0"/>
              <w:ind w:firstLine="33"/>
              <w:jc w:val="left"/>
              <w:rPr>
                <w:b/>
                <w:sz w:val="24"/>
                <w:szCs w:val="24"/>
              </w:rPr>
            </w:pPr>
            <w:r>
              <w:rPr>
                <w:b/>
                <w:sz w:val="24"/>
                <w:szCs w:val="24"/>
              </w:rPr>
            </w:r>
          </w:p>
        </w:tc>
      </w:tr>
    </w:tbl>
    <w:p>
      <w:pPr>
        <w:pStyle w:val="ListParagraph"/>
        <w:widowControl/>
        <w:shd w:val="clear" w:color="auto" w:fill="FFFFFF"/>
        <w:suppressAutoHyphens w:val="true"/>
        <w:bidi w:val="0"/>
        <w:spacing w:before="120" w:after="20"/>
        <w:ind w:firstLine="709" w:left="720"/>
        <w:contextualSpacing/>
        <w:jc w:val="both"/>
        <w:rPr>
          <w:sz w:val="24"/>
          <w:szCs w:val="24"/>
        </w:rPr>
      </w:pPr>
      <w:r>
        <w:rPr>
          <w:sz w:val="24"/>
          <w:szCs w:val="24"/>
        </w:rPr>
      </w:r>
    </w:p>
    <w:tbl>
      <w:tblPr>
        <w:tblW w:w="10120"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5240"/>
        <w:gridCol w:w="4879"/>
      </w:tblGrid>
      <w:tr>
        <w:trPr>
          <w:trHeight w:val="282" w:hRule="atLeast"/>
        </w:trPr>
        <w:tc>
          <w:tcPr>
            <w:tcW w:w="5240" w:type="dxa"/>
            <w:tcBorders/>
          </w:tcPr>
          <w:p>
            <w:pPr>
              <w:pStyle w:val="Normal"/>
              <w:widowControl w:val="false"/>
              <w:suppressAutoHyphens w:val="true"/>
              <w:bidi w:val="0"/>
              <w:spacing w:before="0" w:after="0"/>
              <w:jc w:val="left"/>
              <w:rPr>
                <w:b/>
                <w:sz w:val="24"/>
                <w:szCs w:val="24"/>
                <w:lang w:val="en-GB"/>
              </w:rPr>
            </w:pPr>
            <w:r>
              <w:rPr/>
            </w:r>
          </w:p>
        </w:tc>
        <w:tc>
          <w:tcPr>
            <w:tcW w:w="4879" w:type="dxa"/>
            <w:tcBorders/>
          </w:tcPr>
          <w:p>
            <w:pPr>
              <w:pStyle w:val="Normal"/>
              <w:widowControl w:val="false"/>
              <w:suppressAutoHyphens w:val="true"/>
              <w:bidi w:val="0"/>
              <w:spacing w:before="0" w:after="0"/>
              <w:jc w:val="left"/>
              <w:rPr>
                <w:b/>
                <w:sz w:val="24"/>
                <w:szCs w:val="24"/>
                <w:lang w:val="en-GB"/>
              </w:rPr>
            </w:pPr>
            <w:r>
              <w:rPr/>
            </w:r>
          </w:p>
        </w:tc>
      </w:tr>
      <w:tr>
        <w:trPr>
          <w:trHeight w:val="611" w:hRule="atLeast"/>
        </w:trPr>
        <w:tc>
          <w:tcPr>
            <w:tcW w:w="5240" w:type="dxa"/>
            <w:tcBorders/>
          </w:tcPr>
          <w:p>
            <w:pPr>
              <w:pStyle w:val="Normal"/>
              <w:widowControl w:val="false"/>
              <w:rPr>
                <w:sz w:val="22"/>
                <w:szCs w:val="22"/>
                <w:lang w:val="en-GB"/>
              </w:rPr>
            </w:pPr>
            <w:r>
              <w:rPr/>
            </w:r>
          </w:p>
        </w:tc>
        <w:tc>
          <w:tcPr>
            <w:tcW w:w="4879" w:type="dxa"/>
            <w:tcBorders/>
          </w:tcPr>
          <w:p>
            <w:pPr>
              <w:pStyle w:val="Normal"/>
              <w:widowControl w:val="false"/>
              <w:rPr>
                <w:sz w:val="22"/>
                <w:szCs w:val="22"/>
                <w:lang w:val="en-GB"/>
              </w:rPr>
            </w:pPr>
            <w:r>
              <w:rPr/>
            </w:r>
          </w:p>
        </w:tc>
      </w:tr>
    </w:tbl>
    <w:p>
      <w:pPr>
        <w:pStyle w:val="Normal"/>
        <w:widowControl/>
        <w:spacing w:before="120" w:after="20"/>
        <w:jc w:val="both"/>
        <w:rPr>
          <w:sz w:val="24"/>
          <w:szCs w:val="24"/>
        </w:rPr>
      </w:pPr>
      <w:r>
        <w:rPr>
          <w:sz w:val="24"/>
          <w:szCs w:val="24"/>
        </w:rPr>
      </w:r>
    </w:p>
    <w:sectPr>
      <w:headerReference w:type="default" r:id="rId11"/>
      <w:headerReference w:type="first" r:id="rId12"/>
      <w:footerReference w:type="default" r:id="rId13"/>
      <w:footerReference w:type="first" r:id="rId14"/>
      <w:footnotePr>
        <w:numFmt w:val="decimal"/>
      </w:footnotePr>
      <w:type w:val="nextPage"/>
      <w:pgSz w:w="11906" w:h="16838"/>
      <w:pgMar w:left="1418" w:right="851" w:gutter="0" w:header="567" w:top="1134" w:footer="314"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25</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3">
    <w:p>
      <w:pPr>
        <w:pStyle w:val="FootnoteText"/>
        <w:jc w:val="both"/>
        <w:rPr/>
      </w:pPr>
      <w:r>
        <w:rPr>
          <w:rStyle w:val="Style14"/>
        </w:rPr>
        <w:footnoteRef/>
      </w:r>
      <w:r>
        <w:rPr/>
        <w:t xml:space="preserve"> </w:t>
      </w:r>
      <w:r>
        <w:rPr/>
        <w:t xml:space="preserve">Условие о размере авансового платежа в размере не менее 50 (пятидесяти) процентов от стоимости Товара предусматривается в  договорах, заключаемых в соответствии с Федеральным законом от 18.07.2011 № 223-ФЗ «О закупках товаров, работ, услуг отдельными видами юридических лиц» по результатам закупок кранового оборудования, включенного в реестр промышленной продукции, произведенной на территории Российской Федерации, в соответствии с постановлением Правительства Российской Федерации от 17.07.2015 № 719 </w:t>
        <w:br/>
        <w:t>«О подтверждении производства промышленной продукции на территории Российской Федерации». При этом необходимо изменить процент последующих платежей (пункт 2.5.3 Договора).</w:t>
      </w:r>
    </w:p>
  </w:footnote>
  <w:footnote w:id="4">
    <w:p>
      <w:pPr>
        <w:pStyle w:val="FootnoteText"/>
        <w:jc w:val="both"/>
        <w:rPr/>
      </w:pPr>
      <w:r>
        <w:rPr>
          <w:rStyle w:val="Style14"/>
        </w:rPr>
        <w:footnoteRef/>
      </w:r>
      <w:r>
        <w:rPr/>
        <w:t xml:space="preserve"> </w:t>
      </w:r>
      <w:r>
        <w:rPr/>
        <w:t>Указывается меньший размер платежей в случае применения ссылки к пункту 2.5.2 Договора о закупке кранового оборудования.</w:t>
      </w:r>
    </w:p>
  </w:footnote>
  <w:footnote w:id="5">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Заказчика.</w:t>
      </w:r>
    </w:p>
  </w:footnote>
  <w:footnote w:id="6">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8">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9">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10">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11">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2">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3">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4">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5">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6">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17">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2" w:name="_GoBack_Копия_1_Копия_1_Копия_1_Копия_1_"/>
      <w:bookmarkEnd w:id="12"/>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 w:id="18">
    <w:p>
      <w:pPr>
        <w:pStyle w:val="FootnoteText"/>
        <w:jc w:val="both"/>
        <w:rPr/>
      </w:pPr>
      <w:r>
        <w:rPr>
          <w:rStyle w:val="Style14"/>
        </w:rPr>
        <w:footnoteRef/>
      </w:r>
      <w:r>
        <w:rPr/>
        <w:t xml:space="preserve"> </w:t>
      </w:r>
      <w:r>
        <w:rPr/>
        <w:t xml:space="preserve">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br/>
        <w:t>по которым предусмотрены федеральным законом от 18.07.2011 № 223-ФЗ «О закупках товаров, работ, услуг отдельными видами юридических лиц».</w:t>
      </w:r>
    </w:p>
  </w:footnote>
  <w:footnote w:id="19">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20">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21">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22">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23">
    <w:p>
      <w:pPr>
        <w:pStyle w:val="FootnoteText"/>
        <w:jc w:val="both"/>
        <w:rPr/>
      </w:pPr>
      <w:r>
        <w:rPr>
          <w:rStyle w:val="Style14"/>
        </w:rPr>
        <w:footnoteRef/>
      </w:r>
      <w:r>
        <w:rPr/>
        <w:t xml:space="preserve"> </w:t>
      </w:r>
      <w:r>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4">
    <w:p>
      <w:pPr>
        <w:pStyle w:val="FootnoteText"/>
        <w:jc w:val="both"/>
        <w:rPr/>
      </w:pPr>
      <w:r>
        <w:rPr>
          <w:rStyle w:val="Style14"/>
        </w:rPr>
        <w:footnoteRef/>
      </w:r>
      <w:r>
        <w:rPr/>
        <w:t xml:space="preserve"> </w:t>
      </w:r>
      <w:r>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3">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4">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5">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6">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1">
    <w:name w:val="line number1"/>
    <w:qFormat/>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LineNumber">
    <w:name w:val="Line Number"/>
    <w:rPr/>
  </w:style>
  <w:style w:type="paragraph" w:styleId="Style19">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Office_IA_TK@rushydro.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hyperlink" Target="http://www.cbr.ru/" TargetMode="External"/><Relationship Id="rId10" Type="http://schemas.openxmlformats.org/officeDocument/2006/relationships/hyperlink" Target="http://www.cbr.ru/" TargetMode="Externa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notes" Target="footnotes.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Relationship Id="rId21" Type="http://schemas.openxmlformats.org/officeDocument/2006/relationships/customXml" Target="../customXml/item2.xml"/><Relationship Id="rId22" Type="http://schemas.openxmlformats.org/officeDocument/2006/relationships/customXml" Target="../customXml/item3.xml"/><Relationship Id="rId23"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E826B49-C07D-45A4-A662-4AC480D90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Application>AlterOffice/2026.2.0.0$Linux_X86_64 LibreOffice_project/bc4ef1adf80b36c7a6365f8ed6cbf29021361edd</Application>
  <AppVersion>15.0000</AppVersion>
  <DocSecurity>4</DocSecurity>
  <Pages>25</Pages>
  <Words>1834</Words>
  <Characters>13077</Characters>
  <CharactersWithSpaces>14849</CharactersWithSpaces>
  <Paragraphs>116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2026-08-14T00:03:00Z</dcterms:created>
  <dc:creator>tsypilev_ag</dc:creator>
  <dc:description/>
  <dc:language>ru-RU</dc:language>
  <cp:lastModifiedBy>azarines@corp.gidroogk.com</cp:lastModifiedBy>
  <cp:lastPrinted>2018-05-22T09:46:00Z</cp:lastPrinted>
  <dcterms:modified xsi:type="dcterms:W3CDTF">2026-09-21T12:20:43Z</dcterms:modified>
  <cp:revision>10</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