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header3.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_rels/document.xml.rels" ContentType="application/vnd.openxmlformats-package.relationships+xml"/>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document.xml" ContentType="application/vnd.openxmlformats-officedocument.wordprocessingml.document.main+xml"/>
  <Override PartName="/word/footer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2.xml" ContentType="application/vnd.openxmlformats-officedocument.wordprocessingml.footer+xml"/>
  <Override PartName="/word/header4.xml" ContentType="application/vnd.openxmlformats-officedocument.wordprocessingml.header+xml"/>
  <Override PartName="/word/styles.xml" ContentType="application/vnd.openxmlformats-officedocument.wordprocessingml.style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8"/>
          <w:tab w:val="left" w:pos="6926" w:leader="none"/>
        </w:tabs>
        <w:jc w:val="center"/>
        <w:rPr>
          <w:b/>
          <w:sz w:val="24"/>
          <w:szCs w:val="24"/>
        </w:rPr>
      </w:pPr>
      <w:r>
        <w:rPr>
          <w:b/>
          <w:bCs/>
          <w:sz w:val="24"/>
          <w:szCs w:val="24"/>
        </w:rPr>
        <w:t>Договор поставки</w:t>
      </w:r>
    </w:p>
    <w:p>
      <w:pPr>
        <w:pStyle w:val="Normal"/>
        <w:shd w:val="clear" w:color="auto" w:fill="FFFFFF"/>
        <w:rPr>
          <w:b/>
          <w:bCs/>
          <w:sz w:val="24"/>
          <w:szCs w:val="24"/>
        </w:rPr>
      </w:pPr>
      <w:r>
        <w:rPr>
          <w:b/>
          <w:bCs/>
          <w:sz w:val="24"/>
          <w:szCs w:val="24"/>
        </w:rPr>
      </w:r>
    </w:p>
    <w:p>
      <w:pPr>
        <w:pStyle w:val="Normal"/>
        <w:shd w:val="clear" w:color="auto" w:fill="FFFFFF"/>
        <w:tabs>
          <w:tab w:val="clear" w:pos="708"/>
          <w:tab w:val="left" w:pos="6926" w:leader="none"/>
        </w:tabs>
        <w:jc w:val="center"/>
        <w:rPr>
          <w:b/>
          <w:bCs/>
          <w:sz w:val="24"/>
          <w:szCs w:val="24"/>
        </w:rPr>
      </w:pPr>
      <w:r>
        <w:rPr>
          <w:b/>
          <w:bCs/>
          <w:sz w:val="24"/>
          <w:szCs w:val="24"/>
        </w:rPr>
        <w:t xml:space="preserve">№ </w:t>
      </w:r>
      <w:r>
        <w:rPr>
          <w:b/>
          <w:bCs/>
          <w:sz w:val="24"/>
          <w:szCs w:val="24"/>
        </w:rPr>
        <w:t>1350- -2026</w:t>
      </w:r>
    </w:p>
    <w:p>
      <w:pPr>
        <w:pStyle w:val="Normal"/>
        <w:shd w:val="clear" w:color="auto" w:fill="FFFFFF"/>
        <w:tabs>
          <w:tab w:val="clear" w:pos="708"/>
          <w:tab w:val="right" w:pos="9639" w:leader="none"/>
        </w:tabs>
        <w:rPr>
          <w:bCs/>
          <w:sz w:val="24"/>
          <w:szCs w:val="24"/>
        </w:rPr>
      </w:pPr>
      <w:r>
        <w:rPr>
          <w:bCs/>
          <w:sz w:val="24"/>
          <w:szCs w:val="24"/>
        </w:rPr>
      </w:r>
    </w:p>
    <w:p>
      <w:pPr>
        <w:pStyle w:val="Normal"/>
        <w:shd w:val="clear" w:color="auto" w:fill="FFFFFF"/>
        <w:tabs>
          <w:tab w:val="clear" w:pos="708"/>
          <w:tab w:val="right" w:pos="9639" w:leader="none"/>
        </w:tabs>
        <w:rPr>
          <w:bCs/>
          <w:sz w:val="24"/>
          <w:szCs w:val="24"/>
        </w:rPr>
      </w:pPr>
      <w:r>
        <w:rPr>
          <w:bCs/>
          <w:sz w:val="24"/>
          <w:szCs w:val="24"/>
        </w:rPr>
        <w:t>г. Новочебоксарск                                                                          «____» ____________ 2026 г.</w:t>
      </w:r>
    </w:p>
    <w:p>
      <w:pPr>
        <w:pStyle w:val="Normal"/>
        <w:shd w:val="clear" w:color="auto" w:fill="FFFFFF"/>
        <w:tabs>
          <w:tab w:val="clear" w:pos="708"/>
          <w:tab w:val="right" w:pos="9639" w:leader="none"/>
        </w:tabs>
        <w:jc w:val="right"/>
        <w:rPr>
          <w:bCs/>
          <w:sz w:val="24"/>
          <w:szCs w:val="24"/>
        </w:rPr>
      </w:pPr>
      <w:r>
        <w:rPr>
          <w:bCs/>
          <w:sz w:val="24"/>
          <w:szCs w:val="24"/>
        </w:rPr>
      </w:r>
    </w:p>
    <w:p>
      <w:pPr>
        <w:pStyle w:val="Normal"/>
        <w:ind w:firstLine="737"/>
        <w:jc w:val="both"/>
        <w:rPr>
          <w:spacing w:val="4"/>
          <w:sz w:val="24"/>
          <w:szCs w:val="24"/>
        </w:rPr>
      </w:pPr>
      <w:r>
        <w:rPr>
          <w:b/>
          <w:sz w:val="24"/>
          <w:szCs w:val="24"/>
        </w:rPr>
        <w:t>Публичное акционерное общество «Федеральная гидрогенерирующая компания – РусГидро» (ПАО «РусГидро»)</w:t>
      </w:r>
      <w:r>
        <w:rPr>
          <w:spacing w:val="2"/>
          <w:sz w:val="24"/>
          <w:szCs w:val="24"/>
        </w:rPr>
        <w:t xml:space="preserve"> (далее – </w:t>
      </w:r>
      <w:r>
        <w:rPr>
          <w:sz w:val="24"/>
          <w:szCs w:val="24"/>
        </w:rPr>
        <w:t>«Покупатель»), в лице  __________, действующего на основании _______________</w:t>
      </w:r>
      <w:r>
        <w:rPr>
          <w:spacing w:val="4"/>
          <w:sz w:val="24"/>
          <w:szCs w:val="24"/>
        </w:rPr>
        <w:t>, с одной стороны, и</w:t>
      </w:r>
    </w:p>
    <w:p>
      <w:pPr>
        <w:pStyle w:val="Normal"/>
        <w:ind w:firstLine="57"/>
        <w:jc w:val="both"/>
        <w:rPr>
          <w:sz w:val="24"/>
          <w:szCs w:val="24"/>
        </w:rPr>
      </w:pPr>
      <w:r>
        <w:rPr>
          <w:b/>
          <w:bCs/>
          <w:spacing w:val="4"/>
          <w:sz w:val="24"/>
          <w:szCs w:val="24"/>
        </w:rPr>
        <w:t>______________________</w:t>
      </w:r>
      <w:r>
        <w:rPr>
          <w:b/>
          <w:iCs/>
          <w:sz w:val="24"/>
          <w:szCs w:val="24"/>
        </w:rPr>
        <w:t xml:space="preserve"> </w:t>
      </w:r>
      <w:r>
        <w:rPr>
          <w:iCs/>
          <w:sz w:val="24"/>
          <w:szCs w:val="24"/>
        </w:rPr>
        <w:t xml:space="preserve">(далее – </w:t>
      </w:r>
      <w:r>
        <w:rPr>
          <w:sz w:val="24"/>
          <w:szCs w:val="24"/>
        </w:rPr>
        <w:t>«</w:t>
      </w:r>
      <w:r>
        <w:rPr>
          <w:iCs/>
          <w:sz w:val="24"/>
          <w:szCs w:val="24"/>
        </w:rPr>
        <w:t>Поставщик</w:t>
      </w:r>
      <w:r>
        <w:rPr>
          <w:sz w:val="24"/>
          <w:szCs w:val="24"/>
        </w:rPr>
        <w:t>»</w:t>
      </w:r>
      <w:r>
        <w:rPr>
          <w:iCs/>
          <w:sz w:val="24"/>
          <w:szCs w:val="24"/>
        </w:rPr>
        <w:t>), в лице ________________________, действующего на основании _______________</w:t>
      </w:r>
      <w:r>
        <w:rPr>
          <w:sz w:val="24"/>
          <w:szCs w:val="24"/>
        </w:rPr>
        <w:t xml:space="preserve">, с другой стороны, совместно в дальнейшем именуемые «Стороны», а по отдельности «Сторона», </w:t>
        <w:br/>
      </w:r>
      <w:r>
        <w:rPr>
          <w:sz w:val="24"/>
          <w:szCs w:val="24"/>
          <w:highlight w:val="lightGray"/>
          <w:lang w:eastAsia="en-US"/>
        </w:rPr>
        <w:t>по результатам проведенного Покупателем состязательного отбора по лоту № 0072-ЭКСП БЕЗ-2026-ЧеГЭС и на основании протокола __________ от «___» 2026 г. №_______,</w:t>
      </w:r>
    </w:p>
    <w:p>
      <w:pPr>
        <w:pStyle w:val="Normal"/>
        <w:ind w:firstLine="708"/>
        <w:jc w:val="both"/>
        <w:rPr>
          <w:spacing w:val="10"/>
          <w:sz w:val="24"/>
          <w:szCs w:val="24"/>
        </w:rPr>
      </w:pPr>
      <w:r>
        <w:rPr>
          <w:sz w:val="24"/>
          <w:szCs w:val="24"/>
        </w:rPr>
        <w:t>, заключили настоящий договор поставки (далее – «Договор») о нижеследующем:</w:t>
      </w:r>
    </w:p>
    <w:p>
      <w:pPr>
        <w:pStyle w:val="Normal"/>
        <w:shd w:val="clear" w:color="auto" w:fill="FFFFFF"/>
        <w:rPr>
          <w:bCs/>
          <w:sz w:val="24"/>
          <w:szCs w:val="24"/>
        </w:rPr>
      </w:pPr>
      <w:r>
        <w:rPr>
          <w:bCs/>
          <w:sz w:val="24"/>
          <w:szCs w:val="24"/>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ТОРГ-2 «Акт об установленном расхождении по количеству и качеству при приемке товарно-материальных ценностей» и № ТОРГ</w:t>
      </w:r>
      <w:r>
        <w:rPr>
          <w:sz w:val="24"/>
          <w:szCs w:val="24"/>
        </w:rPr>
        <w:t>-</w:t>
      </w:r>
      <w:r>
        <w:rPr>
          <w:sz w:val="24"/>
          <w:szCs w:val="24"/>
          <w:lang w:eastAsia="en-US"/>
        </w:rPr>
        <w:t xml:space="preserve">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8"/>
          <w:tab w:val="left" w:pos="567" w:leader="none"/>
          <w:tab w:val="left" w:pos="1134" w:leader="none"/>
        </w:tabs>
        <w:ind w:left="0" w:firstLine="708"/>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8"/>
          <w:tab w:val="left" w:pos="0" w:leader="none"/>
        </w:tabs>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0" w:leader="none"/>
        </w:tabs>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8"/>
          <w:tab w:val="left" w:pos="0" w:leader="none"/>
        </w:tabs>
        <w:ind w:left="0" w:firstLine="709"/>
        <w:jc w:val="both"/>
        <w:textAlignment w:val="baseline"/>
        <w:rPr>
          <w:sz w:val="24"/>
          <w:szCs w:val="24"/>
          <w:lang w:eastAsia="en-US"/>
        </w:rPr>
      </w:pPr>
      <w:r>
        <w:rPr>
          <w:b/>
          <w:sz w:val="24"/>
          <w:szCs w:val="24"/>
          <w:lang w:eastAsia="en-US"/>
        </w:rPr>
        <w:t xml:space="preserve"> </w:t>
      </w: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в случаях, установленных Договором. </w:t>
      </w:r>
    </w:p>
    <w:p>
      <w:pPr>
        <w:pStyle w:val="Heading3"/>
        <w:keepNext w:val="false"/>
        <w:tabs>
          <w:tab w:val="clear" w:pos="708"/>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 xml:space="preserve"> </w:t>
      </w: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8"/>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8"/>
          <w:tab w:val="left" w:pos="0" w:leader="none"/>
        </w:tabs>
        <w:spacing w:before="0" w:after="0"/>
        <w:ind w:firstLine="708"/>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rPr>
          <w:sz w:val="24"/>
          <w:szCs w:val="24"/>
          <w:lang w:eastAsia="en-US"/>
        </w:rPr>
      </w:pPr>
      <w:r>
        <w:rPr>
          <w:b/>
          <w:sz w:val="24"/>
          <w:szCs w:val="24"/>
          <w:lang w:eastAsia="en-US"/>
        </w:rPr>
        <w:t xml:space="preserve">            </w:t>
      </w:r>
      <w:r>
        <w:rPr>
          <w:b/>
          <w:sz w:val="24"/>
          <w:szCs w:val="24"/>
          <w:lang w:eastAsia="en-US"/>
        </w:rPr>
        <w:t xml:space="preserve">«Универсальный передаточный документ (УПД) – </w:t>
      </w:r>
      <w:r>
        <w:rPr>
          <w:sz w:val="24"/>
          <w:szCs w:val="24"/>
          <w:lang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p>
    <w:p>
      <w:pPr>
        <w:pStyle w:val="Normal"/>
        <w:numPr>
          <w:ilvl w:val="0"/>
          <w:numId w:val="2"/>
        </w:numPr>
        <w:shd w:val="clear" w:color="auto" w:fill="FFFFFF"/>
        <w:tabs>
          <w:tab w:val="clear" w:pos="708"/>
          <w:tab w:val="left" w:pos="284" w:leader="none"/>
        </w:tabs>
        <w:ind w:left="0" w:hanging="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8"/>
          <w:tab w:val="left" w:pos="1560" w:leader="none"/>
        </w:tabs>
        <w:ind w:left="0" w:firstLine="709"/>
        <w:jc w:val="both"/>
        <w:rPr>
          <w:bCs/>
          <w:sz w:val="24"/>
          <w:szCs w:val="24"/>
        </w:rPr>
      </w:pPr>
      <w:r>
        <w:rPr>
          <w:bCs/>
          <w:sz w:val="24"/>
          <w:szCs w:val="24"/>
        </w:rPr>
        <w:t>Поставщик обязуется в порядке и сроки, установленные Договором, передать в собственность Покупателю</w:t>
      </w:r>
      <w:r>
        <w:rPr>
          <w:rStyle w:val="Strong"/>
          <w:b w:val="false"/>
          <w:bCs w:val="false"/>
          <w:sz w:val="24"/>
          <w:szCs w:val="24"/>
        </w:rPr>
        <w:t xml:space="preserve"> стандартные крепежные изделия для монтажа защитных ограждений оборудования машинного зала здания ГЭС с 18 гидроагрегатами Чебоксарской ГЭС</w:t>
      </w:r>
      <w:r>
        <w:rPr>
          <w:b/>
          <w:bCs/>
          <w:sz w:val="24"/>
          <w:szCs w:val="24"/>
        </w:rPr>
        <w:t xml:space="preserve"> </w:t>
      </w:r>
      <w:r>
        <w:rPr>
          <w:bCs/>
          <w:sz w:val="24"/>
          <w:szCs w:val="24"/>
        </w:rPr>
        <w:t>(далее – «Товар») в соответствии со Спецификацией (Приложение № 1 к Договору</w:t>
      </w:r>
      <w:r>
        <w:rPr>
          <w:b/>
          <w:bCs/>
          <w:sz w:val="24"/>
          <w:szCs w:val="24"/>
        </w:rPr>
        <w:t>)</w:t>
      </w:r>
      <w:r>
        <w:rPr>
          <w:bCs/>
          <w:sz w:val="24"/>
          <w:szCs w:val="24"/>
        </w:rPr>
        <w:t xml:space="preserve"> и Техническими требованиями (Приложение № 2 к Договору),</w:t>
      </w:r>
      <w:r>
        <w:rPr>
          <w:b/>
          <w:bCs/>
          <w:sz w:val="24"/>
          <w:szCs w:val="24"/>
        </w:rPr>
        <w:t xml:space="preserve"> </w:t>
      </w:r>
      <w:r>
        <w:rPr>
          <w:bCs/>
          <w:sz w:val="24"/>
          <w:szCs w:val="24"/>
        </w:rPr>
        <w:t>а Покупатель обязуется принять Товар и оплатить Цену Договора.</w:t>
      </w:r>
    </w:p>
    <w:p>
      <w:pPr>
        <w:pStyle w:val="Normal"/>
        <w:numPr>
          <w:ilvl w:val="1"/>
          <w:numId w:val="2"/>
        </w:numPr>
        <w:shd w:val="clear" w:color="auto" w:fill="FFFFFF"/>
        <w:tabs>
          <w:tab w:val="clear" w:pos="708"/>
          <w:tab w:val="left" w:pos="0" w:leader="none"/>
          <w:tab w:val="left" w:pos="1134" w:leader="none"/>
          <w:tab w:val="left" w:pos="1425" w:leader="none"/>
        </w:tabs>
        <w:ind w:left="0" w:firstLine="709"/>
        <w:jc w:val="both"/>
        <w:rPr>
          <w:bCs/>
          <w:sz w:val="24"/>
          <w:szCs w:val="24"/>
        </w:rPr>
      </w:pPr>
      <w:r>
        <w:rPr>
          <w:bCs/>
          <w:sz w:val="24"/>
          <w:szCs w:val="24"/>
        </w:rPr>
        <w:t>Поставка Товара осуществляется для нужд Филиала ПАО «РусГидро»-«Чебоксарская ГЭС».</w:t>
      </w:r>
    </w:p>
    <w:p>
      <w:pPr>
        <w:pStyle w:val="Normal"/>
        <w:numPr>
          <w:ilvl w:val="1"/>
          <w:numId w:val="2"/>
        </w:numPr>
        <w:shd w:val="clear" w:color="auto" w:fill="FFFFFF"/>
        <w:tabs>
          <w:tab w:val="clear" w:pos="708"/>
          <w:tab w:val="left" w:pos="0" w:leader="none"/>
          <w:tab w:val="left" w:pos="1134" w:leader="none"/>
          <w:tab w:val="left" w:pos="1425" w:leader="none"/>
        </w:tabs>
        <w:ind w:left="0" w:firstLine="709"/>
        <w:rPr>
          <w:bCs/>
          <w:sz w:val="24"/>
          <w:szCs w:val="24"/>
        </w:rPr>
      </w:pPr>
      <w:r>
        <w:rPr>
          <w:bCs/>
          <w:sz w:val="24"/>
          <w:szCs w:val="24"/>
        </w:rPr>
        <w:t>Место поставки Товара: 429965, Чувашская Республика, г. Новочебоксарск, ул. Набережная, влд 34.</w:t>
      </w:r>
    </w:p>
    <w:p>
      <w:pPr>
        <w:pStyle w:val="Normal"/>
        <w:numPr>
          <w:ilvl w:val="1"/>
          <w:numId w:val="2"/>
        </w:numPr>
        <w:shd w:val="clear" w:color="auto" w:fill="FFFFFF"/>
        <w:tabs>
          <w:tab w:val="clear" w:pos="708"/>
          <w:tab w:val="left" w:pos="0" w:leader="none"/>
          <w:tab w:val="left" w:pos="1134" w:leader="none"/>
          <w:tab w:val="left" w:pos="1425" w:leader="none"/>
        </w:tabs>
        <w:ind w:left="0" w:firstLine="709"/>
        <w:jc w:val="both"/>
        <w:rPr>
          <w:bCs/>
          <w:sz w:val="24"/>
          <w:szCs w:val="24"/>
        </w:rPr>
      </w:pPr>
      <w:r>
        <w:rPr>
          <w:bCs/>
          <w:sz w:val="24"/>
          <w:szCs w:val="24"/>
        </w:rPr>
        <w:t xml:space="preserve"> </w:t>
      </w:r>
      <w:r>
        <w:rPr>
          <w:bCs/>
          <w:sz w:val="24"/>
          <w:szCs w:val="24"/>
        </w:rPr>
        <w:t>Срок поставки Товара:</w:t>
      </w:r>
    </w:p>
    <w:p>
      <w:pPr>
        <w:pStyle w:val="Normal"/>
        <w:numPr>
          <w:ilvl w:val="2"/>
          <w:numId w:val="2"/>
        </w:numPr>
        <w:shd w:val="clear" w:color="auto" w:fill="FFFFFF"/>
        <w:tabs>
          <w:tab w:val="clear" w:pos="708"/>
          <w:tab w:val="left" w:pos="0" w:leader="none"/>
          <w:tab w:val="left" w:pos="1418" w:leader="none"/>
        </w:tabs>
        <w:ind w:left="0" w:firstLine="709"/>
        <w:jc w:val="both"/>
        <w:rPr>
          <w:b/>
          <w:bCs/>
          <w:sz w:val="24"/>
          <w:szCs w:val="24"/>
        </w:rPr>
      </w:pPr>
      <w:r>
        <w:rPr>
          <w:b/>
          <w:bCs/>
          <w:sz w:val="24"/>
          <w:szCs w:val="24"/>
        </w:rPr>
        <w:t>Начало</w:t>
      </w:r>
      <w:r>
        <w:rPr>
          <w:bCs/>
          <w:sz w:val="24"/>
          <w:szCs w:val="24"/>
        </w:rPr>
        <w:t xml:space="preserve"> – </w:t>
      </w:r>
      <w:r>
        <w:rPr>
          <w:b/>
          <w:bCs/>
          <w:sz w:val="24"/>
          <w:szCs w:val="24"/>
        </w:rPr>
        <w:t xml:space="preserve">  </w:t>
      </w:r>
      <w:r>
        <w:rPr>
          <w:bCs/>
          <w:sz w:val="24"/>
          <w:szCs w:val="24"/>
        </w:rPr>
        <w:t>со дня, следующего за днем подписания Договора обеими Сторонами</w:t>
      </w:r>
      <w:r>
        <w:rPr>
          <w:rFonts w:eastAsia="Calibri"/>
          <w:b/>
          <w:sz w:val="24"/>
          <w:szCs w:val="24"/>
        </w:rPr>
        <w:t>;</w:t>
      </w:r>
    </w:p>
    <w:p>
      <w:pPr>
        <w:pStyle w:val="Normal"/>
        <w:numPr>
          <w:ilvl w:val="2"/>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b/>
          <w:bCs/>
          <w:sz w:val="24"/>
          <w:szCs w:val="24"/>
        </w:rPr>
        <w:t>Окончание</w:t>
      </w:r>
      <w:r>
        <w:rPr>
          <w:bCs/>
          <w:sz w:val="24"/>
          <w:szCs w:val="24"/>
        </w:rPr>
        <w:t xml:space="preserve"> – </w:t>
      </w:r>
      <w:r>
        <w:rPr>
          <w:b/>
          <w:bCs/>
          <w:sz w:val="24"/>
          <w:szCs w:val="24"/>
        </w:rPr>
        <w:t xml:space="preserve"> </w:t>
      </w:r>
      <w:r>
        <w:rPr>
          <w:iCs/>
          <w:sz w:val="24"/>
          <w:szCs w:val="24"/>
        </w:rPr>
        <w:t>14 (четырнадцать) календарных дней</w:t>
      </w:r>
      <w:r>
        <w:rPr>
          <w:bCs/>
          <w:sz w:val="24"/>
          <w:szCs w:val="24"/>
        </w:rPr>
        <w:t xml:space="preserve"> со дня, следующего за днем подписания Договора обеими Сторонами</w:t>
      </w:r>
      <w:r>
        <w:rPr>
          <w:b/>
          <w:bCs/>
          <w:sz w:val="24"/>
          <w:szCs w:val="24"/>
        </w:rPr>
        <w:t>.</w:t>
      </w:r>
    </w:p>
    <w:p>
      <w:pPr>
        <w:pStyle w:val="Normal"/>
        <w:shd w:val="clear" w:color="auto" w:fill="FFFFFF"/>
        <w:tabs>
          <w:tab w:val="clear" w:pos="708"/>
          <w:tab w:val="left" w:pos="1134" w:leader="none"/>
          <w:tab w:val="left" w:pos="1418" w:leader="none"/>
          <w:tab w:val="left" w:pos="1855" w:leader="none"/>
        </w:tabs>
        <w:jc w:val="both"/>
        <w:rPr>
          <w:b/>
          <w:bCs/>
          <w:sz w:val="24"/>
          <w:szCs w:val="24"/>
        </w:rPr>
      </w:pPr>
      <w:r>
        <w:rPr>
          <w:b/>
          <w:bCs/>
          <w:sz w:val="24"/>
          <w:szCs w:val="24"/>
        </w:rPr>
      </w:r>
    </w:p>
    <w:p>
      <w:pPr>
        <w:pStyle w:val="Normal"/>
        <w:numPr>
          <w:ilvl w:val="0"/>
          <w:numId w:val="2"/>
        </w:numPr>
        <w:shd w:val="clear" w:color="auto" w:fill="FFFFFF"/>
        <w:tabs>
          <w:tab w:val="clear" w:pos="708"/>
          <w:tab w:val="left" w:pos="284" w:leader="none"/>
        </w:tabs>
        <w:ind w:left="0" w:hanging="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8"/>
          <w:tab w:val="left" w:pos="0" w:leader="none"/>
          <w:tab w:val="left" w:pos="1134" w:leader="none"/>
        </w:tabs>
        <w:ind w:left="0" w:firstLine="709"/>
        <w:jc w:val="both"/>
        <w:rPr>
          <w:bCs/>
          <w:sz w:val="24"/>
          <w:szCs w:val="24"/>
        </w:rPr>
      </w:pPr>
      <w:r>
        <w:rPr>
          <w:sz w:val="24"/>
          <w:szCs w:val="24"/>
        </w:rPr>
        <w:t xml:space="preserve">Цена Договора в соответствии со Спецификацией (Приложение № 1 к Договору) </w:t>
      </w:r>
      <w:r>
        <w:rPr>
          <w:bCs/>
          <w:sz w:val="24"/>
          <w:szCs w:val="24"/>
        </w:rPr>
        <w:t xml:space="preserve">является твердой и составляет </w:t>
      </w:r>
      <w:r>
        <w:rPr>
          <w:bCs/>
          <w:sz w:val="24"/>
          <w:szCs w:val="24"/>
        </w:rPr>
        <w:t>__</w:t>
      </w:r>
      <w:r>
        <w:rPr>
          <w:b/>
          <w:bCs/>
          <w:sz w:val="24"/>
          <w:szCs w:val="24"/>
        </w:rPr>
        <w:t>___ (____________</w:t>
      </w:r>
      <w:r>
        <w:rPr>
          <w:b/>
          <w:bCs/>
          <w:sz w:val="24"/>
          <w:szCs w:val="24"/>
        </w:rPr>
        <w:t>_</w:t>
      </w:r>
      <w:r>
        <w:rPr>
          <w:b/>
          <w:bCs/>
          <w:sz w:val="24"/>
          <w:szCs w:val="24"/>
        </w:rPr>
        <w:t>__ ) рублей 00 копеек</w:t>
      </w:r>
      <w:r>
        <w:rPr>
          <w:bCs/>
          <w:sz w:val="24"/>
          <w:szCs w:val="24"/>
        </w:rPr>
        <w:t xml:space="preserve"> без учета НДС, при этом НДС исчисляется дополнительно по ставке, установленной статьей 164 Налогового Кодекса Российской Федерации (далее – НК РФ).</w:t>
      </w:r>
    </w:p>
    <w:p>
      <w:pPr>
        <w:pStyle w:val="ListParagraph"/>
        <w:numPr>
          <w:ilvl w:val="1"/>
          <w:numId w:val="2"/>
        </w:numPr>
        <w:shd w:val="clear" w:color="auto" w:fill="FFFFFF"/>
        <w:tabs>
          <w:tab w:val="clear" w:pos="708"/>
          <w:tab w:val="left" w:pos="1134" w:leader="none"/>
        </w:tabs>
        <w:ind w:left="0" w:firstLine="709"/>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8"/>
          <w:tab w:val="left" w:pos="1418" w:leader="none"/>
        </w:tabs>
        <w:ind w:left="1639" w:hanging="930"/>
        <w:jc w:val="both"/>
        <w:rPr>
          <w:bCs/>
          <w:sz w:val="24"/>
          <w:szCs w:val="24"/>
        </w:rPr>
      </w:pPr>
      <w:r>
        <w:rPr>
          <w:bCs/>
          <w:sz w:val="24"/>
          <w:szCs w:val="24"/>
        </w:rPr>
        <w:t>производство и / или приобретение Товара;</w:t>
      </w:r>
    </w:p>
    <w:p>
      <w:pPr>
        <w:pStyle w:val="Normal"/>
        <w:shd w:val="clear" w:color="auto" w:fill="FFFFFF"/>
        <w:ind w:firstLine="709"/>
        <w:jc w:val="both"/>
        <w:rPr>
          <w:bCs/>
          <w:sz w:val="24"/>
          <w:szCs w:val="24"/>
        </w:rPr>
      </w:pPr>
      <w:r>
        <w:rPr>
          <w:bCs/>
          <w:sz w:val="24"/>
          <w:szCs w:val="24"/>
        </w:rPr>
        <w:t>2.2.2. транспортировку Товара до Места поставки, погрузку, перемещение по территории Покупателя</w:t>
      </w:r>
      <w:r>
        <w:rPr>
          <w:rStyle w:val="FootnoteReference"/>
          <w:sz w:val="24"/>
          <w:szCs w:val="24"/>
        </w:rPr>
        <w:footnoteReference w:id="2"/>
      </w:r>
      <w:r>
        <w:rPr>
          <w:bCs/>
          <w:sz w:val="24"/>
          <w:szCs w:val="24"/>
        </w:rPr>
        <w:t xml:space="preserve">, стоимость тары и упаковки, лицензий, необходимых для использования Товара (если применимо); </w:t>
      </w:r>
    </w:p>
    <w:p>
      <w:pPr>
        <w:pStyle w:val="Normal"/>
        <w:shd w:val="clear" w:color="auto" w:fill="FFFFFF"/>
        <w:tabs>
          <w:tab w:val="clear" w:pos="708"/>
          <w:tab w:val="left" w:pos="1429" w:leader="none"/>
        </w:tabs>
        <w:ind w:firstLine="680"/>
        <w:jc w:val="both"/>
        <w:rPr>
          <w:bCs/>
          <w:sz w:val="24"/>
          <w:szCs w:val="24"/>
        </w:rPr>
      </w:pPr>
      <w:r>
        <w:rPr>
          <w:bCs/>
          <w:sz w:val="24"/>
          <w:szCs w:val="24"/>
        </w:rPr>
        <w:t>2.2.3. подлежащие уплате налоги, сборы и пошлины (в том числе по таможенному оформлению Товара, если применимо);</w:t>
      </w:r>
    </w:p>
    <w:p>
      <w:pPr>
        <w:pStyle w:val="Normal"/>
        <w:shd w:val="clear" w:color="auto" w:fill="FFFFFF"/>
        <w:tabs>
          <w:tab w:val="clear" w:pos="708"/>
          <w:tab w:val="left" w:pos="709" w:leader="none"/>
        </w:tabs>
        <w:jc w:val="both"/>
        <w:rPr>
          <w:bCs/>
          <w:sz w:val="24"/>
          <w:szCs w:val="24"/>
        </w:rPr>
      </w:pPr>
      <w:r>
        <w:rPr>
          <w:bCs/>
          <w:sz w:val="24"/>
          <w:szCs w:val="24"/>
        </w:rPr>
        <w:tab/>
        <w:t xml:space="preserve">2.2.4. заработную плату, накладные и командировочные расходы, перемещение и размещение персонала Поставщика; </w:t>
      </w:r>
    </w:p>
    <w:p>
      <w:pPr>
        <w:pStyle w:val="Normal"/>
        <w:shd w:val="clear" w:color="auto" w:fill="FFFFFF"/>
        <w:tabs>
          <w:tab w:val="clear" w:pos="708"/>
          <w:tab w:val="left" w:pos="1418" w:leader="none"/>
        </w:tabs>
        <w:ind w:firstLine="709"/>
        <w:jc w:val="both"/>
        <w:rPr>
          <w:bCs/>
          <w:sz w:val="24"/>
          <w:szCs w:val="24"/>
        </w:rPr>
      </w:pPr>
      <w:r>
        <w:rPr>
          <w:bCs/>
          <w:sz w:val="24"/>
          <w:szCs w:val="24"/>
        </w:rPr>
        <w:t xml:space="preserve">2.2.5. 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8"/>
          <w:tab w:val="left" w:pos="568" w:leader="none"/>
          <w:tab w:val="left" w:pos="1134" w:leader="none"/>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8"/>
          <w:tab w:val="left" w:pos="0" w:leader="none"/>
          <w:tab w:val="left" w:pos="1134" w:leader="none"/>
        </w:tabs>
        <w:ind w:left="0" w:firstLine="709"/>
        <w:jc w:val="both"/>
        <w:rPr>
          <w:sz w:val="24"/>
          <w:szCs w:val="24"/>
        </w:rPr>
      </w:pPr>
      <w:r>
        <w:rPr>
          <w:sz w:val="24"/>
          <w:szCs w:val="24"/>
        </w:rPr>
        <w:t xml:space="preserve">Оплата по Договору осуществляется Покупателем в следующем порядке: </w:t>
      </w:r>
    </w:p>
    <w:p>
      <w:pPr>
        <w:pStyle w:val="ListParagraph"/>
        <w:widowControl/>
        <w:numPr>
          <w:ilvl w:val="2"/>
          <w:numId w:val="2"/>
        </w:numPr>
        <w:shd w:val="clear" w:color="auto" w:fill="FFFFFF"/>
        <w:tabs>
          <w:tab w:val="clear" w:pos="708"/>
          <w:tab w:val="left" w:pos="0" w:leader="none"/>
          <w:tab w:val="left" w:pos="1418" w:leader="none"/>
        </w:tabs>
        <w:ind w:left="0" w:firstLine="709"/>
        <w:jc w:val="both"/>
        <w:rPr>
          <w:sz w:val="24"/>
          <w:szCs w:val="24"/>
        </w:rPr>
      </w:pPr>
      <w:r>
        <w:rPr>
          <w:sz w:val="24"/>
        </w:rPr>
        <w:t xml:space="preserve">Авансовый платеж в размере 50 (пятидесяти) процентов от стоимости Товара </w:t>
      </w:r>
      <w:r>
        <w:rPr>
          <w:sz w:val="24"/>
          <w:szCs w:val="24"/>
        </w:rPr>
        <w:t>без учета НДС, кроме того НДС по ставке, установленной статьей 164 НК РФ на дату выплаты авансового платежа, выплачивается Поставщику в течение 10 (десяти) рабочих дней</w:t>
      </w:r>
      <w:r>
        <w:rPr>
          <w:b/>
          <w:sz w:val="24"/>
          <w:szCs w:val="24"/>
        </w:rPr>
        <w:t xml:space="preserve"> </w:t>
      </w:r>
      <w:r>
        <w:rPr>
          <w:sz w:val="24"/>
          <w:szCs w:val="24"/>
        </w:rPr>
        <w:t>с даты получения Покупателем счета.</w:t>
      </w:r>
    </w:p>
    <w:p>
      <w:pPr>
        <w:pStyle w:val="ListParagraph"/>
        <w:numPr>
          <w:ilvl w:val="2"/>
          <w:numId w:val="2"/>
        </w:numPr>
        <w:ind w:left="0" w:firstLine="709"/>
        <w:jc w:val="both"/>
        <w:rPr>
          <w:sz w:val="24"/>
        </w:rPr>
      </w:pPr>
      <w:r>
        <w:rPr>
          <w:sz w:val="24"/>
        </w:rPr>
        <w:t>Последующий платеж в размере разницы между стоимостью  Товара без учета НДС, кроме того НДС по ставке, установленной статьей 164 НК РФ на дату подписания Сторонами Накладной ТОРГ-12/УПД, и суммой ранее уплаченного авансового платежа, выплачивается Поставщику в течение</w:t>
      </w:r>
      <w:r>
        <w:rPr>
          <w:sz w:val="24"/>
          <w:highlight w:val="lightGray"/>
        </w:rPr>
        <w:t xml:space="preserve"> 7 (семи) рабочих дней</w:t>
      </w:r>
      <w:r>
        <w:rPr>
          <w:sz w:val="24"/>
        </w:rPr>
        <w:t xml:space="preserve"> с даты подписания Сторонами Накладной ТОРГ-12/УПД на основании счета, выставленного Поставщиком, и с учетом пункта 2.4.3 Договора.</w:t>
      </w:r>
    </w:p>
    <w:p>
      <w:pPr>
        <w:pStyle w:val="ListParagraph"/>
        <w:widowControl/>
        <w:numPr>
          <w:ilvl w:val="2"/>
          <w:numId w:val="2"/>
        </w:numPr>
        <w:shd w:val="clear" w:color="auto" w:fill="FFFFFF"/>
        <w:tabs>
          <w:tab w:val="clear" w:pos="708"/>
          <w:tab w:val="left" w:pos="0" w:leader="none"/>
          <w:tab w:val="left" w:pos="1418" w:leader="none"/>
        </w:tabs>
        <w:ind w:lef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left="0" w:firstLine="709"/>
        <w:jc w:val="both"/>
        <w:rPr>
          <w:sz w:val="24"/>
          <w:szCs w:val="24"/>
        </w:rPr>
      </w:pPr>
      <w:r>
        <w:rPr>
          <w:sz w:val="24"/>
          <w:szCs w:val="24"/>
        </w:rPr>
        <w:t>Индексация Цены Договора не допускается.</w:t>
      </w:r>
    </w:p>
    <w:p>
      <w:pPr>
        <w:pStyle w:val="ListParagraph"/>
        <w:numPr>
          <w:ilvl w:val="1"/>
          <w:numId w:val="2"/>
        </w:numPr>
        <w:tabs>
          <w:tab w:val="clear" w:pos="708"/>
          <w:tab w:val="left" w:pos="1134" w:leader="none"/>
        </w:tabs>
        <w:ind w:left="0" w:firstLine="709"/>
        <w:jc w:val="both"/>
        <w:rPr>
          <w:sz w:val="24"/>
          <w:szCs w:val="24"/>
        </w:rPr>
      </w:pPr>
      <w:r>
        <w:rPr>
          <w:sz w:val="24"/>
          <w:szCs w:val="24"/>
        </w:rPr>
        <w:t>Поставщик обязан представить Покупателю счета-фактуры (УПД),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2"/>
        </w:numPr>
        <w:tabs>
          <w:tab w:val="clear" w:pos="708"/>
          <w:tab w:val="left" w:pos="1134" w:leader="none"/>
        </w:tabs>
        <w:ind w:left="0" w:firstLine="709"/>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2"/>
        </w:numPr>
        <w:tabs>
          <w:tab w:val="clear" w:pos="708"/>
          <w:tab w:val="left" w:pos="1134" w:leader="none"/>
        </w:tabs>
        <w:ind w:left="0" w:firstLine="709"/>
        <w:jc w:val="both"/>
        <w:rPr>
          <w:sz w:val="24"/>
          <w:szCs w:val="24"/>
        </w:rPr>
      </w:pPr>
      <w:r>
        <w:rPr>
          <w:sz w:val="24"/>
          <w:szCs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szCs w:val="24"/>
        </w:rPr>
        <w:t>,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tabs>
          <w:tab w:val="clear" w:pos="708"/>
          <w:tab w:val="left" w:pos="1134" w:leader="none"/>
        </w:tabs>
        <w:ind w:firstLine="709"/>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pPr>
        <w:pStyle w:val="Normal"/>
        <w:rPr>
          <w:sz w:val="24"/>
          <w:szCs w:val="24"/>
        </w:rPr>
      </w:pPr>
      <w:r>
        <w:rPr>
          <w:sz w:val="24"/>
          <w:szCs w:val="24"/>
        </w:rPr>
      </w:r>
    </w:p>
    <w:p>
      <w:pPr>
        <w:pStyle w:val="Normal"/>
        <w:numPr>
          <w:ilvl w:val="0"/>
          <w:numId w:val="2"/>
        </w:numPr>
        <w:shd w:val="clear" w:color="auto" w:fill="FFFFFF"/>
        <w:tabs>
          <w:tab w:val="clear" w:pos="708"/>
          <w:tab w:val="left" w:pos="284" w:leader="none"/>
        </w:tabs>
        <w:ind w:left="0" w:hanging="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8"/>
          <w:tab w:val="left" w:pos="1134" w:leader="none"/>
        </w:tabs>
        <w:ind w:left="0" w:firstLine="709"/>
        <w:jc w:val="both"/>
        <w:rPr>
          <w:bCs/>
          <w:sz w:val="24"/>
          <w:szCs w:val="24"/>
        </w:rPr>
      </w:pPr>
      <w:r>
        <w:rPr>
          <w:sz w:val="24"/>
          <w:szCs w:val="24"/>
        </w:rPr>
        <w:t>Поставка Товара осуществляется в полном объеме в Место поставки, указанное в пункте 1.3 Договора.</w:t>
      </w:r>
    </w:p>
    <w:p>
      <w:pPr>
        <w:pStyle w:val="ListParagraph"/>
        <w:widowControl/>
        <w:numPr>
          <w:ilvl w:val="1"/>
          <w:numId w:val="2"/>
        </w:numPr>
        <w:shd w:val="clear" w:color="auto" w:fill="FFFFFF"/>
        <w:tabs>
          <w:tab w:val="clear" w:pos="708"/>
          <w:tab w:val="left" w:pos="1134" w:leader="none"/>
        </w:tabs>
        <w:ind w:left="0" w:firstLine="709"/>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требованиям Договора и Покупателя,</w:t>
      </w:r>
      <w:r>
        <w:rPr>
          <w:b/>
          <w:bCs/>
          <w:sz w:val="24"/>
          <w:szCs w:val="24"/>
        </w:rPr>
        <w:t xml:space="preserve"> </w:t>
      </w:r>
      <w:r>
        <w:rPr>
          <w:bCs/>
          <w:sz w:val="24"/>
          <w:szCs w:val="24"/>
        </w:rPr>
        <w:t>в том числе, указанным в Спецификации (Приложение № 1 к Договору), а также Применимого права.</w:t>
      </w:r>
    </w:p>
    <w:p>
      <w:pPr>
        <w:pStyle w:val="Normal"/>
        <w:widowControl/>
        <w:shd w:val="clear" w:color="auto" w:fill="FFFFFF"/>
        <w:tabs>
          <w:tab w:val="clear" w:pos="708"/>
          <w:tab w:val="left" w:pos="1134" w:leader="none"/>
        </w:tabs>
        <w:ind w:firstLine="709"/>
        <w:jc w:val="both"/>
        <w:rPr>
          <w:bCs/>
          <w:sz w:val="24"/>
          <w:szCs w:val="24"/>
        </w:rPr>
      </w:pPr>
      <w:r>
        <w:rPr>
          <w:bCs/>
          <w:sz w:val="24"/>
          <w:szCs w:val="24"/>
        </w:rPr>
        <w:t xml:space="preserve">Поставщик не вправе производить </w:t>
      </w:r>
      <w:r>
        <w:rPr>
          <w:sz w:val="24"/>
          <w:szCs w:val="24"/>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pPr>
        <w:pStyle w:val="ListParagraph"/>
        <w:widowControl/>
        <w:numPr>
          <w:ilvl w:val="1"/>
          <w:numId w:val="2"/>
        </w:numPr>
        <w:shd w:val="clear" w:color="auto" w:fill="FFFFFF"/>
        <w:tabs>
          <w:tab w:val="clear" w:pos="708"/>
          <w:tab w:val="left" w:pos="1134" w:leader="none"/>
        </w:tabs>
        <w:ind w:left="0" w:firstLine="709"/>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8"/>
          <w:tab w:val="left" w:pos="1134" w:leader="none"/>
        </w:tabs>
        <w:ind w:left="0" w:firstLine="709"/>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tabs>
          <w:tab w:val="clear" w:pos="708"/>
          <w:tab w:val="left" w:pos="1418" w:leader="none"/>
        </w:tabs>
        <w:jc w:val="both"/>
        <w:rPr>
          <w:sz w:val="24"/>
          <w:szCs w:val="24"/>
        </w:rPr>
      </w:pPr>
      <w:r>
        <w:rPr>
          <w:sz w:val="24"/>
          <w:szCs w:val="24"/>
        </w:rPr>
        <w:t xml:space="preserve">            </w:t>
      </w:r>
      <w:r>
        <w:rPr>
          <w:sz w:val="24"/>
          <w:szCs w:val="24"/>
        </w:rPr>
        <w:t>- технический паспорт на русском языке в 1 экз. (по наличию);</w:t>
      </w:r>
    </w:p>
    <w:p>
      <w:pPr>
        <w:pStyle w:val="Normal"/>
        <w:tabs>
          <w:tab w:val="clear" w:pos="708"/>
          <w:tab w:val="left" w:pos="1418" w:leader="none"/>
        </w:tabs>
        <w:jc w:val="both"/>
        <w:rPr>
          <w:sz w:val="24"/>
          <w:szCs w:val="24"/>
        </w:rPr>
      </w:pPr>
      <w:r>
        <w:rPr>
          <w:sz w:val="24"/>
          <w:szCs w:val="24"/>
        </w:rPr>
        <w:t xml:space="preserve">            </w:t>
      </w:r>
      <w:r>
        <w:rPr>
          <w:sz w:val="24"/>
          <w:szCs w:val="24"/>
        </w:rPr>
        <w:t>- инструкция по эксплуатации на русском языке в 1 экз. (по наличию);</w:t>
      </w:r>
    </w:p>
    <w:p>
      <w:pPr>
        <w:pStyle w:val="Normal"/>
        <w:tabs>
          <w:tab w:val="clear" w:pos="708"/>
          <w:tab w:val="left" w:pos="1418" w:leader="none"/>
        </w:tabs>
        <w:jc w:val="both"/>
        <w:rPr>
          <w:sz w:val="24"/>
          <w:szCs w:val="24"/>
        </w:rPr>
      </w:pPr>
      <w:r>
        <w:rPr>
          <w:sz w:val="24"/>
          <w:szCs w:val="24"/>
        </w:rPr>
        <w:t xml:space="preserve">            </w:t>
      </w:r>
      <w:r>
        <w:rPr>
          <w:sz w:val="24"/>
          <w:szCs w:val="24"/>
        </w:rPr>
        <w:t>- 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shd w:val="clear" w:color="auto" w:fill="FFFFFF"/>
        <w:tabs>
          <w:tab w:val="clear" w:pos="708"/>
          <w:tab w:val="left" w:pos="1418" w:leader="none"/>
        </w:tabs>
        <w:jc w:val="both"/>
        <w:rPr>
          <w:sz w:val="24"/>
          <w:szCs w:val="24"/>
        </w:rPr>
      </w:pPr>
      <w:r>
        <w:rPr>
          <w:sz w:val="24"/>
          <w:szCs w:val="24"/>
        </w:rPr>
        <w:t xml:space="preserve">            </w:t>
      </w:r>
      <w:r>
        <w:rPr>
          <w:sz w:val="24"/>
          <w:szCs w:val="24"/>
        </w:rPr>
        <w:t>- накладные ТОРГ-12 или универсальные передаточные акты (УПД) в 2 экз.</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shd w:val="clear" w:color="auto" w:fill="FFFFFF"/>
        <w:tabs>
          <w:tab w:val="clear" w:pos="708"/>
          <w:tab w:val="left" w:pos="1134" w:leader="none"/>
          <w:tab w:val="left" w:pos="1418" w:leader="none"/>
        </w:tabs>
        <w:ind w:left="0" w:firstLine="709"/>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bCs/>
          <w:sz w:val="24"/>
          <w:szCs w:val="24"/>
        </w:rPr>
      </w:pPr>
      <w:bookmarkStart w:id="0"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8"/>
          <w:tab w:val="left" w:pos="1418" w:leader="none"/>
        </w:tabs>
        <w:ind w:left="0" w:firstLine="709"/>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8"/>
          <w:tab w:val="left" w:pos="1418" w:leader="none"/>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не подлежат. </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sz w:val="24"/>
          <w:szCs w:val="24"/>
        </w:rPr>
      </w:pPr>
      <w:r>
        <w:rPr>
          <w:sz w:val="24"/>
          <w:szCs w:val="24"/>
        </w:rPr>
        <w:t xml:space="preserve">Погрузка, доставка, перемещение Товара (в том числе </w:t>
        <w:br/>
        <w:t>по территории Покупателя)</w:t>
      </w:r>
      <w:r>
        <w:rPr>
          <w:rStyle w:val="FootnoteReference"/>
          <w:sz w:val="24"/>
          <w:szCs w:val="24"/>
        </w:rPr>
        <w:footnoteReference w:id="3"/>
      </w:r>
      <w:r>
        <w:rPr>
          <w:sz w:val="24"/>
          <w:szCs w:val="24"/>
        </w:rPr>
        <w:t xml:space="preserve"> </w:t>
      </w:r>
      <w:r>
        <w:rPr>
          <w:bCs/>
          <w:sz w:val="24"/>
          <w:szCs w:val="24"/>
        </w:rPr>
        <w:t>осуществляется</w:t>
      </w:r>
      <w:r>
        <w:rPr>
          <w:sz w:val="24"/>
          <w:szCs w:val="24"/>
        </w:rPr>
        <w:t xml:space="preserve"> Поставщиком. Стоимость погрузки, доставки, перемещения Товара включена в стоимость Товара.</w:t>
      </w:r>
    </w:p>
    <w:p>
      <w:pPr>
        <w:pStyle w:val="ListParagraph"/>
        <w:widowControl/>
        <w:numPr>
          <w:ilvl w:val="1"/>
          <w:numId w:val="2"/>
        </w:numPr>
        <w:shd w:val="clear" w:color="auto" w:fill="FFFFFF"/>
        <w:tabs>
          <w:tab w:val="clear" w:pos="708"/>
          <w:tab w:val="left" w:pos="1134" w:leader="none"/>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8"/>
          <w:tab w:val="left" w:pos="1418" w:leader="none"/>
        </w:tabs>
        <w:ind w:left="0" w:firstLine="709"/>
        <w:jc w:val="both"/>
        <w:rPr>
          <w:sz w:val="24"/>
          <w:szCs w:val="24"/>
        </w:rPr>
      </w:pPr>
      <w:bookmarkStart w:id="1" w:name="_Ref361396594"/>
      <w:r>
        <w:rPr>
          <w:sz w:val="24"/>
          <w:szCs w:val="24"/>
        </w:rPr>
        <w:t>Датой поставки Товара является дата подписания Сторонами накладных ТОРГ-12 \УПД.</w:t>
      </w:r>
      <w:bookmarkEnd w:id="1"/>
      <w:r>
        <w:rPr>
          <w:sz w:val="24"/>
          <w:szCs w:val="24"/>
        </w:rPr>
        <w:t xml:space="preserve"> </w:t>
      </w:r>
    </w:p>
    <w:p>
      <w:pPr>
        <w:pStyle w:val="ListParagraph"/>
        <w:widowControl/>
        <w:numPr>
          <w:ilvl w:val="1"/>
          <w:numId w:val="2"/>
        </w:numPr>
        <w:shd w:val="clear" w:color="auto" w:fill="FFFFFF"/>
        <w:tabs>
          <w:tab w:val="clear" w:pos="708"/>
          <w:tab w:val="left" w:pos="1418" w:leader="none"/>
        </w:tabs>
        <w:ind w:left="0" w:firstLine="709"/>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8"/>
          <w:tab w:val="left" w:pos="1418" w:leader="none"/>
        </w:tabs>
        <w:ind w:left="0" w:firstLine="709"/>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3 (трех) календарных дней с даты выявления указанных нарушений представить Покупателю необходимые принадлежности или документы, а также восполнить недопоставку Товара в срок, письменно согласованный с Покупателем. </w:t>
      </w:r>
    </w:p>
    <w:p>
      <w:pPr>
        <w:pStyle w:val="ListParagraph"/>
        <w:shd w:val="clear" w:color="auto" w:fill="FFFFFF"/>
        <w:tabs>
          <w:tab w:val="clear" w:pos="708"/>
          <w:tab w:val="left" w:pos="1418" w:leader="none"/>
        </w:tabs>
        <w:ind w:left="0" w:firstLine="709"/>
        <w:jc w:val="both"/>
        <w:rPr>
          <w:sz w:val="24"/>
          <w:szCs w:val="24"/>
        </w:rPr>
      </w:pPr>
      <w:bookmarkStart w:id="2"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2"/>
      <w:r>
        <w:rPr>
          <w:sz w:val="24"/>
          <w:szCs w:val="24"/>
        </w:rPr>
        <w:t xml:space="preserve"> </w:t>
      </w:r>
    </w:p>
    <w:p>
      <w:pPr>
        <w:pStyle w:val="ListParagraph"/>
        <w:widowControl/>
        <w:numPr>
          <w:ilvl w:val="1"/>
          <w:numId w:val="2"/>
        </w:numPr>
        <w:shd w:val="clear" w:color="auto" w:fill="FFFFFF"/>
        <w:tabs>
          <w:tab w:val="clear" w:pos="708"/>
          <w:tab w:val="left" w:pos="1418" w:leader="none"/>
        </w:tabs>
        <w:ind w:left="0" w:firstLine="709"/>
        <w:jc w:val="both"/>
        <w:rPr>
          <w:sz w:val="24"/>
          <w:szCs w:val="24"/>
        </w:rPr>
      </w:pPr>
      <w:r>
        <w:rPr>
          <w:sz w:val="24"/>
          <w:szCs w:val="24"/>
        </w:rPr>
        <w:t>Приемка Товара со вскрытием тары и упаковки производится Покупателем в присутствии представителя Поставщика в течение 10 (десяти) рабочих дней с даты подписания Покупателем транспортных документов. В случае отсутствия замечаний Покупатель подписывает накладные ТОРГ-12 \УПД.</w:t>
      </w:r>
    </w:p>
    <w:p>
      <w:pPr>
        <w:pStyle w:val="Normal"/>
        <w:numPr>
          <w:ilvl w:val="1"/>
          <w:numId w:val="2"/>
        </w:numPr>
        <w:shd w:val="clear" w:color="auto" w:fill="FFFFFF"/>
        <w:tabs>
          <w:tab w:val="clear" w:pos="708"/>
          <w:tab w:val="left" w:pos="568" w:leader="none"/>
          <w:tab w:val="left" w:pos="1134" w:leader="none"/>
          <w:tab w:val="left" w:pos="1418" w:leader="none"/>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или дефектов Товара. </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или дефектов Товара его приемка осуществляется в соответствии с настоящим разделом Договора.</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w:t>
      </w:r>
    </w:p>
    <w:p>
      <w:pPr>
        <w:pStyle w:val="Normal"/>
        <w:numPr>
          <w:ilvl w:val="1"/>
          <w:numId w:val="2"/>
        </w:numPr>
        <w:shd w:val="clear" w:color="auto" w:fill="FFFFFF"/>
        <w:tabs>
          <w:tab w:val="clear" w:pos="708"/>
          <w:tab w:val="left" w:pos="1418" w:leader="none"/>
        </w:tabs>
        <w:ind w:left="0" w:firstLine="709"/>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которого отказался Покупатель, возвратить его стоимость (ранее полученный авансовый платеж),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8"/>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абзаца 3 пункта 30, 35, 38-42).</w:t>
      </w:r>
      <w:r>
        <w:rPr>
          <w:b/>
          <w:bCs/>
          <w:color w:val="000000"/>
          <w:sz w:val="24"/>
          <w:szCs w:val="24"/>
        </w:rPr>
        <w:t xml:space="preserve"> </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накладных ТОРГ-12 \УПД.</w:t>
      </w:r>
    </w:p>
    <w:p>
      <w:pPr>
        <w:pStyle w:val="Normal"/>
        <w:shd w:val="clear" w:color="auto" w:fill="FFFFFF"/>
        <w:ind w:firstLine="709"/>
        <w:jc w:val="both"/>
        <w:rPr>
          <w:sz w:val="24"/>
          <w:szCs w:val="24"/>
        </w:rPr>
      </w:pPr>
      <w:r>
        <w:rPr>
          <w:sz w:val="24"/>
          <w:szCs w:val="24"/>
        </w:rPr>
      </w:r>
    </w:p>
    <w:p>
      <w:pPr>
        <w:pStyle w:val="ListParagraph"/>
        <w:numPr>
          <w:ilvl w:val="0"/>
          <w:numId w:val="2"/>
        </w:numPr>
        <w:shd w:val="clear" w:color="auto" w:fill="FFFFFF"/>
        <w:tabs>
          <w:tab w:val="clear" w:pos="708"/>
          <w:tab w:val="left" w:pos="284" w:leader="none"/>
        </w:tabs>
        <w:ind w:left="357" w:hanging="357"/>
        <w:jc w:val="center"/>
        <w:rPr>
          <w:b/>
          <w:sz w:val="24"/>
          <w:szCs w:val="24"/>
        </w:rPr>
      </w:pPr>
      <w:r>
        <w:rPr>
          <w:b/>
          <w:sz w:val="24"/>
          <w:szCs w:val="24"/>
        </w:rPr>
        <w:t>Гарантийный срок</w:t>
      </w:r>
    </w:p>
    <w:p>
      <w:pPr>
        <w:pStyle w:val="ListParagraph"/>
        <w:numPr>
          <w:ilvl w:val="1"/>
          <w:numId w:val="2"/>
        </w:numPr>
        <w:tabs>
          <w:tab w:val="clear" w:pos="708"/>
          <w:tab w:val="left" w:pos="709" w:leader="none"/>
          <w:tab w:val="left" w:pos="1134" w:leader="none"/>
        </w:tabs>
        <w:ind w:left="0" w:firstLine="709"/>
        <w:jc w:val="both"/>
        <w:rPr>
          <w:sz w:val="24"/>
          <w:szCs w:val="24"/>
        </w:rPr>
      </w:pPr>
      <w:r>
        <w:rPr>
          <w:sz w:val="24"/>
          <w:szCs w:val="24"/>
        </w:rPr>
        <w:t xml:space="preserve">Гарантийный срок на Товар, поставленный по Договору, составляет 12 (двенадцать) месяцев и начинает течь с даты подписания Сторонами накладных ТОРГ-12 \УПД. Гарантийный срок может быть продлен в соответствии с условиями Договора. </w:t>
      </w:r>
    </w:p>
    <w:p>
      <w:pPr>
        <w:pStyle w:val="ListParagraph"/>
        <w:tabs>
          <w:tab w:val="clear" w:pos="708"/>
          <w:tab w:val="left" w:pos="1134" w:leader="none"/>
          <w:tab w:val="left" w:pos="1851" w:leader="none"/>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или дефекты Товара, если не докажет, что такие недостатки, несоответствия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или дефектах будет составлен Покупателем в одностороннем порядке и будет признан Сторонами действительным.</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или дефекты Товара, обнаруженные Покупателем в течение Гарантийного срока, в срок, указанный </w:t>
      </w:r>
      <w:bookmarkStart w:id="3" w:name="OLE_LINK5"/>
      <w:bookmarkStart w:id="4" w:name="OLE_LINK6"/>
      <w:r>
        <w:rPr>
          <w:sz w:val="24"/>
          <w:szCs w:val="24"/>
        </w:rPr>
        <w:t>Покупателем в соответствии с пунктом 4.3 Договора</w:t>
      </w:r>
      <w:bookmarkEnd w:id="3"/>
      <w:bookmarkEnd w:id="4"/>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 xml:space="preserve">Устранение недостатков, несоответствий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ListParagraph"/>
        <w:shd w:val="clear" w:color="auto" w:fill="FFFFFF"/>
        <w:tabs>
          <w:tab w:val="clear" w:pos="708"/>
          <w:tab w:val="left" w:pos="1419" w:leader="none"/>
        </w:tabs>
        <w:ind w:left="709" w:hanging="0"/>
        <w:jc w:val="both"/>
        <w:rPr>
          <w:b/>
          <w:sz w:val="24"/>
          <w:szCs w:val="24"/>
        </w:rPr>
      </w:pPr>
      <w:r>
        <w:rPr>
          <w:b/>
          <w:sz w:val="24"/>
          <w:szCs w:val="24"/>
        </w:rPr>
      </w:r>
    </w:p>
    <w:p>
      <w:pPr>
        <w:pStyle w:val="Normal"/>
        <w:shd w:val="clear" w:color="auto" w:fill="FFFFFF"/>
        <w:tabs>
          <w:tab w:val="clear" w:pos="708"/>
          <w:tab w:val="left" w:pos="284" w:leader="none"/>
        </w:tabs>
        <w:rPr>
          <w:b/>
          <w:bCs/>
          <w:sz w:val="24"/>
          <w:szCs w:val="24"/>
        </w:rPr>
      </w:pPr>
      <w:r>
        <w:rPr>
          <w:b/>
          <w:bCs/>
          <w:sz w:val="24"/>
          <w:szCs w:val="24"/>
        </w:rPr>
      </w:r>
    </w:p>
    <w:p>
      <w:pPr>
        <w:pStyle w:val="ListParagraph"/>
        <w:numPr>
          <w:ilvl w:val="0"/>
          <w:numId w:val="8"/>
        </w:numPr>
        <w:suppressAutoHyphens w:val="false"/>
        <w:jc w:val="both"/>
        <w:rPr>
          <w:vanish/>
          <w:sz w:val="24"/>
          <w:szCs w:val="24"/>
        </w:rPr>
      </w:pPr>
      <w:r>
        <w:rPr>
          <w:vanish/>
          <w:sz w:val="24"/>
          <w:szCs w:val="24"/>
        </w:rPr>
      </w:r>
    </w:p>
    <w:p>
      <w:pPr>
        <w:pStyle w:val="ListParagraph"/>
        <w:numPr>
          <w:ilvl w:val="0"/>
          <w:numId w:val="8"/>
        </w:numPr>
        <w:suppressAutoHyphens w:val="false"/>
        <w:jc w:val="both"/>
        <w:rPr>
          <w:vanish/>
          <w:sz w:val="24"/>
          <w:szCs w:val="24"/>
        </w:rPr>
      </w:pPr>
      <w:r>
        <w:rPr>
          <w:vanish/>
          <w:sz w:val="24"/>
          <w:szCs w:val="24"/>
        </w:rPr>
      </w:r>
    </w:p>
    <w:p>
      <w:pPr>
        <w:pStyle w:val="ListParagraph"/>
        <w:numPr>
          <w:ilvl w:val="0"/>
          <w:numId w:val="8"/>
        </w:numPr>
        <w:suppressAutoHyphens w:val="false"/>
        <w:jc w:val="both"/>
        <w:rPr>
          <w:vanish/>
          <w:sz w:val="24"/>
          <w:szCs w:val="24"/>
        </w:rPr>
      </w:pPr>
      <w:r>
        <w:rPr>
          <w:vanish/>
          <w:sz w:val="24"/>
          <w:szCs w:val="24"/>
        </w:rPr>
      </w:r>
    </w:p>
    <w:p>
      <w:pPr>
        <w:pStyle w:val="ListParagraph"/>
        <w:numPr>
          <w:ilvl w:val="0"/>
          <w:numId w:val="8"/>
        </w:numPr>
        <w:suppressAutoHyphens w:val="false"/>
        <w:jc w:val="both"/>
        <w:rPr>
          <w:vanish/>
          <w:sz w:val="24"/>
          <w:szCs w:val="24"/>
        </w:rPr>
      </w:pPr>
      <w:r>
        <w:rPr>
          <w:vanish/>
          <w:sz w:val="24"/>
          <w:szCs w:val="24"/>
        </w:rPr>
      </w:r>
    </w:p>
    <w:p>
      <w:pPr>
        <w:pStyle w:val="ListParagraph"/>
        <w:numPr>
          <w:ilvl w:val="0"/>
          <w:numId w:val="8"/>
        </w:numPr>
        <w:suppressAutoHyphens w:val="false"/>
        <w:jc w:val="both"/>
        <w:rPr>
          <w:vanish/>
          <w:sz w:val="24"/>
          <w:szCs w:val="24"/>
        </w:rPr>
      </w:pPr>
      <w:r>
        <w:rPr>
          <w:vanish/>
          <w:sz w:val="24"/>
          <w:szCs w:val="24"/>
        </w:rPr>
      </w:r>
    </w:p>
    <w:p>
      <w:pPr>
        <w:pStyle w:val="Normal"/>
        <w:numPr>
          <w:ilvl w:val="0"/>
          <w:numId w:val="2"/>
        </w:numPr>
        <w:shd w:val="clear" w:color="auto" w:fill="FFFFFF"/>
        <w:tabs>
          <w:tab w:val="clear" w:pos="708"/>
          <w:tab w:val="left" w:pos="284" w:leader="none"/>
        </w:tabs>
        <w:ind w:left="0" w:hanging="0"/>
        <w:jc w:val="center"/>
        <w:rPr>
          <w:b/>
          <w:bCs/>
          <w:sz w:val="24"/>
          <w:szCs w:val="24"/>
        </w:rPr>
      </w:pPr>
      <w:r>
        <w:rPr>
          <w:b/>
          <w:bCs/>
          <w:sz w:val="24"/>
          <w:szCs w:val="24"/>
        </w:rPr>
        <w:t>Ответственность Сторон</w:t>
      </w:r>
    </w:p>
    <w:p>
      <w:pPr>
        <w:pStyle w:val="ListParagraph"/>
        <w:numPr>
          <w:ilvl w:val="1"/>
          <w:numId w:val="2"/>
        </w:numPr>
        <w:tabs>
          <w:tab w:val="clear" w:pos="708"/>
          <w:tab w:val="left" w:pos="1134" w:leader="none"/>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shd w:val="clear" w:color="auto" w:fill="FFFFFF"/>
        <w:tabs>
          <w:tab w:val="clear" w:pos="708"/>
          <w:tab w:val="left" w:pos="1134" w:leader="none"/>
        </w:tabs>
        <w:ind w:left="0" w:firstLine="709"/>
        <w:jc w:val="both"/>
        <w:rPr>
          <w:bCs/>
          <w:sz w:val="24"/>
          <w:szCs w:val="24"/>
        </w:rPr>
      </w:pPr>
      <w:r>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срока выплаты авансового платежа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numPr>
          <w:ilvl w:val="1"/>
          <w:numId w:val="2"/>
        </w:numPr>
        <w:tabs>
          <w:tab w:val="clear" w:pos="708"/>
          <w:tab w:val="left" w:pos="1134" w:leader="none"/>
        </w:tabs>
        <w:ind w:left="0" w:firstLine="709"/>
        <w:jc w:val="both"/>
        <w:rPr>
          <w:bCs/>
          <w:sz w:val="24"/>
          <w:szCs w:val="24"/>
        </w:rPr>
      </w:pPr>
      <w:r>
        <w:rPr>
          <w:bCs/>
          <w:sz w:val="24"/>
          <w:szCs w:val="24"/>
        </w:rPr>
        <w:t xml:space="preserve">В случае нарушения Покупателем сроков оплаты, установленных разделом 2 Договора (за исключением срока оплаты авансового платежа),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w:t>
      </w:r>
    </w:p>
    <w:p>
      <w:pPr>
        <w:pStyle w:val="Normal"/>
        <w:widowControl/>
        <w:tabs>
          <w:tab w:val="clear" w:pos="708"/>
          <w:tab w:val="left" w:pos="709" w:leader="none"/>
          <w:tab w:val="left" w:pos="1701" w:leader="none"/>
        </w:tabs>
        <w:jc w:val="both"/>
        <w:rPr>
          <w:bCs/>
          <w:sz w:val="24"/>
          <w:szCs w:val="24"/>
        </w:rPr>
      </w:pPr>
      <w:r>
        <w:rPr>
          <w:bCs/>
          <w:sz w:val="24"/>
          <w:szCs w:val="24"/>
        </w:rPr>
        <w:tab/>
        <w:t>5.4. В случае нарушения Поставщиком обязательств по поставке Товара (нарушение срока поставки, недопоставка),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Normal"/>
        <w:widowControl/>
        <w:tabs>
          <w:tab w:val="clear" w:pos="708"/>
          <w:tab w:val="left" w:pos="1134" w:leader="none"/>
          <w:tab w:val="left" w:pos="1701" w:leader="none"/>
        </w:tabs>
        <w:jc w:val="both"/>
        <w:rPr>
          <w:bCs/>
          <w:sz w:val="24"/>
          <w:szCs w:val="24"/>
        </w:rPr>
      </w:pPr>
      <w:r>
        <w:rPr>
          <w:bCs/>
          <w:sz w:val="24"/>
          <w:szCs w:val="24"/>
        </w:rPr>
        <w:t xml:space="preserve">            </w:t>
      </w:r>
      <w:r>
        <w:rPr>
          <w:bCs/>
          <w:sz w:val="24"/>
          <w:szCs w:val="24"/>
        </w:rPr>
        <w:t xml:space="preserve">5.5. В случае несвоевременного устранения Поставщиком выявленных недостатков товара, Покупатель вправе потребовать уплаты Поставщиком: </w:t>
      </w:r>
    </w:p>
    <w:p>
      <w:pPr>
        <w:pStyle w:val="Normal"/>
        <w:widowControl/>
        <w:tabs>
          <w:tab w:val="clear" w:pos="708"/>
          <w:tab w:val="left" w:pos="1134" w:leader="none"/>
          <w:tab w:val="left" w:pos="1701" w:leader="none"/>
        </w:tabs>
        <w:jc w:val="both"/>
        <w:rPr>
          <w:bCs/>
          <w:sz w:val="24"/>
          <w:szCs w:val="24"/>
        </w:rPr>
      </w:pPr>
      <w:r>
        <w:rPr>
          <w:bCs/>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w:t>
      </w:r>
    </w:p>
    <w:p>
      <w:pPr>
        <w:pStyle w:val="Normal"/>
        <w:widowControl/>
        <w:tabs>
          <w:tab w:val="clear" w:pos="708"/>
          <w:tab w:val="left" w:pos="1134" w:leader="none"/>
          <w:tab w:val="left" w:pos="1701" w:leader="none"/>
        </w:tabs>
        <w:jc w:val="both"/>
        <w:rPr>
          <w:bCs/>
          <w:sz w:val="24"/>
          <w:szCs w:val="24"/>
        </w:rPr>
      </w:pPr>
      <w:r>
        <w:rPr>
          <w:bCs/>
          <w:sz w:val="24"/>
          <w:szCs w:val="24"/>
        </w:rPr>
        <w:t xml:space="preserve">–  </w:t>
      </w:r>
      <w:r>
        <w:rPr>
          <w:bCs/>
          <w:sz w:val="24"/>
          <w:szCs w:val="24"/>
        </w:rPr>
        <w:t>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Normal"/>
        <w:widowControl/>
        <w:tabs>
          <w:tab w:val="clear" w:pos="708"/>
          <w:tab w:val="left" w:pos="1134" w:leader="none"/>
          <w:tab w:val="left" w:pos="1701" w:leader="none"/>
        </w:tabs>
        <w:jc w:val="both"/>
        <w:rPr>
          <w:sz w:val="24"/>
          <w:szCs w:val="24"/>
        </w:rPr>
      </w:pPr>
      <w:r>
        <w:rPr>
          <w:rFonts w:eastAsia="Calibri"/>
          <w:bCs/>
          <w:sz w:val="24"/>
          <w:szCs w:val="24"/>
        </w:rPr>
        <w:t xml:space="preserve">        </w:t>
      </w:r>
      <w:r>
        <w:rPr>
          <w:rFonts w:eastAsia="Calibri"/>
          <w:bCs/>
          <w:sz w:val="24"/>
          <w:szCs w:val="24"/>
        </w:rPr>
        <w:t>5.6. 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Pr>
          <w:sz w:val="24"/>
          <w:szCs w:val="24"/>
        </w:rPr>
        <w:t>.</w:t>
      </w:r>
    </w:p>
    <w:p>
      <w:pPr>
        <w:pStyle w:val="ListParagraph"/>
        <w:widowControl/>
        <w:shd w:val="clear" w:color="auto" w:fill="FFFFFF"/>
        <w:ind w:left="0" w:firstLine="680"/>
        <w:jc w:val="both"/>
        <w:rPr>
          <w:bCs/>
          <w:sz w:val="24"/>
          <w:szCs w:val="24"/>
        </w:rPr>
      </w:pPr>
      <w:r>
        <w:rPr>
          <w:bCs/>
          <w:sz w:val="24"/>
          <w:szCs w:val="24"/>
        </w:rPr>
        <w:t>5.7. В случае нарушен</w:t>
      </w:r>
      <w:bookmarkStart w:id="5" w:name="_GoBack"/>
      <w:bookmarkEnd w:id="5"/>
      <w:r>
        <w:rPr>
          <w:bCs/>
          <w:sz w:val="24"/>
          <w:szCs w:val="24"/>
        </w:rPr>
        <w:t xml:space="preserve">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Normal"/>
        <w:widowControl/>
        <w:shd w:val="clear" w:color="auto" w:fill="FFFFFF"/>
        <w:tabs>
          <w:tab w:val="clear" w:pos="708"/>
          <w:tab w:val="left" w:pos="1134" w:leader="none"/>
        </w:tabs>
        <w:jc w:val="both"/>
        <w:rPr>
          <w:bCs/>
          <w:sz w:val="24"/>
          <w:szCs w:val="24"/>
        </w:rPr>
      </w:pPr>
      <w:r>
        <w:rPr>
          <w:bCs/>
          <w:sz w:val="24"/>
          <w:szCs w:val="24"/>
        </w:rPr>
        <w:t xml:space="preserve">      </w:t>
      </w:r>
      <w:r>
        <w:rPr>
          <w:bCs/>
          <w:sz w:val="24"/>
          <w:szCs w:val="24"/>
        </w:rPr>
        <w:t xml:space="preserve">5.8. Если в результате составления и выставления Поставщиком счетов-фактур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8"/>
          <w:tab w:val="left" w:pos="1134" w:leader="none"/>
        </w:tabs>
        <w:ind w:left="0" w:firstLine="709"/>
        <w:jc w:val="both"/>
        <w:rPr>
          <w:bCs/>
          <w:sz w:val="24"/>
          <w:szCs w:val="24"/>
        </w:rPr>
      </w:pPr>
      <w:r>
        <w:rPr>
          <w:bCs/>
          <w:sz w:val="24"/>
          <w:szCs w:val="24"/>
        </w:rPr>
        <w:t>В случае нарушения Поставщиком сроков предоставления счетов-фактур, установленных пунктом 2.7 Договора, Покупатель вправе требовать уплаты Поставщиком штрафа в размере 50 000 (Пятидесяти тысяч) рублей за каждый случай нарушения.</w:t>
      </w:r>
    </w:p>
    <w:p>
      <w:pPr>
        <w:pStyle w:val="Normal"/>
        <w:widowControl/>
        <w:shd w:val="clear" w:color="auto" w:fill="FFFFFF"/>
        <w:tabs>
          <w:tab w:val="clear" w:pos="708"/>
          <w:tab w:val="left" w:pos="1276" w:leader="none"/>
        </w:tabs>
        <w:jc w:val="both"/>
        <w:rPr>
          <w:bCs/>
          <w:sz w:val="24"/>
          <w:szCs w:val="24"/>
        </w:rPr>
      </w:pPr>
      <w:r>
        <w:rPr>
          <w:bCs/>
          <w:sz w:val="24"/>
          <w:szCs w:val="24"/>
        </w:rPr>
        <w:t xml:space="preserve">        </w:t>
      </w:r>
      <w:r>
        <w:rPr>
          <w:bCs/>
          <w:sz w:val="24"/>
          <w:szCs w:val="24"/>
        </w:rPr>
        <w:t xml:space="preserve">5.9. Поставщик несет ответственность перед Покупателем за причиненные убытки </w:t>
        <w:br/>
        <w:t>в размере фактически понесенных и документально подтвержденных расходов, возникших 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Normal"/>
        <w:widowControl/>
        <w:shd w:val="clear" w:color="auto" w:fill="FFFFFF"/>
        <w:tabs>
          <w:tab w:val="clear" w:pos="708"/>
          <w:tab w:val="left" w:pos="1276" w:leader="none"/>
        </w:tabs>
        <w:jc w:val="both"/>
        <w:rPr>
          <w:bCs/>
          <w:sz w:val="24"/>
          <w:szCs w:val="24"/>
        </w:rPr>
      </w:pPr>
      <w:r>
        <w:rPr>
          <w:bCs/>
          <w:sz w:val="24"/>
          <w:szCs w:val="24"/>
        </w:rPr>
        <w:t xml:space="preserve">    </w:t>
      </w:r>
      <w:r>
        <w:rPr>
          <w:bCs/>
          <w:sz w:val="24"/>
          <w:szCs w:val="24"/>
        </w:rPr>
        <w:t xml:space="preserve">5.10. Обязанность по уплате неустойки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Normal"/>
        <w:widowControl/>
        <w:shd w:val="clear" w:color="auto" w:fill="FFFFFF"/>
        <w:tabs>
          <w:tab w:val="clear" w:pos="708"/>
          <w:tab w:val="left" w:pos="1276" w:leader="none"/>
        </w:tabs>
        <w:jc w:val="both"/>
        <w:rPr>
          <w:bCs/>
          <w:sz w:val="24"/>
          <w:szCs w:val="24"/>
        </w:rPr>
      </w:pPr>
      <w:r>
        <w:rPr>
          <w:bCs/>
          <w:sz w:val="24"/>
          <w:szCs w:val="24"/>
        </w:rPr>
        <w:t xml:space="preserve">     </w:t>
      </w:r>
      <w:r>
        <w:rPr>
          <w:bCs/>
          <w:sz w:val="24"/>
          <w:szCs w:val="24"/>
        </w:rPr>
        <w:t>5.11. Уплата неустойки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Normal"/>
        <w:widowControl/>
        <w:shd w:val="clear" w:color="auto" w:fill="FFFFFF"/>
        <w:jc w:val="both"/>
        <w:rPr>
          <w:bCs/>
          <w:sz w:val="24"/>
          <w:szCs w:val="24"/>
        </w:rPr>
      </w:pPr>
      <w:r>
        <w:rPr>
          <w:bCs/>
          <w:sz w:val="24"/>
          <w:szCs w:val="24"/>
        </w:rPr>
        <w:t xml:space="preserve">      </w:t>
      </w:r>
      <w:r>
        <w:rPr>
          <w:bCs/>
          <w:sz w:val="24"/>
          <w:szCs w:val="24"/>
        </w:rPr>
        <w:t>5.12. 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Normal"/>
        <w:widowControl/>
        <w:shd w:val="clear" w:color="auto" w:fill="FFFFFF"/>
        <w:tabs>
          <w:tab w:val="clear" w:pos="708"/>
          <w:tab w:val="left" w:pos="1276" w:leader="none"/>
        </w:tabs>
        <w:jc w:val="both"/>
        <w:rPr>
          <w:bCs/>
          <w:sz w:val="24"/>
          <w:szCs w:val="24"/>
        </w:rPr>
      </w:pPr>
      <w:r>
        <w:rPr>
          <w:bCs/>
          <w:sz w:val="24"/>
          <w:szCs w:val="24"/>
        </w:rPr>
        <w:t xml:space="preserve">          </w:t>
      </w:r>
      <w:r>
        <w:rPr>
          <w:bCs/>
          <w:sz w:val="24"/>
          <w:szCs w:val="24"/>
        </w:rPr>
        <w:t xml:space="preserve">5.13. 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8"/>
          <w:tab w:val="left" w:pos="0" w:leader="none"/>
          <w:tab w:val="left" w:pos="284" w:leader="none"/>
        </w:tabs>
        <w:ind w:left="0" w:hanging="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3"/>
        </w:numPr>
        <w:tabs>
          <w:tab w:val="clear" w:pos="708"/>
          <w:tab w:val="left" w:pos="0" w:leader="none"/>
          <w:tab w:val="left" w:pos="709" w:leader="none"/>
          <w:tab w:val="left" w:pos="1418" w:leader="none"/>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3"/>
        </w:numPr>
        <w:tabs>
          <w:tab w:val="clear" w:pos="708"/>
          <w:tab w:val="left" w:pos="0" w:leader="none"/>
          <w:tab w:val="left" w:pos="709" w:leader="none"/>
          <w:tab w:val="left" w:pos="1418" w:leader="none"/>
        </w:tabs>
        <w:ind w:left="0" w:firstLine="709"/>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3"/>
        </w:numPr>
        <w:tabs>
          <w:tab w:val="clear" w:pos="708"/>
          <w:tab w:val="left" w:pos="0" w:leader="none"/>
          <w:tab w:val="left" w:pos="1418" w:leader="none"/>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3"/>
        </w:numPr>
        <w:tabs>
          <w:tab w:val="clear" w:pos="708"/>
          <w:tab w:val="left" w:pos="0" w:leader="none"/>
          <w:tab w:val="left" w:pos="1418" w:leader="none"/>
        </w:tabs>
        <w:ind w:left="0" w:firstLine="709"/>
        <w:jc w:val="both"/>
        <w:rPr>
          <w:bCs/>
          <w:sz w:val="24"/>
          <w:szCs w:val="24"/>
        </w:rPr>
      </w:pPr>
      <w:r>
        <w:rPr>
          <w:bCs/>
          <w:sz w:val="24"/>
          <w:szCs w:val="24"/>
        </w:rPr>
        <w:t>учетные регистры бухгалтерского учета;</w:t>
      </w:r>
    </w:p>
    <w:p>
      <w:pPr>
        <w:pStyle w:val="Normal"/>
        <w:widowControl/>
        <w:numPr>
          <w:ilvl w:val="0"/>
          <w:numId w:val="3"/>
        </w:numPr>
        <w:tabs>
          <w:tab w:val="clear" w:pos="708"/>
          <w:tab w:val="left" w:pos="0" w:leader="none"/>
          <w:tab w:val="left" w:pos="1418" w:leader="none"/>
        </w:tabs>
        <w:ind w:left="0" w:firstLine="709"/>
        <w:jc w:val="both"/>
        <w:rPr>
          <w:bCs/>
          <w:sz w:val="24"/>
          <w:szCs w:val="24"/>
        </w:rPr>
      </w:pPr>
      <w:r>
        <w:rPr>
          <w:bCs/>
          <w:sz w:val="24"/>
          <w:szCs w:val="24"/>
        </w:rPr>
        <w:t>бизнес-планы;</w:t>
      </w:r>
    </w:p>
    <w:p>
      <w:pPr>
        <w:pStyle w:val="Normal"/>
        <w:widowControl/>
        <w:numPr>
          <w:ilvl w:val="0"/>
          <w:numId w:val="3"/>
        </w:numPr>
        <w:tabs>
          <w:tab w:val="clear" w:pos="708"/>
          <w:tab w:val="left" w:pos="0" w:leader="none"/>
          <w:tab w:val="left" w:pos="1418" w:leader="none"/>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3"/>
        </w:numPr>
        <w:tabs>
          <w:tab w:val="clear" w:pos="708"/>
          <w:tab w:val="left" w:pos="0" w:leader="none"/>
          <w:tab w:val="left" w:pos="1418" w:leader="none"/>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3"/>
        </w:numPr>
        <w:tabs>
          <w:tab w:val="clear" w:pos="708"/>
          <w:tab w:val="left" w:pos="0" w:leader="none"/>
          <w:tab w:val="left" w:pos="1418" w:leader="none"/>
        </w:tabs>
        <w:ind w:left="0" w:firstLine="709"/>
        <w:jc w:val="both"/>
        <w:rPr>
          <w:bCs/>
          <w:sz w:val="24"/>
          <w:szCs w:val="24"/>
        </w:rPr>
      </w:pPr>
      <w:r>
        <w:rPr>
          <w:bCs/>
          <w:sz w:val="24"/>
          <w:szCs w:val="24"/>
        </w:rPr>
        <w:t>сведения о находящихся на регистрации товарных знаках Покупателя, а также об объектах интеллектуальной собственности Покупателя, сведения о которых не являются опубликованными;</w:t>
      </w:r>
    </w:p>
    <w:p>
      <w:pPr>
        <w:pStyle w:val="Normal"/>
        <w:widowControl/>
        <w:numPr>
          <w:ilvl w:val="0"/>
          <w:numId w:val="3"/>
        </w:numPr>
        <w:tabs>
          <w:tab w:val="clear" w:pos="708"/>
          <w:tab w:val="left" w:pos="0" w:leader="none"/>
          <w:tab w:val="left" w:pos="1418" w:leader="none"/>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3"/>
        </w:numPr>
        <w:tabs>
          <w:tab w:val="clear" w:pos="708"/>
          <w:tab w:val="left" w:pos="0" w:leader="none"/>
          <w:tab w:val="left" w:pos="1418" w:leader="none"/>
        </w:tabs>
        <w:ind w:left="0" w:firstLine="709"/>
        <w:jc w:val="both"/>
        <w:rPr>
          <w:bCs/>
          <w:sz w:val="24"/>
          <w:szCs w:val="24"/>
        </w:rPr>
      </w:pPr>
      <w:r>
        <w:rPr>
          <w:bCs/>
          <w:sz w:val="24"/>
          <w:szCs w:val="24"/>
        </w:rPr>
        <w:t>сведения об объемах производства или реализации продукции и услуг Покупателя или его аффилированных лиц;</w:t>
      </w:r>
    </w:p>
    <w:p>
      <w:pPr>
        <w:pStyle w:val="Normal"/>
        <w:widowControl/>
        <w:numPr>
          <w:ilvl w:val="0"/>
          <w:numId w:val="3"/>
        </w:numPr>
        <w:tabs>
          <w:tab w:val="clear" w:pos="708"/>
          <w:tab w:val="left" w:pos="0" w:leader="none"/>
          <w:tab w:val="left" w:pos="1418" w:leader="none"/>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pPr>
        <w:pStyle w:val="ListParagraph"/>
        <w:widowControl/>
        <w:numPr>
          <w:ilvl w:val="2"/>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w:t>
      </w:r>
    </w:p>
    <w:p>
      <w:pPr>
        <w:pStyle w:val="ListParagraph"/>
        <w:widowControl/>
        <w:numPr>
          <w:ilvl w:val="2"/>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8"/>
          <w:tab w:val="left" w:pos="0" w:leader="none"/>
          <w:tab w:val="left" w:pos="1418" w:leader="none"/>
        </w:tabs>
        <w:ind w:left="0" w:firstLine="709"/>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7"/>
    </w:p>
    <w:p>
      <w:pPr>
        <w:pStyle w:val="ListParagraph"/>
        <w:widowControl/>
        <w:numPr>
          <w:ilvl w:val="2"/>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bookmarkStart w:id="8" w:name="_Ref361337863"/>
      <w:r>
        <w:rPr>
          <w:bCs/>
          <w:sz w:val="24"/>
          <w:szCs w:val="24"/>
        </w:rPr>
        <w:t>Поставщик, нарушивший условия настоящего раздела Договора, возмещает Покупателю убытки, вызванные таким нарушением, в течение 10 (десяти) календарных дней с даты получения соответствующего письменного требования Покупателя.</w:t>
      </w:r>
      <w:bookmarkEnd w:id="8"/>
    </w:p>
    <w:p>
      <w:pPr>
        <w:pStyle w:val="Norma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s>
        <w:ind w:left="0" w:hanging="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Споры, указанные в пункте 7.1 Договора, которые не были урегулированы Сторонами путем переговоров, подлежат разрешению в Арбитражном суде Чувашской Республики в соответствии с законодательством Российской Федерации.</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13.8 Договора.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Условия настоящего раздела сохраняют свою силу в случае признания Договора незаключенным или недействительным.</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left="0" w:hanging="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8"/>
          <w:tab w:val="left" w:pos="1134" w:leader="none"/>
        </w:tabs>
        <w:ind w:left="0" w:firstLine="709"/>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или подарков, безвозмездного оказания услуг или выполнения работ любым аффилированным лицам, работникам  или представителям другой Стороны, а также лицам, аффилированным по отношению к таким работникам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8"/>
          <w:tab w:val="left" w:pos="567" w:leader="none"/>
          <w:tab w:val="left" w:pos="1134" w:leader="none"/>
        </w:tabs>
        <w:ind w:firstLine="709"/>
        <w:jc w:val="both"/>
        <w:rPr>
          <w:color w:val="000000"/>
          <w:sz w:val="24"/>
          <w:szCs w:val="24"/>
        </w:rPr>
      </w:pPr>
      <w:r>
        <w:rPr>
          <w:color w:val="000000"/>
          <w:sz w:val="24"/>
          <w:szCs w:val="24"/>
        </w:rPr>
        <w:t xml:space="preserve">8.7.  Каналы связи Линия доверия Группы РусГидро: </w:t>
      </w:r>
    </w:p>
    <w:p>
      <w:pPr>
        <w:pStyle w:val="Normal"/>
        <w:shd w:val="clear" w:color="auto" w:fill="FFFFFF"/>
        <w:tabs>
          <w:tab w:val="clear" w:pos="708"/>
          <w:tab w:val="left" w:pos="567" w:leader="none"/>
          <w:tab w:val="left" w:pos="1134" w:leader="none"/>
        </w:tabs>
        <w:ind w:firstLine="709"/>
        <w:jc w:val="both"/>
        <w:rPr>
          <w:sz w:val="24"/>
          <w:szCs w:val="24"/>
        </w:rPr>
      </w:pPr>
      <w:r>
        <w:rPr>
          <w:sz w:val="24"/>
          <w:szCs w:val="24"/>
        </w:rPr>
        <w:t>8.7.1. Электронная почта: ld@rushydro.ru.</w:t>
      </w:r>
    </w:p>
    <w:p>
      <w:pPr>
        <w:pStyle w:val="Normal"/>
        <w:shd w:val="clear" w:color="auto" w:fill="FFFFFF"/>
        <w:tabs>
          <w:tab w:val="clear" w:pos="708"/>
          <w:tab w:val="left" w:pos="567" w:leader="none"/>
          <w:tab w:val="left" w:pos="1134" w:leader="none"/>
        </w:tabs>
        <w:ind w:firstLine="709"/>
        <w:jc w:val="both"/>
        <w:rPr>
          <w:sz w:val="24"/>
          <w:szCs w:val="24"/>
        </w:rPr>
      </w:pPr>
      <w:r>
        <w:rPr>
          <w:sz w:val="24"/>
          <w:szCs w:val="24"/>
        </w:rPr>
        <w:t>8.7.2.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ind w:firstLine="709"/>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left="0" w:hanging="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8"/>
          <w:tab w:val="left" w:pos="0" w:leader="none"/>
          <w:tab w:val="left" w:pos="568" w:leader="none"/>
          <w:tab w:val="left" w:pos="1418" w:leader="none"/>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0" w:leader="none"/>
          <w:tab w:val="left" w:pos="568" w:leader="none"/>
          <w:tab w:val="left" w:pos="1418" w:leader="none"/>
        </w:tabs>
        <w:ind w:left="0" w:firstLine="709"/>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tabs>
          <w:tab w:val="clear" w:pos="708"/>
          <w:tab w:val="left" w:pos="426" w:leader="none"/>
        </w:tabs>
        <w:spacing w:before="0" w:after="0"/>
        <w:ind w:left="0" w:hanging="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8"/>
          <w:tab w:val="left" w:pos="0" w:leader="none"/>
          <w:tab w:val="left" w:pos="568" w:leader="none"/>
          <w:tab w:val="left" w:pos="1418" w:leader="none"/>
        </w:tabs>
        <w:ind w:left="0" w:firstLine="709"/>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bCs/>
            <w:sz w:val="24"/>
            <w:szCs w:val="24"/>
          </w:rPr>
          <w:t>Критери</w:t>
        </w:r>
      </w:hyperlink>
      <w:r>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pPr>
        <w:pStyle w:val="ListParagraph"/>
        <w:widowControl/>
        <w:numPr>
          <w:ilvl w:val="1"/>
          <w:numId w:val="2"/>
        </w:numPr>
        <w:shd w:val="clear" w:color="auto" w:fill="FFFFFF"/>
        <w:tabs>
          <w:tab w:val="clear" w:pos="708"/>
          <w:tab w:val="left" w:pos="0" w:leader="none"/>
          <w:tab w:val="left" w:pos="568" w:leader="none"/>
          <w:tab w:val="left" w:pos="1418" w:leader="none"/>
        </w:tabs>
        <w:ind w:left="0" w:firstLine="709"/>
        <w:jc w:val="both"/>
        <w:rPr>
          <w:bCs/>
          <w:sz w:val="24"/>
          <w:szCs w:val="24"/>
        </w:rPr>
      </w:pPr>
      <w:r>
        <w:rPr>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пункте 10.1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8"/>
          <w:tab w:val="left" w:pos="0" w:leader="none"/>
          <w:tab w:val="left" w:pos="568" w:leader="none"/>
          <w:tab w:val="left" w:pos="1418" w:leader="none"/>
        </w:tabs>
        <w:ind w:left="0" w:firstLine="709"/>
        <w:jc w:val="both"/>
        <w:rPr>
          <w:bCs/>
          <w:sz w:val="24"/>
          <w:szCs w:val="24"/>
        </w:rPr>
      </w:pPr>
      <w:r>
        <w:rPr>
          <w:bCs/>
          <w:sz w:val="24"/>
          <w:szCs w:val="24"/>
        </w:rPr>
        <w:t>В случае нарушения Поставщиком обязательств, установленных пунктами 10.1, 10.2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pPr>
        <w:pStyle w:val="ListParagraph"/>
        <w:widowControl/>
        <w:numPr>
          <w:ilvl w:val="1"/>
          <w:numId w:val="2"/>
        </w:numPr>
        <w:shd w:val="clear" w:color="auto" w:fill="FFFFFF"/>
        <w:tabs>
          <w:tab w:val="clear" w:pos="708"/>
          <w:tab w:val="left" w:pos="0" w:leader="none"/>
          <w:tab w:val="left" w:pos="568" w:leader="none"/>
          <w:tab w:val="left" w:pos="1418" w:leader="none"/>
        </w:tabs>
        <w:ind w:left="0" w:firstLine="709"/>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p>
    <w:p>
      <w:pPr>
        <w:pStyle w:val="ListParagraph"/>
        <w:widowControl/>
        <w:numPr>
          <w:ilvl w:val="1"/>
          <w:numId w:val="2"/>
        </w:numPr>
        <w:shd w:val="clear" w:color="auto" w:fill="FFFFFF"/>
        <w:tabs>
          <w:tab w:val="clear" w:pos="708"/>
          <w:tab w:val="left" w:pos="0" w:leader="none"/>
          <w:tab w:val="left" w:pos="568" w:leader="none"/>
          <w:tab w:val="left" w:pos="1418" w:leader="none"/>
        </w:tabs>
        <w:ind w:left="0" w:firstLine="709"/>
        <w:jc w:val="both"/>
        <w:rPr>
          <w:bCs/>
          <w:sz w:val="24"/>
          <w:szCs w:val="24"/>
        </w:rPr>
      </w:pPr>
      <w:r>
        <w:rPr>
          <w:bCs/>
          <w:sz w:val="24"/>
          <w:szCs w:val="24"/>
        </w:rPr>
        <w:t>Штраф, предусмотренный пунктом 10.4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10.3 Договора.</w:t>
      </w:r>
    </w:p>
    <w:p>
      <w:pPr>
        <w:pStyle w:val="ListParagraph"/>
        <w:widowControl/>
        <w:numPr>
          <w:ilvl w:val="1"/>
          <w:numId w:val="2"/>
        </w:numPr>
        <w:shd w:val="clear" w:color="auto" w:fill="FFFFFF"/>
        <w:tabs>
          <w:tab w:val="clear" w:pos="708"/>
          <w:tab w:val="left" w:pos="0" w:leader="none"/>
          <w:tab w:val="left" w:pos="568" w:leader="none"/>
          <w:tab w:val="left" w:pos="1418" w:leader="none"/>
        </w:tabs>
        <w:ind w:left="0" w:firstLine="709"/>
        <w:jc w:val="both"/>
        <w:rPr>
          <w:bCs/>
          <w:sz w:val="24"/>
          <w:szCs w:val="24"/>
        </w:rPr>
      </w:pPr>
      <w:r>
        <w:rPr>
          <w:bCs/>
          <w:sz w:val="24"/>
          <w:szCs w:val="24"/>
        </w:rPr>
        <w:t>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8"/>
          <w:tab w:val="left" w:pos="0" w:leader="none"/>
          <w:tab w:val="left" w:pos="568" w:leader="none"/>
          <w:tab w:val="left" w:pos="1418" w:leader="none"/>
        </w:tabs>
        <w:ind w:left="0" w:firstLine="709"/>
        <w:jc w:val="both"/>
        <w:rPr>
          <w:bCs/>
          <w:sz w:val="24"/>
          <w:szCs w:val="24"/>
        </w:rPr>
      </w:pPr>
      <w:r>
        <w:rPr>
          <w:bCs/>
          <w:sz w:val="24"/>
          <w:szCs w:val="24"/>
        </w:rPr>
        <w:t>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shd w:val="clear" w:color="auto" w:fill="FFFFFF"/>
        <w:tabs>
          <w:tab w:val="clear" w:pos="708"/>
          <w:tab w:val="left" w:pos="1134" w:leader="none"/>
        </w:tabs>
        <w:ind w:firstLine="709"/>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 w:val="left" w:pos="567" w:leader="none"/>
        </w:tabs>
        <w:ind w:left="0" w:hanging="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8"/>
          <w:tab w:val="left" w:pos="0" w:leader="none"/>
          <w:tab w:val="left" w:pos="1134" w:leader="none"/>
          <w:tab w:val="left" w:pos="1418" w:leader="none"/>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5"/>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5"/>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5"/>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5"/>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5"/>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7"/>
        </w:numPr>
        <w:shd w:val="clear" w:color="auto" w:fill="FFFFFF"/>
        <w:tabs>
          <w:tab w:val="clear" w:pos="708"/>
          <w:tab w:val="left" w:pos="0" w:leader="none"/>
          <w:tab w:val="left" w:pos="709" w:leader="none"/>
        </w:tabs>
        <w:ind w:left="0" w:firstLine="709"/>
        <w:jc w:val="both"/>
        <w:rPr>
          <w:sz w:val="24"/>
          <w:szCs w:val="24"/>
        </w:rPr>
      </w:pPr>
      <w:r>
        <w:rPr>
          <w:sz w:val="24"/>
          <w:szCs w:val="24"/>
        </w:rPr>
        <w:t xml:space="preserve"> </w:t>
      </w:r>
      <w:r>
        <w:rPr>
          <w:sz w:val="24"/>
          <w:szCs w:val="24"/>
        </w:rPr>
        <w:t>учредителями Поставщика являются лица, не являющиеся массовыми учредителями;</w:t>
      </w:r>
    </w:p>
    <w:p>
      <w:pPr>
        <w:pStyle w:val="ListParagraph"/>
        <w:widowControl/>
        <w:numPr>
          <w:ilvl w:val="0"/>
          <w:numId w:val="7"/>
        </w:numPr>
        <w:shd w:val="clear" w:color="auto" w:fill="FFFFFF"/>
        <w:tabs>
          <w:tab w:val="clear" w:pos="708"/>
          <w:tab w:val="left" w:pos="0" w:leader="none"/>
          <w:tab w:val="left" w:pos="709" w:leader="none"/>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7"/>
        </w:numPr>
        <w:shd w:val="clear" w:color="auto" w:fill="FFFFFF"/>
        <w:tabs>
          <w:tab w:val="clear" w:pos="708"/>
          <w:tab w:val="left" w:pos="0" w:leader="none"/>
          <w:tab w:val="left" w:pos="709" w:leader="none"/>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7"/>
        </w:numPr>
        <w:shd w:val="clear" w:color="auto" w:fill="FFFFFF"/>
        <w:tabs>
          <w:tab w:val="clear" w:pos="708"/>
          <w:tab w:val="left" w:pos="0" w:leader="none"/>
          <w:tab w:val="left" w:pos="709" w:leader="none"/>
        </w:tabs>
        <w:ind w:left="0" w:firstLine="709"/>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6"/>
        </w:numPr>
        <w:shd w:val="clear" w:color="auto" w:fill="FFFFFF"/>
        <w:tabs>
          <w:tab w:val="clear" w:pos="708"/>
          <w:tab w:val="left" w:pos="0" w:leader="none"/>
          <w:tab w:val="left" w:pos="567" w:leader="none"/>
        </w:tabs>
        <w:ind w:left="0" w:firstLine="709"/>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6"/>
        </w:numPr>
        <w:shd w:val="clear" w:color="auto" w:fill="FFFFFF"/>
        <w:tabs>
          <w:tab w:val="clear" w:pos="708"/>
          <w:tab w:val="left" w:pos="0" w:leader="none"/>
          <w:tab w:val="left" w:pos="567" w:leader="none"/>
        </w:tabs>
        <w:ind w:left="0" w:firstLine="709"/>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6"/>
        </w:numPr>
        <w:shd w:val="clear" w:color="auto" w:fill="FFFFFF"/>
        <w:tabs>
          <w:tab w:val="clear" w:pos="708"/>
          <w:tab w:val="left" w:pos="0" w:leader="none"/>
          <w:tab w:val="left" w:pos="567" w:leader="none"/>
        </w:tabs>
        <w:ind w:left="0" w:firstLine="709"/>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6"/>
        </w:numPr>
        <w:shd w:val="clear" w:color="auto" w:fill="FFFFFF"/>
        <w:tabs>
          <w:tab w:val="clear" w:pos="708"/>
          <w:tab w:val="left" w:pos="0" w:leader="none"/>
          <w:tab w:val="left" w:pos="567" w:leader="none"/>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8"/>
          <w:tab w:val="left" w:pos="0" w:leader="none"/>
          <w:tab w:val="left" w:pos="1418" w:leader="none"/>
        </w:tabs>
        <w:ind w:left="0" w:firstLine="709"/>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обязан 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8"/>
          <w:tab w:val="left" w:pos="1134" w:leader="none"/>
          <w:tab w:val="left" w:pos="1418" w:leader="none"/>
        </w:tabs>
        <w:ind w:left="0" w:hanging="0"/>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left="0" w:hanging="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13.8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8"/>
          <w:tab w:val="left" w:pos="0" w:leader="none"/>
          <w:tab w:val="left" w:pos="1418" w:leader="none"/>
        </w:tabs>
        <w:ind w:left="0" w:firstLine="709"/>
        <w:jc w:val="both"/>
        <w:rPr>
          <w:sz w:val="24"/>
          <w:szCs w:val="24"/>
        </w:rPr>
      </w:pPr>
      <w:r>
        <w:rPr>
          <w:sz w:val="24"/>
          <w:szCs w:val="24"/>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4"/>
        </w:numPr>
        <w:tabs>
          <w:tab w:val="clear" w:pos="708"/>
          <w:tab w:val="left" w:pos="0" w:leader="none"/>
          <w:tab w:val="left" w:pos="1418" w:leader="none"/>
        </w:tabs>
        <w:ind w:left="0" w:firstLine="709"/>
        <w:jc w:val="both"/>
        <w:rPr>
          <w:sz w:val="24"/>
          <w:szCs w:val="24"/>
        </w:rPr>
      </w:pPr>
      <w:r>
        <w:rPr>
          <w:sz w:val="24"/>
          <w:szCs w:val="24"/>
        </w:rPr>
        <w:t>нарушение Поставщиком общего срока поставки Товара по Договору, а также промежуточных сроков поставки Товара, установленных Договором, более чем на 60 (шестьдесят) календарных дней по причинам, не зависящим от Покупателя;</w:t>
      </w:r>
    </w:p>
    <w:p>
      <w:pPr>
        <w:pStyle w:val="ListParagraph"/>
        <w:widowControl/>
        <w:numPr>
          <w:ilvl w:val="0"/>
          <w:numId w:val="4"/>
        </w:numPr>
        <w:tabs>
          <w:tab w:val="clear" w:pos="708"/>
          <w:tab w:val="left" w:pos="0" w:leader="none"/>
          <w:tab w:val="left" w:pos="1418" w:leader="none"/>
        </w:tabs>
        <w:ind w:left="0" w:firstLine="709"/>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4"/>
        </w:numPr>
        <w:tabs>
          <w:tab w:val="clear" w:pos="708"/>
          <w:tab w:val="left" w:pos="0" w:leader="none"/>
          <w:tab w:val="left" w:pos="1418" w:leader="none"/>
        </w:tabs>
        <w:ind w:left="0" w:firstLine="709"/>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4"/>
        </w:numPr>
        <w:tabs>
          <w:tab w:val="clear" w:pos="708"/>
          <w:tab w:val="left" w:pos="0" w:leader="none"/>
          <w:tab w:val="left" w:pos="1418" w:leader="none"/>
        </w:tabs>
        <w:ind w:left="0" w:firstLine="709"/>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4"/>
        </w:numPr>
        <w:tabs>
          <w:tab w:val="clear" w:pos="708"/>
          <w:tab w:val="left" w:pos="0" w:leader="none"/>
          <w:tab w:val="left" w:pos="1418" w:leader="none"/>
        </w:tabs>
        <w:ind w:left="0" w:firstLine="709"/>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В случае отказа Покупателя от Договора в случаях, предусмотренных пунктами 12.2,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8"/>
          <w:tab w:val="left" w:pos="1134" w:leader="none"/>
        </w:tabs>
        <w:ind w:left="0" w:hanging="0"/>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left="0" w:hanging="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Normal"/>
        <w:widowControl/>
        <w:numPr>
          <w:ilvl w:val="1"/>
          <w:numId w:val="2"/>
        </w:numPr>
        <w:snapToGrid w:val="false"/>
        <w:ind w:left="0" w:firstLine="709"/>
        <w:jc w:val="both"/>
        <w:rPr>
          <w:sz w:val="24"/>
          <w:szCs w:val="24"/>
        </w:rPr>
      </w:pPr>
      <w:r>
        <w:rPr>
          <w:sz w:val="24"/>
          <w:szCs w:val="24"/>
        </w:rPr>
        <w:t>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13.7 Договора. </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Обмен информацией между Сторонами по любым вопросам, связанным </w:t>
        <w:br/>
        <w:t>с исполнением Договора, включая уведомления и иные сообщения, осуществляется только в письменной форме в порядке, предусмотренном пунктом 13.8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bookmarkStart w:id="9" w:name="_Ref361338004"/>
      <w:r>
        <w:rPr>
          <w:sz w:val="24"/>
          <w:szCs w:val="24"/>
        </w:rPr>
        <w:t>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13.8 Договора.</w:t>
      </w:r>
      <w:bookmarkEnd w:id="9"/>
      <w:r>
        <w:rPr>
          <w:sz w:val="24"/>
          <w:szCs w:val="24"/>
        </w:rPr>
        <w:t xml:space="preserve"> </w:t>
      </w:r>
    </w:p>
    <w:p>
      <w:pPr>
        <w:pStyle w:val="ListParagraph"/>
        <w:widowControl/>
        <w:numPr>
          <w:ilvl w:val="1"/>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left="0" w:firstLine="709"/>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left="0" w:firstLine="709"/>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left="0" w:firstLine="709"/>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8"/>
          <w:tab w:val="left" w:pos="0" w:leader="none"/>
          <w:tab w:val="left" w:pos="1418" w:leader="none"/>
          <w:tab w:val="left" w:pos="1701" w:leader="none"/>
        </w:tabs>
        <w:ind w:left="0" w:firstLine="709"/>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13.8.1 – 13.8.2 Договора. </w:t>
      </w:r>
    </w:p>
    <w:p>
      <w:pPr>
        <w:pStyle w:val="Normal"/>
        <w:widowControl/>
        <w:numPr>
          <w:ilvl w:val="1"/>
          <w:numId w:val="2"/>
        </w:numPr>
        <w:tabs>
          <w:tab w:val="clear" w:pos="708"/>
          <w:tab w:val="left" w:pos="0" w:leader="none"/>
          <w:tab w:val="left" w:pos="1418" w:leader="none"/>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Normal"/>
        <w:widowControl/>
        <w:numPr>
          <w:ilvl w:val="1"/>
          <w:numId w:val="2"/>
        </w:numPr>
        <w:tabs>
          <w:tab w:val="clear" w:pos="708"/>
          <w:tab w:val="left" w:pos="0" w:leader="none"/>
          <w:tab w:val="left" w:pos="1418" w:leader="none"/>
        </w:tabs>
        <w:ind w:left="0" w:firstLine="709"/>
        <w:jc w:val="both"/>
        <w:rPr>
          <w:bCs/>
          <w:sz w:val="24"/>
          <w:szCs w:val="24"/>
        </w:rPr>
      </w:pPr>
      <w:r>
        <w:rPr>
          <w:bCs/>
          <w:sz w:val="24"/>
          <w:szCs w:val="24"/>
        </w:rPr>
        <w:t>Уступка (передача), в том числе в залог, прав (требований) к Покупателю по денежным обязательствам, возникшим из Договора, и принадлежащих Поставщику, осуществляется только при условии предварительного письменного согласия Покупателя и оформляется трёхсторонним договором.</w:t>
      </w:r>
    </w:p>
    <w:p>
      <w:pPr>
        <w:pStyle w:val="Normal"/>
        <w:ind w:firstLine="709"/>
        <w:jc w:val="both"/>
        <w:rPr>
          <w:sz w:val="24"/>
          <w:szCs w:val="24"/>
        </w:rPr>
      </w:pPr>
      <w:r>
        <w:rPr>
          <w:bCs/>
          <w:sz w:val="24"/>
          <w:szCs w:val="24"/>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Покупателя</w:t>
      </w:r>
      <w:r>
        <w:rPr>
          <w:sz w:val="24"/>
          <w:szCs w:val="24"/>
        </w:rPr>
        <w:t xml:space="preserve">.  </w:t>
      </w:r>
    </w:p>
    <w:p>
      <w:pPr>
        <w:pStyle w:val="ListParagraph"/>
        <w:numPr>
          <w:ilvl w:val="1"/>
          <w:numId w:val="2"/>
        </w:numPr>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Normal"/>
        <w:jc w:val="both"/>
        <w:rPr>
          <w:sz w:val="24"/>
          <w:szCs w:val="24"/>
        </w:rPr>
      </w:pPr>
      <w:r>
        <w:rPr>
          <w:sz w:val="24"/>
          <w:szCs w:val="24"/>
        </w:rPr>
      </w:r>
    </w:p>
    <w:p>
      <w:pPr>
        <w:pStyle w:val="Normal"/>
        <w:widowControl/>
        <w:numPr>
          <w:ilvl w:val="0"/>
          <w:numId w:val="2"/>
        </w:numPr>
        <w:shd w:val="clear" w:color="auto" w:fill="FFFFFF"/>
        <w:tabs>
          <w:tab w:val="clear" w:pos="708"/>
          <w:tab w:val="left" w:pos="284" w:leader="none"/>
        </w:tabs>
        <w:spacing w:before="0" w:after="0"/>
        <w:ind w:left="0" w:hanging="36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8"/>
          <w:tab w:val="left" w:pos="0" w:leader="none"/>
        </w:tabs>
        <w:ind w:firstLine="709"/>
        <w:jc w:val="both"/>
        <w:rPr>
          <w:rFonts w:eastAsia="Calibri"/>
          <w:sz w:val="24"/>
          <w:szCs w:val="24"/>
          <w:lang w:eastAsia="en-US"/>
        </w:rPr>
      </w:pPr>
      <w:bookmarkStart w:id="10" w:name="sub_1"/>
      <w:r>
        <w:rPr>
          <w:rFonts w:eastAsia="Calibri"/>
          <w:sz w:val="24"/>
          <w:szCs w:val="24"/>
          <w:lang w:eastAsia="en-US"/>
        </w:rPr>
        <w:t>Приложение № 1 – Спецификация.</w:t>
      </w:r>
      <w:bookmarkEnd w:id="10"/>
    </w:p>
    <w:p>
      <w:pPr>
        <w:pStyle w:val="Normal"/>
        <w:widowControl/>
        <w:shd w:val="clear" w:color="auto" w:fill="FFFFFF"/>
        <w:tabs>
          <w:tab w:val="clear" w:pos="708"/>
          <w:tab w:val="left" w:pos="0" w:leader="none"/>
        </w:tabs>
        <w:ind w:firstLine="709"/>
        <w:jc w:val="both"/>
        <w:rPr>
          <w:rFonts w:eastAsia="Calibri"/>
          <w:sz w:val="24"/>
          <w:szCs w:val="24"/>
          <w:lang w:eastAsia="en-US"/>
        </w:rPr>
      </w:pPr>
      <w:r>
        <w:rPr>
          <w:rFonts w:eastAsia="Calibri"/>
          <w:sz w:val="24"/>
          <w:szCs w:val="24"/>
          <w:lang w:eastAsia="en-US"/>
        </w:rPr>
        <w:t>Приложение № 2 – Технические требования.</w:t>
      </w:r>
    </w:p>
    <w:p>
      <w:pPr>
        <w:pStyle w:val="Normal"/>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r>
    </w:p>
    <w:p>
      <w:pPr>
        <w:pStyle w:val="ListParagraph"/>
        <w:widowControl/>
        <w:numPr>
          <w:ilvl w:val="0"/>
          <w:numId w:val="2"/>
        </w:numPr>
        <w:shd w:val="clear" w:color="auto" w:fill="FFFFFF"/>
        <w:tabs>
          <w:tab w:val="clear" w:pos="708"/>
          <w:tab w:val="left" w:pos="426" w:leader="none"/>
        </w:tabs>
        <w:ind w:left="0" w:hanging="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8"/>
          <w:tab w:val="left" w:pos="426" w:leader="none"/>
        </w:tabs>
        <w:ind w:left="0" w:hanging="0"/>
        <w:rPr>
          <w:b/>
          <w:bCs/>
          <w:sz w:val="24"/>
          <w:szCs w:val="24"/>
        </w:rPr>
      </w:pPr>
      <w:r>
        <w:rPr>
          <w:b/>
          <w:bCs/>
          <w:sz w:val="24"/>
          <w:szCs w:val="24"/>
        </w:rPr>
      </w:r>
    </w:p>
    <w:tbl>
      <w:tblPr>
        <w:tblW w:w="8928" w:type="dxa"/>
        <w:jc w:val="left"/>
        <w:tblInd w:w="-5" w:type="dxa"/>
        <w:tblLayout w:type="fixed"/>
        <w:tblCellMar>
          <w:top w:w="0" w:type="dxa"/>
          <w:left w:w="108" w:type="dxa"/>
          <w:bottom w:w="0" w:type="dxa"/>
          <w:right w:w="108" w:type="dxa"/>
        </w:tblCellMar>
        <w:tblLook w:noVBand="0" w:val="01e0" w:noHBand="0" w:lastColumn="1" w:firstColumn="1" w:lastRow="1" w:firstRow="1"/>
      </w:tblPr>
      <w:tblGrid>
        <w:gridCol w:w="4253"/>
        <w:gridCol w:w="4674"/>
      </w:tblGrid>
      <w:tr>
        <w:trPr/>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sz w:val="24"/>
                <w:szCs w:val="24"/>
              </w:rPr>
            </w:pPr>
            <w:r>
              <w:rPr>
                <w:b/>
                <w:sz w:val="24"/>
                <w:szCs w:val="24"/>
              </w:rPr>
              <w:t>ПОКУПАТЕЛЬ:</w:t>
            </w:r>
          </w:p>
        </w:tc>
        <w:tc>
          <w:tcPr>
            <w:tcW w:w="46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sz w:val="24"/>
                <w:szCs w:val="24"/>
              </w:rPr>
            </w:pPr>
            <w:r>
              <w:rPr>
                <w:b/>
                <w:sz w:val="24"/>
                <w:szCs w:val="24"/>
              </w:rPr>
              <w:t>ПОСТАВЩИК:</w:t>
            </w:r>
          </w:p>
        </w:tc>
      </w:tr>
      <w:tr>
        <w:trPr>
          <w:trHeight w:val="8076" w:hRule="atLeast"/>
        </w:trPr>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sz w:val="22"/>
                <w:szCs w:val="22"/>
              </w:rPr>
            </w:pPr>
            <w:r>
              <w:rPr>
                <w:b/>
                <w:sz w:val="22"/>
                <w:szCs w:val="22"/>
              </w:rPr>
              <w:t>Публичное акционерное общество</w:t>
            </w:r>
          </w:p>
          <w:p>
            <w:pPr>
              <w:pStyle w:val="Normal"/>
              <w:widowControl w:val="false"/>
              <w:rPr>
                <w:b/>
                <w:sz w:val="22"/>
                <w:szCs w:val="22"/>
              </w:rPr>
            </w:pPr>
            <w:r>
              <w:rPr>
                <w:b/>
                <w:sz w:val="22"/>
                <w:szCs w:val="22"/>
              </w:rPr>
              <w:t>«Федеральная гидрогенерирующая компания - РусГидро» (ПАО «РусГидро»)</w:t>
            </w:r>
          </w:p>
          <w:p>
            <w:pPr>
              <w:pStyle w:val="Normal"/>
              <w:widowControl w:val="false"/>
              <w:rPr>
                <w:sz w:val="22"/>
                <w:szCs w:val="22"/>
              </w:rPr>
            </w:pPr>
            <w:r>
              <w:rPr>
                <w:sz w:val="22"/>
                <w:szCs w:val="22"/>
              </w:rPr>
              <w:t xml:space="preserve">Юридический адрес: </w:t>
            </w:r>
          </w:p>
          <w:p>
            <w:pPr>
              <w:pStyle w:val="Normal"/>
              <w:widowControl w:val="false"/>
              <w:rPr>
                <w:sz w:val="22"/>
                <w:szCs w:val="22"/>
              </w:rPr>
            </w:pPr>
            <w:r>
              <w:rPr>
                <w:sz w:val="22"/>
                <w:szCs w:val="22"/>
              </w:rPr>
              <w:t xml:space="preserve">Красноярский край, г.о. город Красноярск, г. Красноярск, ул.Перенсона, зд. 2а, помещ.1.  </w:t>
            </w:r>
          </w:p>
          <w:p>
            <w:pPr>
              <w:pStyle w:val="Normal"/>
              <w:widowControl w:val="false"/>
              <w:rPr>
                <w:b/>
                <w:sz w:val="22"/>
                <w:szCs w:val="22"/>
              </w:rPr>
            </w:pPr>
            <w:r>
              <w:rPr>
                <w:b/>
                <w:sz w:val="22"/>
                <w:szCs w:val="22"/>
              </w:rPr>
              <w:t>Грузополучатель / Плательщик:</w:t>
            </w:r>
          </w:p>
          <w:p>
            <w:pPr>
              <w:pStyle w:val="Normal"/>
              <w:widowControl w:val="false"/>
              <w:rPr>
                <w:b/>
                <w:sz w:val="22"/>
                <w:szCs w:val="22"/>
              </w:rPr>
            </w:pPr>
            <w:r>
              <w:rPr>
                <w:b/>
                <w:sz w:val="22"/>
                <w:szCs w:val="22"/>
              </w:rPr>
              <w:t xml:space="preserve">Филиал ПАО «РусГидро» - </w:t>
            </w:r>
          </w:p>
          <w:p>
            <w:pPr>
              <w:pStyle w:val="Normal"/>
              <w:widowControl w:val="false"/>
              <w:rPr>
                <w:sz w:val="22"/>
                <w:szCs w:val="22"/>
              </w:rPr>
            </w:pPr>
            <w:r>
              <w:rPr>
                <w:b/>
                <w:sz w:val="22"/>
                <w:szCs w:val="22"/>
              </w:rPr>
              <w:t>«Чебоксарская ГЭС»</w:t>
            </w:r>
          </w:p>
          <w:p>
            <w:pPr>
              <w:pStyle w:val="Normal"/>
              <w:widowControl w:val="false"/>
              <w:rPr>
                <w:b/>
                <w:sz w:val="22"/>
                <w:szCs w:val="22"/>
              </w:rPr>
            </w:pPr>
            <w:r>
              <w:rPr>
                <w:b/>
                <w:sz w:val="22"/>
                <w:szCs w:val="22"/>
              </w:rPr>
              <w:t xml:space="preserve">Почтовый адрес: </w:t>
            </w:r>
          </w:p>
          <w:p>
            <w:pPr>
              <w:pStyle w:val="Normal"/>
              <w:widowControl w:val="false"/>
              <w:rPr>
                <w:sz w:val="22"/>
                <w:szCs w:val="22"/>
              </w:rPr>
            </w:pPr>
            <w:r>
              <w:rPr>
                <w:sz w:val="22"/>
                <w:szCs w:val="22"/>
              </w:rPr>
              <w:t>429965, Чувашская Республика,</w:t>
            </w:r>
          </w:p>
          <w:p>
            <w:pPr>
              <w:pStyle w:val="Normal"/>
              <w:widowControl w:val="false"/>
              <w:rPr>
                <w:sz w:val="22"/>
                <w:szCs w:val="22"/>
              </w:rPr>
            </w:pPr>
            <w:r>
              <w:rPr>
                <w:sz w:val="22"/>
                <w:szCs w:val="22"/>
              </w:rPr>
              <w:t>г. Новочебоксарск, ул. Набережная, влд.34.</w:t>
            </w:r>
          </w:p>
          <w:p>
            <w:pPr>
              <w:pStyle w:val="Normal"/>
              <w:widowControl w:val="false"/>
              <w:rPr>
                <w:sz w:val="22"/>
                <w:szCs w:val="22"/>
              </w:rPr>
            </w:pPr>
            <w:r>
              <w:rPr>
                <w:b/>
                <w:sz w:val="22"/>
                <w:szCs w:val="22"/>
              </w:rPr>
              <w:t>ОГРН:</w:t>
            </w:r>
            <w:r>
              <w:rPr>
                <w:sz w:val="22"/>
                <w:szCs w:val="22"/>
              </w:rPr>
              <w:t xml:space="preserve"> 1042401810494, </w:t>
            </w:r>
          </w:p>
          <w:p>
            <w:pPr>
              <w:pStyle w:val="Normal"/>
              <w:widowControl w:val="false"/>
              <w:rPr>
                <w:sz w:val="22"/>
                <w:szCs w:val="22"/>
              </w:rPr>
            </w:pPr>
            <w:r>
              <w:rPr>
                <w:b/>
                <w:sz w:val="22"/>
                <w:szCs w:val="22"/>
              </w:rPr>
              <w:t>ИНН:</w:t>
            </w:r>
            <w:r>
              <w:rPr>
                <w:sz w:val="22"/>
                <w:szCs w:val="22"/>
              </w:rPr>
              <w:t xml:space="preserve"> 2460066195</w:t>
            </w:r>
          </w:p>
          <w:p>
            <w:pPr>
              <w:pStyle w:val="Normal"/>
              <w:widowControl w:val="false"/>
              <w:rPr>
                <w:sz w:val="22"/>
                <w:szCs w:val="22"/>
              </w:rPr>
            </w:pPr>
            <w:r>
              <w:rPr>
                <w:b/>
                <w:sz w:val="22"/>
                <w:szCs w:val="22"/>
              </w:rPr>
              <w:t>КПП:</w:t>
            </w:r>
            <w:r>
              <w:rPr>
                <w:sz w:val="22"/>
                <w:szCs w:val="22"/>
              </w:rPr>
              <w:t xml:space="preserve"> 2124020001</w:t>
            </w:r>
          </w:p>
          <w:p>
            <w:pPr>
              <w:pStyle w:val="Normal"/>
              <w:widowControl w:val="false"/>
              <w:rPr>
                <w:b/>
                <w:sz w:val="22"/>
                <w:szCs w:val="22"/>
              </w:rPr>
            </w:pPr>
            <w:r>
              <w:rPr>
                <w:b/>
                <w:sz w:val="22"/>
                <w:szCs w:val="22"/>
              </w:rPr>
              <w:t>Расчетный счет:</w:t>
            </w:r>
          </w:p>
          <w:p>
            <w:pPr>
              <w:pStyle w:val="Normal"/>
              <w:widowControl w:val="false"/>
              <w:rPr>
                <w:sz w:val="22"/>
                <w:szCs w:val="22"/>
              </w:rPr>
            </w:pPr>
            <w:r>
              <w:rPr>
                <w:sz w:val="22"/>
                <w:szCs w:val="22"/>
              </w:rPr>
              <w:t>40702810875040001604</w:t>
            </w:r>
          </w:p>
          <w:p>
            <w:pPr>
              <w:pStyle w:val="Normal"/>
              <w:widowControl w:val="false"/>
              <w:rPr>
                <w:b/>
                <w:sz w:val="22"/>
                <w:szCs w:val="22"/>
              </w:rPr>
            </w:pPr>
            <w:r>
              <w:rPr>
                <w:b/>
                <w:sz w:val="22"/>
                <w:szCs w:val="22"/>
              </w:rPr>
              <w:t>Наименование банка:</w:t>
            </w:r>
          </w:p>
          <w:p>
            <w:pPr>
              <w:pStyle w:val="Normal"/>
              <w:widowControl w:val="false"/>
              <w:rPr>
                <w:sz w:val="22"/>
                <w:szCs w:val="22"/>
              </w:rPr>
            </w:pPr>
            <w:r>
              <w:rPr>
                <w:sz w:val="22"/>
                <w:szCs w:val="22"/>
              </w:rPr>
              <w:t>Кировское  отделение № 8612</w:t>
            </w:r>
          </w:p>
          <w:p>
            <w:pPr>
              <w:pStyle w:val="Normal"/>
              <w:widowControl w:val="false"/>
              <w:rPr>
                <w:sz w:val="22"/>
                <w:szCs w:val="22"/>
              </w:rPr>
            </w:pPr>
            <w:r>
              <w:rPr>
                <w:sz w:val="22"/>
                <w:szCs w:val="22"/>
              </w:rPr>
              <w:t>ПАО Сбербанк</w:t>
            </w:r>
          </w:p>
          <w:p>
            <w:pPr>
              <w:pStyle w:val="Normal"/>
              <w:widowControl w:val="false"/>
              <w:rPr>
                <w:b/>
                <w:sz w:val="22"/>
                <w:szCs w:val="22"/>
              </w:rPr>
            </w:pPr>
            <w:r>
              <w:rPr>
                <w:b/>
                <w:sz w:val="22"/>
                <w:szCs w:val="22"/>
              </w:rPr>
              <w:t>Корреспондентский счет:</w:t>
            </w:r>
          </w:p>
          <w:p>
            <w:pPr>
              <w:pStyle w:val="Normal"/>
              <w:widowControl w:val="false"/>
              <w:rPr>
                <w:sz w:val="22"/>
                <w:szCs w:val="22"/>
              </w:rPr>
            </w:pPr>
            <w:r>
              <w:rPr>
                <w:sz w:val="22"/>
                <w:szCs w:val="22"/>
              </w:rPr>
              <w:t>30101810500000000609</w:t>
            </w:r>
          </w:p>
          <w:p>
            <w:pPr>
              <w:pStyle w:val="Normal"/>
              <w:widowControl w:val="false"/>
              <w:rPr>
                <w:sz w:val="22"/>
                <w:szCs w:val="22"/>
              </w:rPr>
            </w:pPr>
            <w:r>
              <w:rPr>
                <w:b/>
                <w:sz w:val="22"/>
                <w:szCs w:val="22"/>
              </w:rPr>
              <w:t>БИК банка:</w:t>
            </w:r>
            <w:r>
              <w:rPr>
                <w:sz w:val="22"/>
                <w:szCs w:val="22"/>
              </w:rPr>
              <w:t xml:space="preserve"> 043304609</w:t>
            </w:r>
          </w:p>
          <w:p>
            <w:pPr>
              <w:pStyle w:val="Normal"/>
              <w:widowControl w:val="false"/>
              <w:rPr>
                <w:sz w:val="22"/>
                <w:szCs w:val="22"/>
              </w:rPr>
            </w:pPr>
            <w:r>
              <w:rPr>
                <w:sz w:val="22"/>
                <w:szCs w:val="22"/>
              </w:rPr>
              <w:t>Номер телефона:</w:t>
            </w:r>
          </w:p>
          <w:p>
            <w:pPr>
              <w:pStyle w:val="Normal"/>
              <w:widowControl w:val="false"/>
              <w:rPr>
                <w:sz w:val="22"/>
                <w:szCs w:val="22"/>
              </w:rPr>
            </w:pPr>
            <w:r>
              <w:rPr>
                <w:sz w:val="22"/>
                <w:szCs w:val="22"/>
              </w:rPr>
              <w:t>(8352) 30-18-59</w:t>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 </w:t>
            </w:r>
          </w:p>
        </w:tc>
        <w:tc>
          <w:tcPr>
            <w:tcW w:w="46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jc w:val="center"/>
              <w:rPr>
                <w:b/>
                <w:sz w:val="22"/>
                <w:szCs w:val="22"/>
              </w:rPr>
            </w:pPr>
            <w:r>
              <w:rPr>
                <w:b/>
                <w:sz w:val="22"/>
                <w:szCs w:val="22"/>
              </w:rPr>
            </w:r>
          </w:p>
          <w:p>
            <w:pPr>
              <w:pStyle w:val="Normal"/>
              <w:widowControl w:val="false"/>
              <w:rPr>
                <w:b/>
                <w:sz w:val="22"/>
                <w:szCs w:val="22"/>
              </w:rPr>
            </w:pPr>
            <w:r>
              <w:rPr>
                <w:b/>
                <w:sz w:val="22"/>
                <w:szCs w:val="22"/>
              </w:rPr>
              <w:t>Юридический адрес:</w:t>
            </w:r>
          </w:p>
          <w:p>
            <w:pPr>
              <w:pStyle w:val="Normal"/>
              <w:widowControl w:val="false"/>
              <w:rPr>
                <w:sz w:val="22"/>
                <w:szCs w:val="22"/>
              </w:rPr>
            </w:pPr>
            <w:r>
              <w:rPr>
                <w:sz w:val="22"/>
                <w:szCs w:val="22"/>
              </w:rPr>
            </w:r>
          </w:p>
          <w:p>
            <w:pPr>
              <w:pStyle w:val="Normal"/>
              <w:widowControl w:val="false"/>
              <w:suppressAutoHyphens w:val="false"/>
              <w:rPr>
                <w:rFonts w:eastAsia="Calibri" w:eastAsiaTheme="minorHAnsi"/>
                <w:sz w:val="22"/>
                <w:szCs w:val="22"/>
                <w:lang w:eastAsia="en-US"/>
              </w:rPr>
            </w:pPr>
            <w:r>
              <w:rPr>
                <w:rFonts w:eastAsia="Calibri" w:eastAsiaTheme="minorHAnsi"/>
                <w:b/>
                <w:sz w:val="22"/>
                <w:szCs w:val="22"/>
                <w:lang w:eastAsia="en-US"/>
              </w:rPr>
              <w:t>Почтовый адрес:</w:t>
            </w:r>
            <w:r>
              <w:rPr>
                <w:rFonts w:eastAsia="Calibri" w:eastAsiaTheme="minorHAnsi"/>
                <w:sz w:val="22"/>
                <w:szCs w:val="22"/>
                <w:lang w:eastAsia="en-US"/>
              </w:rPr>
              <w:t xml:space="preserve"> </w:t>
            </w:r>
          </w:p>
          <w:p>
            <w:pPr>
              <w:pStyle w:val="Normal"/>
              <w:widowControl w:val="false"/>
              <w:rPr>
                <w:sz w:val="22"/>
                <w:szCs w:val="22"/>
              </w:rPr>
            </w:pPr>
            <w:r>
              <w:rPr>
                <w:sz w:val="22"/>
                <w:szCs w:val="22"/>
              </w:rPr>
            </w:r>
          </w:p>
          <w:p>
            <w:pPr>
              <w:pStyle w:val="Normal"/>
              <w:widowControl w:val="false"/>
              <w:rPr>
                <w:sz w:val="22"/>
                <w:szCs w:val="22"/>
              </w:rPr>
            </w:pPr>
            <w:r>
              <w:rPr>
                <w:b/>
                <w:sz w:val="22"/>
                <w:szCs w:val="22"/>
              </w:rPr>
              <w:t>ИНН:</w:t>
            </w:r>
            <w:r>
              <w:rPr>
                <w:sz w:val="22"/>
                <w:szCs w:val="22"/>
              </w:rPr>
              <w:t xml:space="preserve"> </w:t>
            </w:r>
          </w:p>
          <w:p>
            <w:pPr>
              <w:pStyle w:val="Normal"/>
              <w:widowControl w:val="false"/>
              <w:tabs>
                <w:tab w:val="clear" w:pos="708"/>
                <w:tab w:val="left" w:pos="0" w:leader="none"/>
              </w:tabs>
              <w:ind w:right="-108" w:hanging="0"/>
              <w:rPr>
                <w:iCs/>
                <w:sz w:val="22"/>
                <w:szCs w:val="22"/>
              </w:rPr>
            </w:pPr>
            <w:r>
              <w:rPr>
                <w:b/>
                <w:iCs/>
                <w:sz w:val="22"/>
                <w:szCs w:val="22"/>
              </w:rPr>
              <w:t>КПП:</w:t>
            </w:r>
            <w:r>
              <w:rPr>
                <w:iCs/>
                <w:sz w:val="22"/>
                <w:szCs w:val="22"/>
              </w:rPr>
              <w:t xml:space="preserve"> </w:t>
            </w:r>
          </w:p>
          <w:p>
            <w:pPr>
              <w:pStyle w:val="Normal"/>
              <w:widowControl w:val="false"/>
              <w:tabs>
                <w:tab w:val="clear" w:pos="708"/>
                <w:tab w:val="left" w:pos="0" w:leader="none"/>
              </w:tabs>
              <w:ind w:right="-108" w:hanging="0"/>
              <w:rPr>
                <w:iCs/>
                <w:sz w:val="22"/>
                <w:szCs w:val="22"/>
              </w:rPr>
            </w:pPr>
            <w:r>
              <w:rPr>
                <w:b/>
                <w:iCs/>
                <w:sz w:val="22"/>
                <w:szCs w:val="22"/>
              </w:rPr>
              <w:t>ОГРН:</w:t>
            </w:r>
            <w:r>
              <w:rPr>
                <w:iCs/>
                <w:sz w:val="22"/>
                <w:szCs w:val="22"/>
              </w:rPr>
              <w:t xml:space="preserve"> </w:t>
            </w:r>
          </w:p>
          <w:p>
            <w:pPr>
              <w:pStyle w:val="Normal"/>
              <w:widowControl w:val="false"/>
              <w:rPr>
                <w:b/>
                <w:sz w:val="22"/>
                <w:szCs w:val="22"/>
              </w:rPr>
            </w:pPr>
            <w:r>
              <w:rPr>
                <w:b/>
                <w:sz w:val="22"/>
                <w:szCs w:val="22"/>
              </w:rPr>
              <w:t>Наименование банка:</w:t>
            </w:r>
          </w:p>
          <w:p>
            <w:pPr>
              <w:pStyle w:val="Normal"/>
              <w:widowControl w:val="false"/>
              <w:rPr>
                <w:sz w:val="22"/>
                <w:szCs w:val="22"/>
              </w:rPr>
            </w:pPr>
            <w:r>
              <w:rPr>
                <w:sz w:val="22"/>
                <w:szCs w:val="22"/>
              </w:rPr>
            </w:r>
          </w:p>
          <w:p>
            <w:pPr>
              <w:pStyle w:val="Normal"/>
              <w:widowControl w:val="false"/>
              <w:rPr>
                <w:b/>
                <w:sz w:val="22"/>
                <w:szCs w:val="22"/>
              </w:rPr>
            </w:pPr>
            <w:r>
              <w:rPr>
                <w:b/>
                <w:sz w:val="22"/>
                <w:szCs w:val="22"/>
              </w:rPr>
              <w:t>Расчетный счет:</w:t>
            </w:r>
          </w:p>
          <w:p>
            <w:pPr>
              <w:pStyle w:val="Normal"/>
              <w:widowControl w:val="false"/>
              <w:rPr>
                <w:sz w:val="22"/>
                <w:szCs w:val="22"/>
              </w:rPr>
            </w:pPr>
            <w:r>
              <w:rPr>
                <w:sz w:val="22"/>
                <w:szCs w:val="22"/>
              </w:rPr>
            </w:r>
          </w:p>
          <w:p>
            <w:pPr>
              <w:pStyle w:val="Normal"/>
              <w:widowControl w:val="false"/>
              <w:rPr>
                <w:b/>
                <w:sz w:val="22"/>
                <w:szCs w:val="22"/>
              </w:rPr>
            </w:pPr>
            <w:r>
              <w:rPr>
                <w:b/>
                <w:sz w:val="22"/>
                <w:szCs w:val="22"/>
              </w:rPr>
              <w:t>Корреспондентский счет:</w:t>
            </w:r>
          </w:p>
          <w:p>
            <w:pPr>
              <w:pStyle w:val="Normal"/>
              <w:widowControl w:val="false"/>
              <w:rPr>
                <w:sz w:val="22"/>
                <w:szCs w:val="22"/>
              </w:rPr>
            </w:pPr>
            <w:r>
              <w:rPr>
                <w:sz w:val="22"/>
                <w:szCs w:val="22"/>
              </w:rPr>
            </w:r>
          </w:p>
          <w:p>
            <w:pPr>
              <w:pStyle w:val="Normal"/>
              <w:widowControl w:val="false"/>
              <w:rPr>
                <w:b/>
                <w:sz w:val="22"/>
                <w:szCs w:val="22"/>
              </w:rPr>
            </w:pPr>
            <w:r>
              <w:rPr>
                <w:rFonts w:eastAsia="Calibri" w:eastAsiaTheme="minorHAnsi"/>
                <w:b/>
                <w:sz w:val="22"/>
                <w:szCs w:val="22"/>
                <w:lang w:eastAsia="en-US"/>
              </w:rPr>
              <w:t>БИК:</w:t>
            </w:r>
            <w:r>
              <w:rPr>
                <w:rFonts w:eastAsia="Calibri" w:eastAsiaTheme="minorHAnsi"/>
                <w:sz w:val="22"/>
                <w:szCs w:val="22"/>
                <w:lang w:eastAsia="en-US"/>
              </w:rPr>
              <w:t xml:space="preserve"> </w:t>
            </w:r>
          </w:p>
          <w:p>
            <w:pPr>
              <w:pStyle w:val="Normal"/>
              <w:widowControl w:val="false"/>
              <w:tabs>
                <w:tab w:val="clear" w:pos="708"/>
                <w:tab w:val="left" w:pos="0" w:leader="none"/>
              </w:tabs>
              <w:ind w:right="-108" w:hanging="0"/>
              <w:rPr>
                <w:iCs/>
                <w:color w:val="000000"/>
                <w:sz w:val="22"/>
                <w:szCs w:val="22"/>
              </w:rPr>
            </w:pPr>
            <w:r>
              <w:rPr>
                <w:b/>
                <w:iCs/>
                <w:color w:val="000000"/>
                <w:sz w:val="22"/>
                <w:szCs w:val="22"/>
              </w:rPr>
              <w:t xml:space="preserve">Эл.адрес: </w:t>
            </w:r>
          </w:p>
          <w:p>
            <w:pPr>
              <w:pStyle w:val="Normal"/>
              <w:widowControl w:val="false"/>
              <w:tabs>
                <w:tab w:val="clear" w:pos="708"/>
                <w:tab w:val="left" w:pos="0" w:leader="none"/>
              </w:tabs>
              <w:ind w:right="-108" w:hanging="0"/>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 </w:t>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r>
          </w:p>
          <w:p>
            <w:pPr>
              <w:pStyle w:val="Normal"/>
              <w:widowControl w:val="false"/>
              <w:rPr>
                <w:sz w:val="22"/>
                <w:szCs w:val="22"/>
              </w:rPr>
            </w:pPr>
            <w:r>
              <w:rPr/>
            </w:r>
          </w:p>
          <w:p>
            <w:pPr>
              <w:pStyle w:val="Normal"/>
              <w:widowControl w:val="false"/>
              <w:rPr>
                <w:sz w:val="22"/>
                <w:szCs w:val="22"/>
              </w:rPr>
            </w:pPr>
            <w:r>
              <w:rPr/>
            </w:r>
          </w:p>
          <w:p>
            <w:pPr>
              <w:pStyle w:val="Normal"/>
              <w:widowControl w:val="false"/>
              <w:rPr>
                <w:sz w:val="22"/>
                <w:szCs w:val="22"/>
              </w:rPr>
            </w:pPr>
            <w:r>
              <w:rPr>
                <w:sz w:val="22"/>
                <w:szCs w:val="22"/>
              </w:rPr>
              <w:t>_______________ /</w:t>
            </w:r>
            <w:r>
              <w:rPr>
                <w:sz w:val="22"/>
                <w:szCs w:val="22"/>
              </w:rPr>
              <w:t xml:space="preserve">___________________ </w:t>
            </w:r>
            <w:r>
              <w:rPr>
                <w:sz w:val="22"/>
                <w:szCs w:val="22"/>
              </w:rPr>
              <w:t>/</w:t>
            </w:r>
          </w:p>
          <w:p>
            <w:pPr>
              <w:pStyle w:val="Normal"/>
              <w:widowControl w:val="false"/>
              <w:tabs>
                <w:tab w:val="clear" w:pos="708"/>
                <w:tab w:val="left" w:pos="1302" w:leader="none"/>
              </w:tabs>
              <w:rPr>
                <w:sz w:val="22"/>
                <w:szCs w:val="22"/>
              </w:rPr>
            </w:pPr>
            <w:r>
              <w:rPr>
                <w:sz w:val="22"/>
                <w:szCs w:val="22"/>
              </w:rPr>
            </w:r>
          </w:p>
        </w:tc>
      </w:tr>
    </w:tbl>
    <w:p>
      <w:pPr>
        <w:sectPr>
          <w:headerReference w:type="default" r:id="rId5"/>
          <w:headerReference w:type="first" r:id="rId6"/>
          <w:footerReference w:type="default" r:id="rId7"/>
          <w:footnotePr>
            <w:numFmt w:val="decimal"/>
            <w:numStart w:val="5"/>
          </w:footnotePr>
          <w:type w:val="nextPage"/>
          <w:pgSz w:w="11906" w:h="16838"/>
          <w:pgMar w:left="1418" w:right="1128" w:gutter="0" w:header="709" w:top="1134" w:footer="709" w:bottom="851"/>
          <w:pgNumType w:fmt="decimal"/>
          <w:formProt w:val="false"/>
          <w:titlePg/>
          <w:textDirection w:val="lrTb"/>
          <w:docGrid w:type="default" w:linePitch="360" w:charSpace="0"/>
        </w:sectPr>
      </w:pPr>
    </w:p>
    <w:p>
      <w:pPr>
        <w:pStyle w:val="Normal"/>
        <w:ind w:firstLine="6237"/>
        <w:jc w:val="right"/>
        <w:rPr>
          <w:sz w:val="24"/>
          <w:szCs w:val="24"/>
        </w:rPr>
      </w:pPr>
      <w:r>
        <w:rPr>
          <w:sz w:val="24"/>
          <w:szCs w:val="24"/>
        </w:rPr>
      </w:r>
    </w:p>
    <w:p>
      <w:pPr>
        <w:pStyle w:val="Normal"/>
        <w:ind w:firstLine="6237"/>
        <w:jc w:val="right"/>
        <w:rPr>
          <w:sz w:val="24"/>
          <w:szCs w:val="24"/>
        </w:rPr>
      </w:pPr>
      <w:r>
        <w:rPr>
          <w:sz w:val="24"/>
          <w:szCs w:val="24"/>
        </w:rPr>
      </w:r>
    </w:p>
    <w:p>
      <w:pPr>
        <w:pStyle w:val="Normal"/>
        <w:ind w:firstLine="6237"/>
        <w:jc w:val="right"/>
        <w:rPr>
          <w:sz w:val="24"/>
          <w:szCs w:val="24"/>
        </w:rPr>
      </w:pPr>
      <w:r>
        <w:rPr>
          <w:sz w:val="24"/>
          <w:szCs w:val="24"/>
        </w:rPr>
        <w:t>Приложение № 1</w:t>
      </w:r>
    </w:p>
    <w:p>
      <w:pPr>
        <w:pStyle w:val="Normal"/>
        <w:ind w:left="720" w:firstLine="6237"/>
        <w:jc w:val="right"/>
        <w:rPr>
          <w:sz w:val="24"/>
          <w:szCs w:val="24"/>
        </w:rPr>
      </w:pPr>
      <w:r>
        <w:rPr>
          <w:sz w:val="24"/>
          <w:szCs w:val="24"/>
        </w:rPr>
        <w:t>к Договору поставки</w:t>
      </w:r>
    </w:p>
    <w:p>
      <w:pPr>
        <w:pStyle w:val="Normal"/>
        <w:ind w:left="720" w:firstLine="5954"/>
        <w:jc w:val="right"/>
        <w:rPr>
          <w:sz w:val="24"/>
          <w:szCs w:val="24"/>
        </w:rPr>
      </w:pPr>
      <w:r>
        <w:rPr>
          <w:sz w:val="24"/>
          <w:szCs w:val="24"/>
        </w:rPr>
        <w:t xml:space="preserve">№ </w:t>
      </w:r>
      <w:r>
        <w:rPr>
          <w:sz w:val="24"/>
          <w:szCs w:val="24"/>
        </w:rPr>
        <w:t xml:space="preserve">1350--2026 от                                    </w:t>
      </w:r>
    </w:p>
    <w:p>
      <w:pPr>
        <w:pStyle w:val="Normal"/>
        <w:ind w:left="720" w:firstLine="5529"/>
        <w:jc w:val="right"/>
        <w:rPr>
          <w:sz w:val="24"/>
          <w:szCs w:val="24"/>
        </w:rPr>
      </w:pPr>
      <w:r>
        <w:rPr>
          <w:sz w:val="24"/>
          <w:szCs w:val="24"/>
        </w:rPr>
        <w:t>«____» _____________2026 г.</w:t>
      </w:r>
    </w:p>
    <w:p>
      <w:pPr>
        <w:pStyle w:val="Normal"/>
        <w:ind w:left="720" w:firstLine="6237"/>
        <w:jc w:val="right"/>
        <w:rPr>
          <w:bCs/>
          <w:sz w:val="24"/>
          <w:szCs w:val="24"/>
        </w:rPr>
      </w:pPr>
      <w:r>
        <w:rPr>
          <w:sz w:val="24"/>
          <w:szCs w:val="24"/>
        </w:rPr>
        <w:t xml:space="preserve"> </w:t>
      </w:r>
    </w:p>
    <w:p>
      <w:pPr>
        <w:pStyle w:val="Normal"/>
        <w:widowControl/>
        <w:shd w:val="clear" w:color="auto" w:fill="FFFFFF"/>
        <w:tabs>
          <w:tab w:val="clear" w:pos="708"/>
          <w:tab w:val="left" w:pos="1418" w:leader="none"/>
        </w:tabs>
        <w:spacing w:before="0" w:after="0"/>
        <w:ind w:left="720" w:firstLine="6237"/>
        <w:contextualSpacing/>
        <w:jc w:val="center"/>
        <w:rPr>
          <w:bCs/>
          <w:sz w:val="24"/>
          <w:szCs w:val="24"/>
        </w:rPr>
      </w:pPr>
      <w:r>
        <w:rPr>
          <w:bCs/>
          <w:sz w:val="24"/>
          <w:szCs w:val="24"/>
        </w:rPr>
      </w:r>
    </w:p>
    <w:p>
      <w:pPr>
        <w:pStyle w:val="Normal"/>
        <w:widowControl/>
        <w:rPr>
          <w:rFonts w:eastAsia="Calibri"/>
          <w:sz w:val="24"/>
          <w:szCs w:val="24"/>
          <w:lang w:eastAsia="en-US"/>
        </w:rPr>
      </w:pPr>
      <w:r>
        <w:rPr>
          <w:rFonts w:eastAsia="Calibri"/>
          <w:sz w:val="24"/>
          <w:szCs w:val="24"/>
          <w:lang w:eastAsia="en-US"/>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5" w:type="dxa"/>
        <w:tblLayout w:type="fixed"/>
        <w:tblCellMar>
          <w:top w:w="0" w:type="dxa"/>
          <w:left w:w="108" w:type="dxa"/>
          <w:bottom w:w="0" w:type="dxa"/>
          <w:right w:w="108" w:type="dxa"/>
        </w:tblCellMar>
        <w:tblLook w:noVBand="1" w:val="04a0" w:noHBand="0" w:lastColumn="0" w:firstColumn="1" w:lastRow="0" w:firstRow="1"/>
      </w:tblPr>
      <w:tblGrid>
        <w:gridCol w:w="343"/>
        <w:gridCol w:w="516"/>
        <w:gridCol w:w="531"/>
        <w:gridCol w:w="527"/>
        <w:gridCol w:w="668"/>
        <w:gridCol w:w="629"/>
        <w:gridCol w:w="537"/>
        <w:gridCol w:w="631"/>
        <w:gridCol w:w="791"/>
        <w:gridCol w:w="378"/>
        <w:gridCol w:w="631"/>
        <w:gridCol w:w="382"/>
        <w:gridCol w:w="507"/>
        <w:gridCol w:w="386"/>
        <w:gridCol w:w="242"/>
        <w:gridCol w:w="1641"/>
        <w:gridCol w:w="15"/>
      </w:tblGrid>
      <w:tr>
        <w:trPr>
          <w:trHeight w:val="526" w:hRule="atLeast"/>
        </w:trPr>
        <w:tc>
          <w:tcPr>
            <w:tcW w:w="3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53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5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66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4"/>
            </w:r>
          </w:p>
        </w:tc>
        <w:tc>
          <w:tcPr>
            <w:tcW w:w="6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6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79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5"/>
            </w:r>
          </w:p>
          <w:p>
            <w:pPr>
              <w:pStyle w:val="Normal"/>
              <w:widowControl w:val="false"/>
              <w:jc w:val="center"/>
              <w:rPr>
                <w:bCs/>
              </w:rPr>
            </w:pPr>
            <w:r>
              <w:rPr>
                <w:bCs/>
              </w:rPr>
            </w:r>
          </w:p>
        </w:tc>
        <w:tc>
          <w:tcPr>
            <w:tcW w:w="3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3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628"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165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3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2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6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3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3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628"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165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3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2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6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3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3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628"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165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262" w:hRule="atLeast"/>
        </w:trPr>
        <w:tc>
          <w:tcPr>
            <w:tcW w:w="7457"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всего Товара (с учетом доставки), руб. с НДС*:</w:t>
            </w:r>
          </w:p>
        </w:tc>
        <w:tc>
          <w:tcPr>
            <w:tcW w:w="188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15" w:type="dxa"/>
            <w:tcBorders/>
          </w:tcPr>
          <w:p>
            <w:pPr>
              <w:pStyle w:val="Normal"/>
              <w:widowControl w:val="false"/>
              <w:rPr/>
            </w:pPr>
            <w:r>
              <w:rPr/>
            </w:r>
          </w:p>
        </w:tc>
      </w:tr>
    </w:tbl>
    <w:p>
      <w:pPr>
        <w:pStyle w:val="Normal"/>
        <w:ind w:left="-737" w:right="737" w:hanging="0"/>
        <w:jc w:val="both"/>
        <w:rPr>
          <w:i/>
          <w:i/>
          <w:iCs/>
          <w:sz w:val="22"/>
          <w:szCs w:val="22"/>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ind w:left="-737" w:right="737" w:hanging="0"/>
        <w:jc w:val="both"/>
        <w:rPr/>
      </w:pPr>
      <w:r>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i/>
          <w:i/>
          <w:sz w:val="22"/>
          <w:szCs w:val="22"/>
        </w:rPr>
      </w:pPr>
      <w:r>
        <w:rPr>
          <w:i/>
          <w:sz w:val="22"/>
          <w:szCs w:val="22"/>
          <w:highlight w:val="lightGray"/>
        </w:rPr>
        <w:t>2. По требованию Покупателя Поставщик обязан представить запрашиваемую информацию/документы, расчеты, обосновывающие стоимость доставки.</w:t>
      </w:r>
      <w:r>
        <w:rPr>
          <w:i/>
          <w:sz w:val="22"/>
          <w:szCs w:val="22"/>
        </w:rPr>
        <w:t xml:space="preserve"> </w:t>
      </w:r>
    </w:p>
    <w:p>
      <w:pPr>
        <w:pStyle w:val="Normal"/>
        <w:rPr>
          <w:i/>
          <w:i/>
          <w:sz w:val="22"/>
          <w:szCs w:val="22"/>
        </w:rPr>
      </w:pPr>
      <w:r>
        <w:rPr>
          <w:i/>
          <w:sz w:val="22"/>
          <w:szCs w:val="22"/>
        </w:rPr>
      </w:r>
    </w:p>
    <w:p>
      <w:pPr>
        <w:pStyle w:val="Normal"/>
        <w:jc w:val="center"/>
        <w:rPr>
          <w:b/>
          <w:bCs/>
          <w:sz w:val="24"/>
          <w:szCs w:val="24"/>
        </w:rPr>
      </w:pPr>
      <w:r>
        <w:rPr>
          <w:b/>
          <w:bCs/>
          <w:sz w:val="24"/>
          <w:szCs w:val="24"/>
        </w:rPr>
      </w:r>
    </w:p>
    <w:tbl>
      <w:tblPr>
        <w:tblW w:w="9781" w:type="dxa"/>
        <w:jc w:val="left"/>
        <w:tblInd w:w="-5" w:type="dxa"/>
        <w:tblLayout w:type="fixed"/>
        <w:tblCellMar>
          <w:top w:w="0" w:type="dxa"/>
          <w:left w:w="108" w:type="dxa"/>
          <w:bottom w:w="0" w:type="dxa"/>
          <w:right w:w="108" w:type="dxa"/>
        </w:tblCellMar>
        <w:tblLook w:noVBand="0" w:val="0000" w:noHBand="0" w:lastColumn="0" w:firstColumn="0" w:lastRow="0" w:firstRow="0"/>
      </w:tblPr>
      <w:tblGrid>
        <w:gridCol w:w="670"/>
        <w:gridCol w:w="3158"/>
        <w:gridCol w:w="1701"/>
        <w:gridCol w:w="1701"/>
        <w:gridCol w:w="2551"/>
      </w:tblGrid>
      <w:tr>
        <w:trPr>
          <w:trHeight w:val="812" w:hRule="atLeast"/>
        </w:trPr>
        <w:tc>
          <w:tcPr>
            <w:tcW w:w="670" w:type="dxa"/>
            <w:tcBorders>
              <w:left w:val="single" w:sz="4" w:space="0" w:color="000000"/>
              <w:bottom w:val="single" w:sz="4" w:space="0" w:color="000000"/>
              <w:right w:val="single" w:sz="4" w:space="0" w:color="000000"/>
            </w:tcBorders>
            <w:vAlign w:val="center"/>
          </w:tcPr>
          <w:p>
            <w:pPr>
              <w:pStyle w:val="Normal"/>
              <w:widowControl w:val="false"/>
              <w:spacing w:before="0" w:after="0"/>
              <w:ind w:left="-112" w:right="-112" w:hanging="0"/>
              <w:contextualSpacing/>
              <w:jc w:val="center"/>
              <w:rPr>
                <w:iCs/>
                <w:sz w:val="24"/>
                <w:szCs w:val="24"/>
              </w:rPr>
            </w:pPr>
            <w:r>
              <w:rPr>
                <w:iCs/>
                <w:sz w:val="24"/>
                <w:szCs w:val="24"/>
              </w:rPr>
            </w:r>
          </w:p>
        </w:tc>
        <w:tc>
          <w:tcPr>
            <w:tcW w:w="3158" w:type="dxa"/>
            <w:tcBorders>
              <w:left w:val="single" w:sz="4" w:space="0" w:color="000000"/>
              <w:bottom w:val="single" w:sz="4" w:space="0" w:color="000000"/>
              <w:right w:val="single" w:sz="4" w:space="0" w:color="000000"/>
            </w:tcBorders>
            <w:vAlign w:val="center"/>
          </w:tcPr>
          <w:p>
            <w:pPr>
              <w:pStyle w:val="Normal"/>
              <w:widowControl w:val="false"/>
              <w:spacing w:before="0" w:after="0"/>
              <w:contextualSpacing/>
              <w:jc w:val="center"/>
              <w:rPr>
                <w:sz w:val="24"/>
                <w:szCs w:val="24"/>
              </w:rPr>
            </w:pPr>
            <w:r>
              <w:rPr>
                <w:sz w:val="24"/>
                <w:szCs w:val="24"/>
              </w:rPr>
            </w:r>
          </w:p>
        </w:tc>
        <w:tc>
          <w:tcPr>
            <w:tcW w:w="1701" w:type="dxa"/>
            <w:tcBorders>
              <w:left w:val="single" w:sz="4" w:space="0" w:color="000000"/>
              <w:bottom w:val="single" w:sz="4" w:space="0" w:color="000000"/>
              <w:right w:val="single" w:sz="4" w:space="0" w:color="000000"/>
            </w:tcBorders>
          </w:tcPr>
          <w:p>
            <w:pPr>
              <w:pStyle w:val="Normal"/>
              <w:widowControl w:val="false"/>
              <w:jc w:val="center"/>
              <w:rPr>
                <w:iCs/>
                <w:sz w:val="24"/>
                <w:szCs w:val="24"/>
              </w:rPr>
            </w:pPr>
            <w:r>
              <w:rPr>
                <w:iCs/>
                <w:sz w:val="24"/>
                <w:szCs w:val="24"/>
              </w:rPr>
            </w:r>
          </w:p>
        </w:tc>
        <w:tc>
          <w:tcPr>
            <w:tcW w:w="1701" w:type="dxa"/>
            <w:tcBorders>
              <w:left w:val="single" w:sz="4" w:space="0" w:color="000000"/>
              <w:bottom w:val="single" w:sz="4" w:space="0" w:color="000000"/>
              <w:right w:val="single" w:sz="4" w:space="0" w:color="000000"/>
            </w:tcBorders>
            <w:vAlign w:val="center"/>
          </w:tcPr>
          <w:p>
            <w:pPr>
              <w:pStyle w:val="Normal"/>
              <w:widowControl w:val="false"/>
              <w:rPr/>
            </w:pPr>
            <w:r>
              <w:rPr/>
            </w:r>
          </w:p>
        </w:tc>
        <w:tc>
          <w:tcPr>
            <w:tcW w:w="2551" w:type="dxa"/>
            <w:tcBorders>
              <w:left w:val="single" w:sz="4" w:space="0" w:color="000000"/>
              <w:bottom w:val="single" w:sz="4" w:space="0" w:color="000000"/>
              <w:right w:val="single" w:sz="4" w:space="0" w:color="000000"/>
            </w:tcBorders>
          </w:tcPr>
          <w:p>
            <w:pPr>
              <w:pStyle w:val="Normal"/>
              <w:widowControl w:val="false"/>
              <w:rPr>
                <w:iCs/>
                <w:sz w:val="24"/>
                <w:szCs w:val="24"/>
              </w:rPr>
            </w:pPr>
            <w:r>
              <w:rPr>
                <w:iCs/>
                <w:sz w:val="24"/>
                <w:szCs w:val="24"/>
              </w:rPr>
            </w:r>
          </w:p>
        </w:tc>
      </w:tr>
    </w:tbl>
    <w:p>
      <w:pPr>
        <w:pStyle w:val="Normal"/>
        <w:rPr>
          <w:sz w:val="24"/>
          <w:szCs w:val="24"/>
        </w:rPr>
      </w:pPr>
      <w:r>
        <w:rPr>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tbl>
      <w:tblPr>
        <w:tblW w:w="9815" w:type="dxa"/>
        <w:jc w:val="left"/>
        <w:tblInd w:w="-5" w:type="dxa"/>
        <w:tblLayout w:type="fixed"/>
        <w:tblCellMar>
          <w:top w:w="0" w:type="dxa"/>
          <w:left w:w="108" w:type="dxa"/>
          <w:bottom w:w="0" w:type="dxa"/>
          <w:right w:w="108" w:type="dxa"/>
        </w:tblCellMar>
        <w:tblLook w:noVBand="1" w:val="04a0" w:noHBand="0" w:lastColumn="0" w:firstColumn="1" w:lastRow="0" w:firstRow="1"/>
      </w:tblPr>
      <w:tblGrid>
        <w:gridCol w:w="4995"/>
        <w:gridCol w:w="4819"/>
      </w:tblGrid>
      <w:tr>
        <w:trPr/>
        <w:tc>
          <w:tcPr>
            <w:tcW w:w="499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sz w:val="24"/>
                <w:szCs w:val="24"/>
              </w:rPr>
            </w:pPr>
            <w:r>
              <w:rPr>
                <w:b/>
                <w:sz w:val="24"/>
                <w:szCs w:val="24"/>
              </w:rPr>
              <w:t>Покупатель:</w:t>
            </w:r>
          </w:p>
          <w:p>
            <w:pPr>
              <w:pStyle w:val="Normal"/>
              <w:widowControl w:val="false"/>
              <w:rPr>
                <w:b/>
                <w:sz w:val="24"/>
                <w:szCs w:val="24"/>
              </w:rPr>
            </w:pPr>
            <w:r>
              <w:rPr>
                <w:b/>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                                /</w:t>
            </w:r>
          </w:p>
          <w:p>
            <w:pPr>
              <w:pStyle w:val="Normal"/>
              <w:widowControl w:val="false"/>
              <w:rPr>
                <w:sz w:val="24"/>
                <w:szCs w:val="24"/>
              </w:rPr>
            </w:pPr>
            <w:r>
              <w:rPr>
                <w:sz w:val="24"/>
                <w:szCs w:val="24"/>
              </w:rPr>
            </w:r>
          </w:p>
        </w:tc>
        <w:tc>
          <w:tcPr>
            <w:tcW w:w="48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left="720" w:firstLine="34"/>
              <w:rPr>
                <w:b/>
                <w:sz w:val="24"/>
                <w:szCs w:val="24"/>
              </w:rPr>
            </w:pPr>
            <w:r>
              <w:rPr>
                <w:b/>
                <w:sz w:val="24"/>
                <w:szCs w:val="24"/>
              </w:rPr>
              <w:t>Поставщик:</w:t>
            </w:r>
          </w:p>
          <w:p>
            <w:pPr>
              <w:pStyle w:val="Normal"/>
              <w:widowControl w:val="false"/>
              <w:ind w:left="720" w:firstLine="34"/>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                             /</w:t>
            </w:r>
          </w:p>
          <w:p>
            <w:pPr>
              <w:pStyle w:val="Normal"/>
              <w:widowControl w:val="false"/>
              <w:ind w:left="720" w:firstLine="33"/>
              <w:rPr>
                <w:b/>
                <w:sz w:val="24"/>
                <w:szCs w:val="24"/>
              </w:rPr>
            </w:pPr>
            <w:r>
              <w:rPr>
                <w:b/>
                <w:sz w:val="24"/>
                <w:szCs w:val="24"/>
              </w:rPr>
            </w:r>
          </w:p>
          <w:p>
            <w:pPr>
              <w:pStyle w:val="Normal"/>
              <w:widowControl w:val="false"/>
              <w:ind w:left="720" w:firstLine="33"/>
              <w:rPr>
                <w:b/>
                <w:sz w:val="24"/>
                <w:szCs w:val="24"/>
              </w:rPr>
            </w:pPr>
            <w:r>
              <w:rPr>
                <w:b/>
                <w:sz w:val="24"/>
                <w:szCs w:val="24"/>
              </w:rPr>
            </w:r>
          </w:p>
        </w:tc>
      </w:tr>
    </w:tbl>
    <w:p>
      <w:pPr>
        <w:pStyle w:val="Normal"/>
        <w:rPr>
          <w:bCs/>
          <w:sz w:val="24"/>
          <w:szCs w:val="24"/>
        </w:rPr>
      </w:pPr>
      <w:r>
        <w:rPr>
          <w:bCs/>
          <w:sz w:val="24"/>
          <w:szCs w:val="24"/>
        </w:rPr>
      </w:r>
    </w:p>
    <w:p>
      <w:pPr>
        <w:pStyle w:val="Normal"/>
        <w:widowControl/>
        <w:rPr>
          <w:bCs/>
          <w:sz w:val="24"/>
          <w:szCs w:val="24"/>
        </w:rPr>
      </w:pPr>
      <w:r>
        <w:rPr>
          <w:bCs/>
          <w:sz w:val="24"/>
          <w:szCs w:val="24"/>
        </w:rPr>
      </w:r>
      <w:r>
        <w:br w:type="page"/>
      </w:r>
    </w:p>
    <w:p>
      <w:pPr>
        <w:pStyle w:val="Normal"/>
        <w:ind w:firstLine="6237"/>
        <w:jc w:val="right"/>
        <w:rPr>
          <w:sz w:val="24"/>
          <w:szCs w:val="24"/>
        </w:rPr>
      </w:pPr>
      <w:r>
        <w:rPr>
          <w:sz w:val="24"/>
          <w:szCs w:val="24"/>
        </w:rPr>
      </w:r>
    </w:p>
    <w:p>
      <w:pPr>
        <w:pStyle w:val="Normal"/>
        <w:ind w:firstLine="6237"/>
        <w:jc w:val="right"/>
        <w:rPr>
          <w:sz w:val="24"/>
          <w:szCs w:val="24"/>
        </w:rPr>
      </w:pPr>
      <w:r>
        <w:rPr>
          <w:sz w:val="24"/>
          <w:szCs w:val="24"/>
        </w:rPr>
        <w:t>Приложение № 3</w:t>
      </w:r>
    </w:p>
    <w:p>
      <w:pPr>
        <w:pStyle w:val="Normal"/>
        <w:ind w:left="720" w:firstLine="6237"/>
        <w:jc w:val="right"/>
        <w:rPr>
          <w:sz w:val="24"/>
          <w:szCs w:val="24"/>
        </w:rPr>
      </w:pPr>
      <w:r>
        <w:rPr>
          <w:sz w:val="24"/>
          <w:szCs w:val="24"/>
        </w:rPr>
        <w:t>к Договору поставки</w:t>
      </w:r>
    </w:p>
    <w:p>
      <w:pPr>
        <w:pStyle w:val="Normal"/>
        <w:ind w:left="720" w:firstLine="5954"/>
        <w:jc w:val="right"/>
        <w:rPr>
          <w:sz w:val="24"/>
          <w:szCs w:val="24"/>
        </w:rPr>
      </w:pPr>
      <w:r>
        <w:rPr>
          <w:sz w:val="24"/>
          <w:szCs w:val="24"/>
        </w:rPr>
        <w:t xml:space="preserve">№ </w:t>
      </w:r>
      <w:r>
        <w:rPr>
          <w:sz w:val="24"/>
          <w:szCs w:val="24"/>
        </w:rPr>
        <w:t xml:space="preserve">1350--2026                                   </w:t>
      </w:r>
    </w:p>
    <w:p>
      <w:pPr>
        <w:pStyle w:val="Normal"/>
        <w:ind w:left="720" w:firstLine="5529"/>
        <w:jc w:val="right"/>
        <w:rPr>
          <w:sz w:val="24"/>
          <w:szCs w:val="24"/>
        </w:rPr>
      </w:pPr>
      <w:r>
        <w:rPr>
          <w:sz w:val="24"/>
          <w:szCs w:val="24"/>
        </w:rPr>
        <w:t>«____» _____________2026 г.</w:t>
      </w:r>
    </w:p>
    <w:p>
      <w:pPr>
        <w:pStyle w:val="Normal"/>
        <w:ind w:left="720" w:firstLine="6237"/>
        <w:jc w:val="right"/>
        <w:rPr>
          <w:bCs/>
          <w:sz w:val="24"/>
          <w:szCs w:val="24"/>
        </w:rPr>
      </w:pPr>
      <w:r>
        <w:rPr>
          <w:sz w:val="24"/>
          <w:szCs w:val="24"/>
        </w:rPr>
        <w:t xml:space="preserve"> </w:t>
      </w:r>
    </w:p>
    <w:p>
      <w:pPr>
        <w:pStyle w:val="Normal"/>
        <w:widowControl/>
        <w:shd w:val="clear" w:color="auto" w:fill="FFFFFF"/>
        <w:tabs>
          <w:tab w:val="clear" w:pos="708"/>
          <w:tab w:val="left" w:pos="1418" w:leader="none"/>
        </w:tabs>
        <w:spacing w:before="0" w:after="0"/>
        <w:ind w:left="720" w:firstLine="6237"/>
        <w:contextualSpacing/>
        <w:jc w:val="center"/>
        <w:rPr>
          <w:bCs/>
          <w:sz w:val="24"/>
          <w:szCs w:val="24"/>
        </w:rPr>
      </w:pPr>
      <w:r>
        <w:rPr>
          <w:bCs/>
          <w:sz w:val="24"/>
          <w:szCs w:val="24"/>
        </w:rPr>
      </w:r>
    </w:p>
    <w:p>
      <w:pPr>
        <w:pStyle w:val="Normal"/>
        <w:widowControl/>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5" w:type="dxa"/>
        <w:tblLayout w:type="fixed"/>
        <w:tblCellMar>
          <w:top w:w="0" w:type="dxa"/>
          <w:left w:w="108" w:type="dxa"/>
          <w:bottom w:w="0" w:type="dxa"/>
          <w:right w:w="108" w:type="dxa"/>
        </w:tblCellMar>
        <w:tblLook w:noVBand="0" w:val="01e0" w:noHBand="0" w:lastColumn="1" w:firstColumn="1" w:lastRow="1" w:firstRow="1"/>
      </w:tblPr>
      <w:tblGrid>
        <w:gridCol w:w="3565"/>
        <w:gridCol w:w="5789"/>
      </w:tblGrid>
      <w:tr>
        <w:trPr/>
        <w:tc>
          <w:tcPr>
            <w:tcW w:w="356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789"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56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 Нарушение правил пожарной безопасности (ППБ):</w:t>
            </w:r>
          </w:p>
        </w:tc>
        <w:tc>
          <w:tcPr>
            <w:tcW w:w="5789"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56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1.1. Нарушение ППБ без возникновения пожара</w:t>
            </w:r>
          </w:p>
          <w:p>
            <w:pPr>
              <w:pStyle w:val="Normal"/>
              <w:widowControl w:val="false"/>
              <w:rPr>
                <w:b/>
                <w:sz w:val="24"/>
                <w:szCs w:val="24"/>
              </w:rPr>
            </w:pPr>
            <w:r>
              <w:rPr>
                <w:b/>
                <w:sz w:val="24"/>
                <w:szCs w:val="24"/>
              </w:rPr>
            </w:r>
          </w:p>
        </w:tc>
        <w:tc>
          <w:tcPr>
            <w:tcW w:w="5789"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25 000 (двадцать пять тысяч) рублей за каждый случай нарушения.</w:t>
            </w:r>
          </w:p>
          <w:p>
            <w:pPr>
              <w:pStyle w:val="Normal"/>
              <w:widowControl w:val="false"/>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56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789"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50 000 (пятьдесят тысяч) рублей за каждый случай нарушения.</w:t>
            </w:r>
          </w:p>
          <w:p>
            <w:pPr>
              <w:pStyle w:val="Normal"/>
              <w:widowControl w:val="false"/>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56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789"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250 000 (двести пятьдесят тысяч) рублей за каждый случай нарушения.</w:t>
            </w:r>
          </w:p>
        </w:tc>
      </w:tr>
      <w:tr>
        <w:trPr/>
        <w:tc>
          <w:tcPr>
            <w:tcW w:w="356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789"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- 50 000 (пятьдесят тысяч) рублей за каждый случай нарушения;</w:t>
            </w:r>
          </w:p>
          <w:p>
            <w:pPr>
              <w:pStyle w:val="Normal"/>
              <w:widowControl w:val="false"/>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sz w:val="24"/>
          <w:szCs w:val="24"/>
        </w:rPr>
      </w:pPr>
      <w:r>
        <w:rPr>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tbl>
      <w:tblPr>
        <w:tblW w:w="9815" w:type="dxa"/>
        <w:jc w:val="left"/>
        <w:tblInd w:w="-5" w:type="dxa"/>
        <w:tblLayout w:type="fixed"/>
        <w:tblCellMar>
          <w:top w:w="0" w:type="dxa"/>
          <w:left w:w="108" w:type="dxa"/>
          <w:bottom w:w="0" w:type="dxa"/>
          <w:right w:w="108" w:type="dxa"/>
        </w:tblCellMar>
        <w:tblLook w:noVBand="1" w:val="04a0" w:noHBand="0" w:lastColumn="0" w:firstColumn="1" w:lastRow="0" w:firstRow="1"/>
      </w:tblPr>
      <w:tblGrid>
        <w:gridCol w:w="4995"/>
        <w:gridCol w:w="4819"/>
      </w:tblGrid>
      <w:tr>
        <w:trPr/>
        <w:tc>
          <w:tcPr>
            <w:tcW w:w="499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sz w:val="24"/>
                <w:szCs w:val="24"/>
              </w:rPr>
            </w:pPr>
            <w:r>
              <w:rPr>
                <w:b/>
                <w:sz w:val="24"/>
                <w:szCs w:val="24"/>
              </w:rPr>
              <w:t>Покупатель:</w:t>
            </w:r>
          </w:p>
          <w:p>
            <w:pPr>
              <w:pStyle w:val="Normal"/>
              <w:widowControl w:val="false"/>
              <w:rPr>
                <w:b/>
                <w:sz w:val="24"/>
                <w:szCs w:val="24"/>
              </w:rPr>
            </w:pPr>
            <w:r>
              <w:rPr>
                <w:b/>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                                /</w:t>
            </w:r>
          </w:p>
          <w:p>
            <w:pPr>
              <w:pStyle w:val="Normal"/>
              <w:widowControl w:val="false"/>
              <w:rPr>
                <w:sz w:val="24"/>
                <w:szCs w:val="24"/>
              </w:rPr>
            </w:pPr>
            <w:r>
              <w:rPr>
                <w:sz w:val="24"/>
                <w:szCs w:val="24"/>
              </w:rPr>
            </w:r>
          </w:p>
        </w:tc>
        <w:tc>
          <w:tcPr>
            <w:tcW w:w="48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left="720" w:firstLine="34"/>
              <w:rPr>
                <w:b/>
                <w:sz w:val="24"/>
                <w:szCs w:val="24"/>
              </w:rPr>
            </w:pPr>
            <w:r>
              <w:rPr>
                <w:b/>
                <w:sz w:val="24"/>
                <w:szCs w:val="24"/>
              </w:rPr>
              <w:t>Поставщик:</w:t>
            </w:r>
          </w:p>
          <w:p>
            <w:pPr>
              <w:pStyle w:val="Normal"/>
              <w:widowControl w:val="false"/>
              <w:ind w:left="720" w:firstLine="34"/>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                             /</w:t>
            </w:r>
          </w:p>
          <w:p>
            <w:pPr>
              <w:pStyle w:val="Normal"/>
              <w:widowControl w:val="false"/>
              <w:ind w:left="720" w:firstLine="33"/>
              <w:rPr>
                <w:b/>
                <w:sz w:val="24"/>
                <w:szCs w:val="24"/>
              </w:rPr>
            </w:pPr>
            <w:r>
              <w:rPr>
                <w:b/>
                <w:sz w:val="24"/>
                <w:szCs w:val="24"/>
              </w:rPr>
            </w:r>
          </w:p>
          <w:p>
            <w:pPr>
              <w:pStyle w:val="Normal"/>
              <w:widowControl w:val="false"/>
              <w:ind w:left="720" w:firstLine="33"/>
              <w:rPr>
                <w:b/>
                <w:sz w:val="24"/>
                <w:szCs w:val="24"/>
              </w:rPr>
            </w:pPr>
            <w:r>
              <w:rPr>
                <w:b/>
                <w:sz w:val="24"/>
                <w:szCs w:val="24"/>
              </w:rPr>
            </w:r>
          </w:p>
        </w:tc>
      </w:tr>
    </w:tbl>
    <w:p>
      <w:pPr>
        <w:pStyle w:val="Normal"/>
        <w:rPr>
          <w:bCs/>
          <w:sz w:val="24"/>
          <w:szCs w:val="24"/>
        </w:rPr>
      </w:pPr>
      <w:r>
        <w:rPr/>
      </w:r>
    </w:p>
    <w:sectPr>
      <w:headerReference w:type="default" r:id="rId8"/>
      <w:headerReference w:type="first" r:id="rId9"/>
      <w:footerReference w:type="default" r:id="rId10"/>
      <w:footerReference w:type="first" r:id="rId11"/>
      <w:footnotePr>
        <w:numFmt w:val="decimal"/>
        <w:numStart w:val="5"/>
      </w:footnotePr>
      <w:type w:val="nextPage"/>
      <w:pgSz w:w="11906" w:h="16838"/>
      <w:pgMar w:left="1418" w:right="1133" w:gutter="0" w:header="709" w:top="766" w:footer="709" w:bottom="156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mbria">
    <w:charset w:val="01"/>
    <w:family w:val="roman"/>
    <w:pitch w:val="variable"/>
  </w:font>
  <w:font w:name="Segoe UI">
    <w:charset w:val="01"/>
    <w:family w:val="roman"/>
    <w:pitch w:val="variable"/>
  </w:font>
  <w:font w:name="Liberation Sans">
    <w:altName w:val="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11</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2"/>
        <w:szCs w:val="22"/>
      </w:rPr>
    </w:pPr>
    <w:r>
      <w:rPr>
        <w:sz w:val="22"/>
        <w:szCs w:val="22"/>
      </w:rPr>
      <w:t>23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0"/>
        </w:rPr>
        <w:footnoteRef/>
      </w:r>
      <w:r>
        <w:rPr/>
        <w:t xml:space="preserve"> </w:t>
      </w:r>
      <w:r>
        <w:rPr/>
        <w:t xml:space="preserve">Включается в Договор в случае, если перемещение Товара осуществляется Поставщиком до подписания Сторонами </w:t>
      </w:r>
      <w:r>
        <w:rPr>
          <w:sz w:val="18"/>
          <w:szCs w:val="18"/>
        </w:rPr>
        <w:t>УПД.</w:t>
      </w:r>
    </w:p>
  </w:footnote>
  <w:footnote w:id="3">
    <w:p>
      <w:pPr>
        <w:pStyle w:val="FootnoteText"/>
        <w:jc w:val="both"/>
        <w:rPr/>
      </w:pPr>
      <w:r>
        <w:rPr>
          <w:rStyle w:val="Style10"/>
        </w:rPr>
        <w:footnoteRef/>
      </w:r>
      <w:r>
        <w:rPr/>
        <w:t xml:space="preserve"> </w:t>
      </w:r>
      <w:r>
        <w:rPr/>
        <w:t>Включается в Договор в случае, если перемещение Товара осуществляется Поставщиком до подписания Сторонами УПД.</w:t>
      </w:r>
    </w:p>
  </w:footnote>
  <w:footnote w:id="4">
    <w:p>
      <w:pPr>
        <w:pStyle w:val="FootnoteText"/>
        <w:jc w:val="both"/>
        <w:rPr/>
      </w:pPr>
      <w:r>
        <w:rPr>
          <w:rStyle w:val="Style10"/>
        </w:rPr>
        <w:footnoteRef/>
      </w:r>
      <w:r>
        <w:rPr/>
        <w:t xml:space="preserve"> </w:t>
      </w:r>
      <w:r>
        <w:rPr/>
        <w:t>В соответствии с Общероссийским классификатором стран мира (утв. Постановлением Госстандарта России от 14.12.2001 N 529-ст.).</w:t>
      </w:r>
    </w:p>
  </w:footnote>
  <w:footnote w:id="5">
    <w:p>
      <w:pPr>
        <w:pStyle w:val="FootnoteText"/>
        <w:jc w:val="both"/>
        <w:rPr/>
      </w:pPr>
      <w:r>
        <w:rPr>
          <w:rStyle w:val="Style10"/>
        </w:rPr>
        <w:footnoteRef/>
      </w:r>
      <w:r>
        <w:rPr>
          <w:highlight w:val="lightGray"/>
        </w:rPr>
        <w:t xml:space="preserve"> </w:t>
      </w:r>
      <w:r>
        <w:rPr>
          <w:bCs/>
        </w:rPr>
        <w:t>Порядковый номер (номера) реестровой записи (реестровых записей), под которой (которыми) Оборудование включено в реестры, предусмотренные пунктом 3 Постановления Правительства РФ от23.12.2024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rFonts w:eastAsia="Calibri" w:eastAsiaTheme="minorHAnsi"/>
          <w:lang w:eastAsia="en-US"/>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left" w:pos="1875" w:leader="none"/>
        <w:tab w:val="right" w:pos="8306" w:leader="none"/>
      </w:tabs>
      <w:jc w:val="right"/>
      <w:rPr/>
    </w:pPr>
    <w:r>
      <w:rPr/>
      <w:t xml:space="preserve">                                                                                                                                                </w:t>
    </w:r>
    <w:r>
      <w:rPr/>
      <w:t>ТФД № 2.2.2.</w:t>
      <w:tab/>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ТФД № 2.2.2.</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855"/>
        </w:tabs>
        <w:ind w:left="1639" w:hanging="504"/>
      </w:pPr>
      <w:rPr>
        <w:b w:val="false"/>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430"/>
        </w:tabs>
        <w:ind w:left="1214" w:hanging="504"/>
      </w:pPr>
      <w:rPr>
        <w:b w:val="false"/>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writeProtection w:cryptProviderType="rsaAES" w:cryptAlgorithmClass="hash" w:cryptAlgorithmType="typeAny" w:cryptAlgorithmSid="14" w:cryptSpinCount="100000" w:hash="cBBBh85u6/+iQiouULIDSbaaonEEV/7KsMklGUHVEFWzknbxiHDHBSsKVgY88wDVbx1nDoBKfMmvWgT0xVuKYw==" w:salt="gvgmcMfhWer3AU55NaZiaQ=="/>
  <w:zoom w:percent="100"/>
  <w:revisionView w:insDel="0" w:formatting="0"/>
  <w:defaultTabStop w:val="708"/>
  <w:autoHyphenation w:val="true"/>
  <w:footnotePr>
    <w:numFmt w:val="decimal"/>
    <w:numStart w:val="5"/>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62fe7"/>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3">
    <w:name w:val="Heading 3"/>
    <w:basedOn w:val="Normal"/>
    <w:next w:val="Normal"/>
    <w:link w:val="3"/>
    <w:qFormat/>
    <w:rsid w:val="00362fe7"/>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3" w:customStyle="1">
    <w:name w:val="Заголовок 3 Знак"/>
    <w:basedOn w:val="DefaultParagraphFont"/>
    <w:qFormat/>
    <w:rsid w:val="00362fe7"/>
    <w:rPr>
      <w:rFonts w:ascii="Cambria" w:hAnsi="Cambria" w:eastAsia="Times New Roman" w:cs="Times New Roman"/>
      <w:b/>
      <w:bCs/>
      <w:color w:val="4F81BD"/>
      <w:sz w:val="20"/>
      <w:szCs w:val="20"/>
      <w:lang w:val="x-none" w:eastAsia="x-none"/>
    </w:rPr>
  </w:style>
  <w:style w:type="character" w:styleId="Style8" w:customStyle="1">
    <w:name w:val="Нижний колонтитул Знак"/>
    <w:basedOn w:val="DefaultParagraphFont"/>
    <w:uiPriority w:val="99"/>
    <w:qFormat/>
    <w:rsid w:val="00362fe7"/>
    <w:rPr>
      <w:rFonts w:ascii="Times New Roman" w:hAnsi="Times New Roman" w:eastAsia="Times New Roman" w:cs="Times New Roman"/>
      <w:sz w:val="20"/>
      <w:szCs w:val="20"/>
      <w:lang w:eastAsia="ru-RU"/>
    </w:rPr>
  </w:style>
  <w:style w:type="character" w:styleId="Style9" w:customStyle="1">
    <w:name w:val="Текст сноски Знак"/>
    <w:basedOn w:val="DefaultParagraphFont"/>
    <w:uiPriority w:val="99"/>
    <w:qFormat/>
    <w:rsid w:val="00362fe7"/>
    <w:rPr>
      <w:rFonts w:ascii="Times New Roman" w:hAnsi="Times New Roman" w:eastAsia="Times New Roman" w:cs="Times New Roman"/>
      <w:sz w:val="20"/>
      <w:szCs w:val="20"/>
      <w:lang w:eastAsia="ru-RU"/>
    </w:rPr>
  </w:style>
  <w:style w:type="character" w:styleId="Style10" w:customStyle="1">
    <w:name w:val="Символ сноски"/>
    <w:uiPriority w:val="99"/>
    <w:qFormat/>
    <w:rsid w:val="00362fe7"/>
    <w:rPr>
      <w:vertAlign w:val="superscript"/>
    </w:rPr>
  </w:style>
  <w:style w:type="character" w:styleId="FootnoteReference">
    <w:name w:val="Footnote Reference"/>
    <w:rPr>
      <w:vertAlign w:val="superscript"/>
    </w:rPr>
  </w:style>
  <w:style w:type="character" w:styleId="Style11" w:customStyle="1">
    <w:name w:val="Верхний колонтитул Знак"/>
    <w:basedOn w:val="DefaultParagraphFont"/>
    <w:qFormat/>
    <w:rsid w:val="00362fe7"/>
    <w:rPr>
      <w:rFonts w:ascii="Times New Roman" w:hAnsi="Times New Roman" w:eastAsia="Times New Roman" w:cs="Times New Roman"/>
      <w:sz w:val="20"/>
      <w:szCs w:val="20"/>
      <w:lang w:eastAsia="ru-RU"/>
    </w:rPr>
  </w:style>
  <w:style w:type="character" w:styleId="Style12" w:customStyle="1">
    <w:name w:val="Абзац списка Знак"/>
    <w:link w:val="ListParagraph"/>
    <w:qFormat/>
    <w:locked/>
    <w:rsid w:val="00362fe7"/>
    <w:rPr>
      <w:rFonts w:ascii="Times New Roman" w:hAnsi="Times New Roman" w:eastAsia="Times New Roman" w:cs="Times New Roman"/>
      <w:sz w:val="20"/>
      <w:szCs w:val="20"/>
      <w:lang w:eastAsia="ru-RU"/>
    </w:rPr>
  </w:style>
  <w:style w:type="character" w:styleId="1" w:customStyle="1">
    <w:name w:val="Нижний колонтитул Знак1"/>
    <w:basedOn w:val="DefaultParagraphFont"/>
    <w:uiPriority w:val="99"/>
    <w:semiHidden/>
    <w:qFormat/>
    <w:rsid w:val="00362fe7"/>
    <w:rPr>
      <w:rFonts w:ascii="Times New Roman" w:hAnsi="Times New Roman" w:eastAsia="Times New Roman" w:cs="Times New Roman"/>
      <w:sz w:val="20"/>
      <w:szCs w:val="20"/>
      <w:lang w:eastAsia="ru-RU"/>
    </w:rPr>
  </w:style>
  <w:style w:type="character" w:styleId="11" w:customStyle="1">
    <w:name w:val="Текст сноски Знак1"/>
    <w:basedOn w:val="DefaultParagraphFont"/>
    <w:uiPriority w:val="99"/>
    <w:semiHidden/>
    <w:qFormat/>
    <w:rsid w:val="00362fe7"/>
    <w:rPr>
      <w:rFonts w:ascii="Times New Roman" w:hAnsi="Times New Roman" w:eastAsia="Times New Roman" w:cs="Times New Roman"/>
      <w:sz w:val="20"/>
      <w:szCs w:val="20"/>
      <w:lang w:eastAsia="ru-RU"/>
    </w:rPr>
  </w:style>
  <w:style w:type="character" w:styleId="12" w:customStyle="1">
    <w:name w:val="Верхний колонтитул Знак1"/>
    <w:basedOn w:val="DefaultParagraphFont"/>
    <w:uiPriority w:val="99"/>
    <w:semiHidden/>
    <w:qFormat/>
    <w:rsid w:val="00362fe7"/>
    <w:rPr>
      <w:rFonts w:ascii="Times New Roman" w:hAnsi="Times New Roman" w:eastAsia="Times New Roman" w:cs="Times New Roman"/>
      <w:sz w:val="20"/>
      <w:szCs w:val="20"/>
      <w:lang w:eastAsia="ru-RU"/>
    </w:rPr>
  </w:style>
  <w:style w:type="character" w:styleId="Hyperlink">
    <w:name w:val="Hyperlink"/>
    <w:rPr>
      <w:color w:val="000080"/>
      <w:u w:val="single"/>
    </w:rPr>
  </w:style>
  <w:style w:type="character" w:styleId="Style13" w:customStyle="1">
    <w:name w:val="Символ концевой сноски"/>
    <w:qFormat/>
    <w:rPr>
      <w:vertAlign w:val="superscript"/>
    </w:rPr>
  </w:style>
  <w:style w:type="character" w:styleId="EndnoteReference">
    <w:name w:val="Endnote Reference"/>
    <w:rPr>
      <w:vertAlign w:val="superscript"/>
    </w:rPr>
  </w:style>
  <w:style w:type="character" w:styleId="Linenumber1" w:customStyle="1">
    <w:name w:val="line number1"/>
    <w:qFormat/>
    <w:rPr/>
  </w:style>
  <w:style w:type="character" w:styleId="13" w:customStyle="1">
    <w:name w:val="Знак сноски1"/>
    <w:qFormat/>
    <w:rsid w:val="001b50d2"/>
    <w:rPr>
      <w:vertAlign w:val="superscript"/>
    </w:rPr>
  </w:style>
  <w:style w:type="character" w:styleId="Style14" w:customStyle="1">
    <w:name w:val="Текст концевой сноски Знак"/>
    <w:basedOn w:val="DefaultParagraphFont"/>
    <w:uiPriority w:val="99"/>
    <w:semiHidden/>
    <w:qFormat/>
    <w:rsid w:val="001b50d2"/>
    <w:rPr>
      <w:rFonts w:ascii="Times New Roman" w:hAnsi="Times New Roman" w:eastAsia="Times New Roman" w:cs="Times New Roman"/>
      <w:sz w:val="20"/>
      <w:szCs w:val="20"/>
      <w:lang w:eastAsia="ru-RU"/>
    </w:rPr>
  </w:style>
  <w:style w:type="character" w:styleId="Linenumber2" w:customStyle="1">
    <w:name w:val="line number2"/>
    <w:qFormat/>
    <w:rPr/>
  </w:style>
  <w:style w:type="character" w:styleId="Linenumber3" w:customStyle="1">
    <w:name w:val="line number3"/>
    <w:qFormat/>
    <w:rPr/>
  </w:style>
  <w:style w:type="character" w:styleId="Style15" w:customStyle="1">
    <w:name w:val="Текст примечания Знак"/>
    <w:basedOn w:val="DefaultParagraphFont"/>
    <w:link w:val="Annotationtext"/>
    <w:uiPriority w:val="99"/>
    <w:semiHidden/>
    <w:qFormat/>
    <w:rPr>
      <w:rFonts w:ascii="Times New Roman" w:hAnsi="Times New Roman" w:eastAsia="Times New Roman" w:cs="Times New Roman"/>
      <w:sz w:val="20"/>
      <w:szCs w:val="20"/>
      <w:lang w:eastAsia="ru-RU"/>
    </w:rPr>
  </w:style>
  <w:style w:type="character" w:styleId="Annotationreference">
    <w:name w:val="annotation reference"/>
    <w:basedOn w:val="DefaultParagraphFont"/>
    <w:uiPriority w:val="99"/>
    <w:semiHidden/>
    <w:unhideWhenUsed/>
    <w:qFormat/>
    <w:rPr>
      <w:sz w:val="16"/>
      <w:szCs w:val="16"/>
    </w:rPr>
  </w:style>
  <w:style w:type="character" w:styleId="Style16" w:customStyle="1">
    <w:name w:val="Текст выноски Знак"/>
    <w:basedOn w:val="DefaultParagraphFont"/>
    <w:link w:val="BalloonText"/>
    <w:uiPriority w:val="99"/>
    <w:semiHidden/>
    <w:qFormat/>
    <w:rsid w:val="00e54d68"/>
    <w:rPr>
      <w:rFonts w:ascii="Segoe UI" w:hAnsi="Segoe UI" w:eastAsia="Times New Roman" w:cs="Segoe UI"/>
      <w:sz w:val="18"/>
      <w:szCs w:val="18"/>
      <w:lang w:eastAsia="ru-RU"/>
    </w:rPr>
  </w:style>
  <w:style w:type="character" w:styleId="Linenumber4">
    <w:name w:val="line number4"/>
    <w:qFormat/>
    <w:rPr/>
  </w:style>
  <w:style w:type="character" w:styleId="Strong">
    <w:name w:val="Strong"/>
    <w:qFormat/>
    <w:rsid w:val="00be1fef"/>
    <w:rPr>
      <w:b/>
      <w:bCs/>
    </w:rPr>
  </w:style>
  <w:style w:type="character" w:styleId="Strong2" w:customStyle="1">
    <w:name w:val="Strong2"/>
    <w:qFormat/>
    <w:rsid w:val="00be1fef"/>
    <w:rPr>
      <w:b/>
      <w:bCs/>
    </w:rPr>
  </w:style>
  <w:style w:type="character" w:styleId="LineNumber">
    <w:name w:val="Line Number"/>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rFonts w:cs="Arial Unicode MS"/>
      <w:i/>
      <w:iCs/>
      <w:sz w:val="24"/>
      <w:szCs w:val="24"/>
    </w:rPr>
  </w:style>
  <w:style w:type="paragraph" w:styleId="Caption111" w:customStyle="1">
    <w:name w:val="caption111"/>
    <w:basedOn w:val="Normal"/>
    <w:qFormat/>
    <w:pPr>
      <w:suppressLineNumbers/>
      <w:spacing w:before="120" w:after="120"/>
    </w:pPr>
    <w:rPr>
      <w:rFonts w:cs="Arial Unicode MS"/>
      <w:i/>
      <w:iCs/>
      <w:sz w:val="24"/>
      <w:szCs w:val="24"/>
    </w:rPr>
  </w:style>
  <w:style w:type="paragraph" w:styleId="Caption1111" w:customStyle="1">
    <w:name w:val="caption1111"/>
    <w:basedOn w:val="Normal"/>
    <w:qFormat/>
    <w:pPr>
      <w:suppressLineNumbers/>
      <w:spacing w:before="120" w:after="120"/>
    </w:pPr>
    <w:rPr>
      <w:i/>
      <w:iCs/>
      <w:sz w:val="24"/>
      <w:szCs w:val="24"/>
    </w:rPr>
  </w:style>
  <w:style w:type="paragraph" w:styleId="Caption11111" w:customStyle="1">
    <w:name w:val="caption11111"/>
    <w:basedOn w:val="Normal"/>
    <w:qFormat/>
    <w:pPr>
      <w:suppressLineNumbers/>
      <w:spacing w:before="120" w:after="120"/>
    </w:pPr>
    <w:rPr>
      <w:rFonts w:cs="Arial Unicode MS"/>
      <w:i/>
      <w:iCs/>
      <w:sz w:val="24"/>
      <w:szCs w:val="24"/>
    </w:rPr>
  </w:style>
  <w:style w:type="paragraph" w:styleId="Caption111111" w:customStyle="1">
    <w:name w:val="caption111111"/>
    <w:basedOn w:val="Normal"/>
    <w:qFormat/>
    <w:pPr>
      <w:suppressLineNumbers/>
      <w:spacing w:before="120" w:after="120"/>
    </w:pPr>
    <w:rPr>
      <w:i/>
      <w:iCs/>
      <w:sz w:val="24"/>
      <w:szCs w:val="24"/>
    </w:rPr>
  </w:style>
  <w:style w:type="paragraph" w:styleId="Caption1111111" w:customStyle="1">
    <w:name w:val="caption1111111"/>
    <w:basedOn w:val="Normal"/>
    <w:qFormat/>
    <w:pPr>
      <w:suppressLineNumbers/>
      <w:spacing w:before="120" w:after="120"/>
    </w:pPr>
    <w:rPr>
      <w:i/>
      <w:iCs/>
      <w:sz w:val="24"/>
      <w:szCs w:val="24"/>
    </w:rPr>
  </w:style>
  <w:style w:type="paragraph" w:styleId="Caption11111111" w:customStyle="1">
    <w:name w:val="caption11111111"/>
    <w:basedOn w:val="Normal"/>
    <w:qFormat/>
    <w:pPr>
      <w:suppressLineNumbers/>
      <w:spacing w:before="120" w:after="120"/>
    </w:pPr>
    <w:rPr>
      <w:rFonts w:cs="FreeSans"/>
      <w:i/>
      <w:iCs/>
      <w:sz w:val="24"/>
      <w:szCs w:val="24"/>
    </w:rPr>
  </w:style>
  <w:style w:type="paragraph" w:styleId="Caption111111111" w:customStyle="1">
    <w:name w:val="caption111111111"/>
    <w:basedOn w:val="Normal"/>
    <w:qFormat/>
    <w:pPr>
      <w:suppressLineNumbers/>
      <w:spacing w:before="120" w:after="120"/>
    </w:pPr>
    <w:rPr>
      <w:i/>
      <w:iCs/>
      <w:sz w:val="24"/>
      <w:szCs w:val="24"/>
    </w:rPr>
  </w:style>
  <w:style w:type="paragraph" w:styleId="Caption1111111111" w:customStyle="1">
    <w:name w:val="caption1111111111"/>
    <w:basedOn w:val="Normal"/>
    <w:qFormat/>
    <w:pPr>
      <w:suppressLineNumbers/>
      <w:spacing w:before="120" w:after="120"/>
    </w:pPr>
    <w:rPr>
      <w:i/>
      <w:iCs/>
      <w:sz w:val="24"/>
      <w:szCs w:val="24"/>
    </w:rPr>
  </w:style>
  <w:style w:type="paragraph" w:styleId="Caption11111111111" w:customStyle="1">
    <w:name w:val="caption11111111111"/>
    <w:basedOn w:val="Normal"/>
    <w:qFormat/>
    <w:pPr>
      <w:suppressLineNumbers/>
      <w:spacing w:before="120" w:after="120"/>
    </w:pPr>
    <w:rPr>
      <w:i/>
      <w:iCs/>
      <w:sz w:val="24"/>
      <w:szCs w:val="24"/>
    </w:rPr>
  </w:style>
  <w:style w:type="paragraph" w:styleId="Caption111111111111" w:customStyle="1">
    <w:name w:val="caption111111111111"/>
    <w:basedOn w:val="Normal"/>
    <w:qFormat/>
    <w:pPr>
      <w:suppressLineNumbers/>
      <w:spacing w:before="120" w:after="120"/>
    </w:pPr>
    <w:rPr>
      <w:i/>
      <w:iCs/>
      <w:sz w:val="24"/>
      <w:szCs w:val="24"/>
    </w:rPr>
  </w:style>
  <w:style w:type="paragraph" w:styleId="Style19" w:customStyle="1">
    <w:name w:val="Колонтитул"/>
    <w:basedOn w:val="Normal"/>
    <w:qFormat/>
    <w:pPr/>
    <w:rPr/>
  </w:style>
  <w:style w:type="paragraph" w:styleId="Footer">
    <w:name w:val="Footer"/>
    <w:basedOn w:val="Normal"/>
    <w:link w:val="Style8"/>
    <w:uiPriority w:val="99"/>
    <w:rsid w:val="00362fe7"/>
    <w:pPr>
      <w:tabs>
        <w:tab w:val="clear" w:pos="708"/>
        <w:tab w:val="center" w:pos="4677" w:leader="none"/>
        <w:tab w:val="right" w:pos="9355" w:leader="none"/>
      </w:tabs>
    </w:pPr>
    <w:rPr/>
  </w:style>
  <w:style w:type="paragraph" w:styleId="ListParagraph">
    <w:name w:val="List Paragraph"/>
    <w:basedOn w:val="Normal"/>
    <w:link w:val="Style12"/>
    <w:qFormat/>
    <w:rsid w:val="00362fe7"/>
    <w:pPr>
      <w:spacing w:before="0" w:after="0"/>
      <w:ind w:left="720" w:hanging="0"/>
      <w:contextualSpacing/>
    </w:pPr>
    <w:rPr/>
  </w:style>
  <w:style w:type="paragraph" w:styleId="FootnoteText">
    <w:name w:val="Footnote Text"/>
    <w:basedOn w:val="Normal"/>
    <w:link w:val="Style9"/>
    <w:uiPriority w:val="99"/>
    <w:rsid w:val="00362fe7"/>
    <w:pPr/>
    <w:rPr/>
  </w:style>
  <w:style w:type="paragraph" w:styleId="Header">
    <w:name w:val="Header"/>
    <w:basedOn w:val="Normal"/>
    <w:link w:val="Style11"/>
    <w:rsid w:val="00362fe7"/>
    <w:pPr>
      <w:tabs>
        <w:tab w:val="clear" w:pos="708"/>
        <w:tab w:val="center" w:pos="4677" w:leader="none"/>
        <w:tab w:val="right" w:pos="9355" w:leader="none"/>
      </w:tabs>
    </w:pPr>
    <w:rPr/>
  </w:style>
  <w:style w:type="paragraph" w:styleId="EndnoteText">
    <w:name w:val="Endnote Text"/>
    <w:basedOn w:val="Normal"/>
    <w:link w:val="Style14"/>
    <w:uiPriority w:val="99"/>
    <w:semiHidden/>
    <w:unhideWhenUsed/>
    <w:rsid w:val="001b50d2"/>
    <w:pPr/>
    <w:rPr/>
  </w:style>
  <w:style w:type="paragraph" w:styleId="Style20" w:customStyle="1">
    <w:name w:val="Таблица текст"/>
    <w:basedOn w:val="Normal"/>
    <w:qFormat/>
    <w:pPr>
      <w:spacing w:before="40" w:after="40"/>
      <w:ind w:left="57" w:right="57" w:hanging="0"/>
    </w:pPr>
    <w:rPr>
      <w:sz w:val="24"/>
    </w:rPr>
  </w:style>
  <w:style w:type="paragraph" w:styleId="Style21" w:customStyle="1">
    <w:name w:val="Содержимое таблицы"/>
    <w:basedOn w:val="Normal"/>
    <w:qFormat/>
    <w:pPr>
      <w:suppressLineNumbers/>
    </w:pPr>
    <w:rPr/>
  </w:style>
  <w:style w:type="paragraph" w:styleId="Style22" w:customStyle="1">
    <w:name w:val="Заголовок таблицы"/>
    <w:basedOn w:val="Style21"/>
    <w:qFormat/>
    <w:pPr>
      <w:jc w:val="center"/>
    </w:pPr>
    <w:rPr>
      <w:b/>
      <w:bCs/>
    </w:rPr>
  </w:style>
  <w:style w:type="paragraph" w:styleId="Annotationtext">
    <w:name w:val="annotation text"/>
    <w:basedOn w:val="Normal"/>
    <w:link w:val="Style15"/>
    <w:uiPriority w:val="99"/>
    <w:semiHidden/>
    <w:unhideWhenUsed/>
    <w:qFormat/>
    <w:pPr/>
    <w:rPr/>
  </w:style>
  <w:style w:type="paragraph" w:styleId="BalloonText">
    <w:name w:val="Balloon Text"/>
    <w:basedOn w:val="Normal"/>
    <w:link w:val="Style16"/>
    <w:uiPriority w:val="99"/>
    <w:semiHidden/>
    <w:unhideWhenUsed/>
    <w:qFormat/>
    <w:rsid w:val="00e54d68"/>
    <w:pPr/>
    <w:rPr>
      <w:rFonts w:ascii="Segoe UI" w:hAnsi="Segoe UI" w:cs="Segoe UI"/>
      <w:sz w:val="18"/>
      <w:szCs w:val="18"/>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48E6A-05B3-4CF1-8C6B-230425791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Application>AlterOffice/3.4.0.9$Linux_X86_64 LibreOffice_project/b8daf9e823b1a5463a2f48435ddc2e8696e7d4fc</Application>
  <AppVersion>15.0000</AppVersion>
  <Pages>19</Pages>
  <Words>6906</Words>
  <Characters>49205</Characters>
  <CharactersWithSpaces>56364</CharactersWithSpaces>
  <Paragraphs>322</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2026-10-07T07:28:00Z</dcterms:created>
  <dc:creator>Блохин Алексей Витальевич</dc:creator>
  <dc:description/>
  <dc:language>ru-RU</dc:language>
  <cp:lastModifiedBy>semenovsa@corp.gidroogk.com</cp:lastModifiedBy>
  <dcterms:modified xsi:type="dcterms:W3CDTF">2026-10-08T15:34:55Z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1</vt:bool>
  </property>
</Properties>
</file>