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Cs/>
          <w:iCs/>
        </w:rPr>
      </w:pPr>
      <w:r>
        <w:rPr>
          <w:rFonts w:eastAsia="Calibri"/>
          <w:b/>
          <w:bCs/>
          <w:iCs/>
        </w:rPr>
        <w:t xml:space="preserve"> </w:t>
      </w:r>
      <w:r>
        <w:rPr>
          <w:rFonts w:eastAsia="Calibri"/>
          <w:b/>
          <w:bCs/>
          <w:iCs/>
        </w:rPr>
        <w:t xml:space="preserve">ОКДП2 61.10.43.000 </w:t>
      </w:r>
      <w:r>
        <w:rPr>
          <w:rStyle w:val="Strong"/>
          <w:rFonts w:eastAsia="Calibri"/>
          <w:iCs/>
        </w:rPr>
        <w:t xml:space="preserve"> Услуги Internet для филиала АО «ДРСК» «Южно-Якутские электрические сети»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Cs/>
          <w:iCs/>
        </w:rPr>
      </w:pPr>
      <w:r>
        <w:rPr>
          <w:bCs/>
          <w:iCs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Cs/>
          <w:iCs/>
        </w:rPr>
      </w:pPr>
      <w:r>
        <w:rPr>
          <w:rStyle w:val="Strong"/>
          <w:rFonts w:eastAsia="Calibri"/>
          <w:iCs/>
        </w:rPr>
        <w:t xml:space="preserve"> </w:t>
      </w:r>
      <w:r>
        <w:rPr>
          <w:rStyle w:val="Strong"/>
          <w:rFonts w:eastAsia="Calibri"/>
          <w:iCs/>
        </w:rPr>
        <w:t>87201-ЭКСП ПРОД-2027-ДРСК-ЮЯЭС</w:t>
      </w:r>
    </w:p>
    <w:p>
      <w:pPr>
        <w:pStyle w:val="Normal"/>
        <w:jc w:val="center"/>
        <w:rPr>
          <w:rFonts w:eastAsia="Calibri"/>
          <w:b/>
          <w:bCs/>
          <w:iCs/>
          <w:sz w:val="26"/>
          <w:szCs w:val="26"/>
        </w:rPr>
      </w:pPr>
      <w:r>
        <w:rPr>
          <w:rFonts w:eastAsia="Calibri"/>
          <w:b/>
          <w:bCs/>
          <w:iCs/>
          <w:sz w:val="26"/>
          <w:szCs w:val="26"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rStyle w:val="Style13"/>
              <w:rFonts w:eastAsia="Calibri"/>
            </w:rPr>
            <w:instrText xml:space="preserve"> TOC \f \o "1-9" \h</w:instrText>
          </w:r>
          <w:r>
            <w:rPr>
              <w:rStyle w:val="Style13"/>
              <w:rFonts w:eastAsia="Calibri"/>
            </w:rPr>
            <w:fldChar w:fldCharType="separate"/>
          </w:r>
          <w:hyperlink w:anchor="_Toc162534500">
            <w:r>
              <w:rPr>
                <w:rStyle w:val="Style13"/>
                <w:rFonts w:eastAsia="Calibri"/>
              </w:rPr>
              <w:t>1.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1">
            <w:r>
              <w:rPr>
                <w:rStyle w:val="Style13"/>
                <w:rFonts w:eastAsia="Calibri"/>
                <w:iCs/>
              </w:rPr>
              <w:t>1.1.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2">
            <w:r>
              <w:rPr>
                <w:rStyle w:val="Style13"/>
                <w:rFonts w:eastAsia="Calibri"/>
                <w:iCs/>
              </w:rPr>
              <w:t>1.2.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3">
            <w:r>
              <w:rPr>
                <w:rStyle w:val="Style13"/>
                <w:rFonts w:eastAsia="Calibri"/>
                <w:iCs/>
              </w:rPr>
              <w:t>1.3.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5">
            <w:r>
              <w:rPr>
                <w:rStyle w:val="Style13"/>
                <w:rFonts w:eastAsia="Calibri"/>
                <w:iCs/>
              </w:rPr>
              <w:t>1.4.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534506">
            <w:r>
              <w:rPr>
                <w:rStyle w:val="Style13"/>
                <w:rFonts w:eastAsia="Calibri"/>
              </w:rPr>
              <w:t>2.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7">
            <w:r>
              <w:rPr>
                <w:rStyle w:val="Style13"/>
                <w:rFonts w:eastAsia="Calibri"/>
                <w:iCs/>
              </w:rPr>
              <w:t>2.1.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10">
            <w:r>
              <w:rPr>
                <w:rStyle w:val="Style13"/>
                <w:rFonts w:eastAsia="Calibri"/>
                <w:iCs/>
              </w:rPr>
              <w:t>2.2.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534513">
            <w:r>
              <w:rPr>
                <w:rStyle w:val="Style13"/>
                <w:rFonts w:eastAsia="Calibri"/>
              </w:rPr>
              <w:t>3.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Требования к документации по ценообразованию на этапе заключения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162534500"/>
      <w:bookmarkStart w:id="1" w:name="_Toc54643694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162534501"/>
      <w:bookmarkStart w:id="3" w:name="_Toc54643695"/>
      <w:bookmarkStart w:id="4" w:name="_Toc46743505"/>
      <w:r>
        <w:rPr/>
        <w:t>Обозначения и сокращения</w:t>
      </w:r>
      <w:bookmarkEnd w:id="2"/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ТКП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Технико-коммерческое предложение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СПК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Служебно-производственный комплекс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5" w:name="_Toc46743506"/>
      <w:bookmarkStart w:id="6" w:name="_Toc54643696"/>
      <w:bookmarkStart w:id="7" w:name="_Toc162534502"/>
      <w:r>
        <w:rPr/>
        <w:t>Наименование закупаемой продукции</w:t>
      </w:r>
      <w:bookmarkEnd w:id="5"/>
      <w:bookmarkEnd w:id="6"/>
      <w:bookmarkEnd w:id="7"/>
    </w:p>
    <w:p>
      <w:pPr>
        <w:pStyle w:val="Normal"/>
        <w:jc w:val="both"/>
        <w:rPr/>
      </w:pPr>
      <w:r>
        <w:rPr>
          <w:rStyle w:val="Strong"/>
          <w:rFonts w:eastAsia="Calibri"/>
          <w:b w:val="false"/>
          <w:bCs w:val="false"/>
          <w:iCs/>
          <w:sz w:val="24"/>
          <w:szCs w:val="24"/>
        </w:rPr>
        <w:t>ОКДП2 61.10.43.000</w:t>
      </w:r>
      <w:r>
        <w:rPr>
          <w:rStyle w:val="Strong"/>
          <w:rFonts w:eastAsia="Calibri"/>
          <w:b/>
          <w:bCs/>
          <w:iCs/>
          <w:sz w:val="24"/>
          <w:szCs w:val="24"/>
        </w:rPr>
        <w:t xml:space="preserve">  </w:t>
      </w:r>
      <w:r>
        <w:rPr>
          <w:rStyle w:val="Strong"/>
          <w:rFonts w:eastAsia="Calibri"/>
          <w:b w:val="false"/>
          <w:bCs w:val="false"/>
          <w:iCs/>
          <w:sz w:val="24"/>
          <w:szCs w:val="24"/>
        </w:rPr>
        <w:t>Услуги по предоставлению доступа к информационно-телекоммуникационной сети Интернет.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8" w:name="_Toc162534503"/>
      <w:bookmarkStart w:id="9" w:name="_Toc54643697"/>
      <w:bookmarkStart w:id="10" w:name="_Toc46743507"/>
      <w:r>
        <w:rPr/>
        <w:t xml:space="preserve">Цель </w:t>
      </w:r>
      <w:bookmarkEnd w:id="10"/>
      <w:r>
        <w:rPr>
          <w:lang w:val="ru-RU"/>
        </w:rPr>
        <w:t>оказания услуг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7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rStyle w:val="Style7"/>
          <w:b w:val="false"/>
          <w:bCs/>
          <w:i w:val="false"/>
          <w:sz w:val="24"/>
          <w:szCs w:val="24"/>
          <w:shd w:fill="auto" w:val="clear"/>
        </w:rPr>
        <w:t xml:space="preserve">Обеспечение круглосуточного подключения </w:t>
      </w:r>
      <w:r>
        <w:rPr>
          <w:rStyle w:val="Style7"/>
          <w:rFonts w:eastAsia="Calibri"/>
          <w:b w:val="false"/>
          <w:bCs/>
          <w:i w:val="false"/>
          <w:iCs/>
          <w:sz w:val="24"/>
          <w:szCs w:val="24"/>
          <w:shd w:fill="auto" w:val="clear"/>
        </w:rPr>
        <w:t xml:space="preserve">к информационно-телекоммуникационной сети Интернет </w:t>
      </w:r>
      <w:r>
        <w:rPr>
          <w:rStyle w:val="Style7"/>
          <w:b w:val="false"/>
          <w:bCs/>
          <w:i w:val="false"/>
          <w:sz w:val="24"/>
          <w:szCs w:val="24"/>
          <w:shd w:fill="auto" w:val="clear"/>
        </w:rPr>
        <w:t xml:space="preserve"> филиала АО «ДРСК » - «ЮЯЭС» в требуемом объёме.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1" w:name="_Toc131075381"/>
      <w:bookmarkStart w:id="12" w:name="_Toc162534504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1"/>
      <w:bookmarkEnd w:id="12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17"/>
        <w:gridCol w:w="2845"/>
        <w:gridCol w:w="1862"/>
        <w:gridCol w:w="1974"/>
        <w:gridCol w:w="242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515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Филиал АО «ДРСК» - «ЮЯЭС»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Управления филиалом АО ДРСК ЮЯЭС, Российская Федерация, Республика Саха (Якутия), Алданский район, гор. Алдан, ул. Мельниченко. Д 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Структурированная кабельная систмема ЮЯЭС(СКС)  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13" w:name="_Toc54643701"/>
      <w:bookmarkStart w:id="14" w:name="_Toc162534505"/>
      <w:bookmarkStart w:id="15" w:name="_Toc50125126"/>
      <w:bookmarkStart w:id="16" w:name="_Hlk482097611"/>
      <w:bookmarkStart w:id="17" w:name="_Toc46743510"/>
      <w:bookmarkEnd w:id="15"/>
      <w:bookmarkEnd w:id="16"/>
      <w:bookmarkEnd w:id="17"/>
      <w:r>
        <w:rPr/>
        <w:t>Иные требования и сведения общего характера</w:t>
      </w:r>
      <w:bookmarkEnd w:id="13"/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Предоставляемые Заказчику Услуги должны обеспечивать возможность их получения без необходимости проведения дополнительного объема работ или дополнительных закупок (в том числе лицензий, разрешений, сертификатов, образовательных программ, затрат на получение технических условий и т.д.).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1"/>
        <w:keepLines/>
        <w:ind w:left="357" w:hanging="35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60" w:charSpace="0"/>
        </w:sectPr>
      </w:pPr>
    </w:p>
    <w:p>
      <w:pPr>
        <w:pStyle w:val="Heading1"/>
        <w:keepLines/>
        <w:ind w:left="357" w:hanging="35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18" w:name="_Toc162534506"/>
      <w:bookmarkStart w:id="19" w:name="_Toc54643702"/>
      <w:bookmarkStart w:id="20" w:name="_Toc51339693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8"/>
      <w:bookmarkEnd w:id="19"/>
      <w:bookmarkEnd w:id="20"/>
    </w:p>
    <w:p>
      <w:pPr>
        <w:pStyle w:val="Heading4"/>
        <w:numPr>
          <w:ilvl w:val="1"/>
          <w:numId w:val="3"/>
        </w:numPr>
        <w:rPr/>
      </w:pPr>
      <w:bookmarkStart w:id="21" w:name="_Toc162534507"/>
      <w:bookmarkStart w:id="22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1"/>
      <w:bookmarkEnd w:id="22"/>
    </w:p>
    <w:p>
      <w:pPr>
        <w:pStyle w:val="Heading3"/>
        <w:numPr>
          <w:ilvl w:val="2"/>
          <w:numId w:val="3"/>
        </w:numPr>
        <w:rPr/>
      </w:pPr>
      <w:bookmarkStart w:id="23" w:name="_Toc54643704"/>
      <w:bookmarkStart w:id="24" w:name="_Toc162534508"/>
      <w:r>
        <w:rPr>
          <w:lang w:val="ru-RU"/>
        </w:rPr>
        <w:t>Требования к перечню и объему услуг</w:t>
      </w:r>
      <w:bookmarkEnd w:id="23"/>
      <w:bookmarkEnd w:id="24"/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2. Перечень и объем оказываемых услуг.</w:t>
      </w:r>
    </w:p>
    <w:tbl>
      <w:tblPr>
        <w:tblW w:w="141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10"/>
        <w:gridCol w:w="5678"/>
        <w:gridCol w:w="1687"/>
        <w:gridCol w:w="2101"/>
        <w:gridCol w:w="2099"/>
        <w:gridCol w:w="2099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Скорость передачи данных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Кол-во выделенных </w:t>
            </w:r>
            <w:r>
              <w:rPr>
                <w:sz w:val="24"/>
                <w:szCs w:val="24"/>
                <w:lang w:val="en-US" w:eastAsia="en-US"/>
              </w:rPr>
              <w:t>IP</w:t>
            </w:r>
            <w:r>
              <w:rPr>
                <w:sz w:val="24"/>
                <w:szCs w:val="24"/>
                <w:lang w:eastAsia="en-US"/>
              </w:rPr>
              <w:t xml:space="preserve"> адресов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920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5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FontStyle18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FontStyle19"/>
                <w:rFonts w:eastAsia="Calibri"/>
                <w:iCs/>
                <w:sz w:val="24"/>
                <w:szCs w:val="24"/>
              </w:rPr>
              <w:t>Мбайт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ниже 60 Мбит/с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4 шт.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25" w:name="_Toc54643707"/>
      <w:bookmarkStart w:id="26" w:name="_Toc162534509"/>
      <w:bookmarkStart w:id="27" w:name="_Toc50125127"/>
      <w:bookmarkStart w:id="28" w:name="_Toc51339697"/>
      <w:bookmarkStart w:id="29" w:name="_Toc501251261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оказания услуг</w:t>
      </w:r>
      <w:bookmarkEnd w:id="25"/>
      <w:bookmarkEnd w:id="26"/>
    </w:p>
    <w:tbl>
      <w:tblPr>
        <w:tblW w:w="141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50"/>
        <w:gridCol w:w="6194"/>
        <w:gridCol w:w="3808"/>
        <w:gridCol w:w="3214"/>
      </w:tblGrid>
      <w:tr>
        <w:trPr/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01.01.2027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31.12.2029</w:t>
            </w:r>
          </w:p>
        </w:tc>
      </w:tr>
    </w:tbl>
    <w:p>
      <w:pPr>
        <w:sectPr>
          <w:headerReference w:type="default" r:id="rId5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1" w:name="_Toc54643709"/>
      <w:bookmarkStart w:id="32" w:name="_Toc51339698"/>
      <w:bookmarkStart w:id="33" w:name="_Toc54643708"/>
      <w:bookmarkStart w:id="34" w:name="_Toc162534510"/>
      <w:bookmarkStart w:id="35" w:name="_Toc46743511"/>
      <w:bookmarkStart w:id="36" w:name="_Toc467435101"/>
      <w:bookmarkEnd w:id="36"/>
      <w:r>
        <w:rPr/>
        <w:t xml:space="preserve">Требования к </w:t>
      </w:r>
      <w:bookmarkEnd w:id="35"/>
      <w:r>
        <w:rPr>
          <w:lang w:val="ru-RU"/>
        </w:rPr>
        <w:t>качеству услуг</w:t>
      </w:r>
      <w:bookmarkEnd w:id="33"/>
      <w:bookmarkEnd w:id="3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37" w:name="__RefHeading___Toc453582_2530575046"/>
      <w:bookmarkStart w:id="38" w:name="_Toc162534511"/>
      <w:bookmarkEnd w:id="3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2"/>
      <w:r>
        <w:rPr>
          <w:sz w:val="24"/>
          <w:szCs w:val="24"/>
          <w:lang w:val="ru-RU"/>
        </w:rPr>
        <w:t>качеству услуг</w:t>
      </w:r>
      <w:bookmarkEnd w:id="31"/>
      <w:bookmarkEnd w:id="38"/>
      <w:r>
        <w:rPr>
          <w:sz w:val="24"/>
          <w:szCs w:val="24"/>
        </w:rPr>
        <w:t xml:space="preserve"> </w:t>
      </w:r>
    </w:p>
    <w:p>
      <w:pPr>
        <w:pStyle w:val="Normal"/>
        <w:rPr/>
      </w:pPr>
      <w:r>
        <w:rPr>
          <w:rStyle w:val="Style7"/>
          <w:b w:val="false"/>
          <w:sz w:val="24"/>
          <w:szCs w:val="24"/>
        </w:rPr>
        <w:t xml:space="preserve"> </w:t>
      </w:r>
    </w:p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rFonts w:eastAsia="Calibri"/>
          <w:b/>
          <w:bCs/>
          <w:iCs/>
          <w:sz w:val="24"/>
          <w:szCs w:val="24"/>
        </w:rPr>
        <w:t>Услуги по предоставлению доступа к информационно-телекоммуникационной сети Интернет</w:t>
      </w:r>
    </w:p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r>
        <w:rPr>
          <w:rFonts w:eastAsia="Calibri"/>
          <w:b w:val="false"/>
          <w:bCs/>
          <w:i w:val="false"/>
          <w:sz w:val="24"/>
          <w:szCs w:val="24"/>
          <w:u w:val="single"/>
          <w:shd w:fill="auto" w:val="clear"/>
          <w:lang w:eastAsia="x-none"/>
        </w:rPr>
      </w:r>
    </w:p>
    <w:tbl>
      <w:tblPr>
        <w:tblW w:w="14885" w:type="dxa"/>
        <w:jc w:val="left"/>
        <w:tblInd w:w="-1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267"/>
        <w:gridCol w:w="4821"/>
        <w:gridCol w:w="2267"/>
        <w:gridCol w:w="2410"/>
        <w:gridCol w:w="2268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bookmarkStart w:id="39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39"/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>
        <w:trPr>
          <w:trHeight w:val="646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557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359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0" w:after="0"/>
              <w:ind w:left="0" w:hanging="0"/>
              <w:rPr/>
            </w:pPr>
            <w:bookmarkStart w:id="40" w:name="__RefHeading___Toc453584_2530575046_Копи"/>
            <w:bookmarkStart w:id="41" w:name="_Toc132121836"/>
            <w:bookmarkStart w:id="42" w:name="_Toc130991750_Копия_1"/>
            <w:bookmarkEnd w:id="40"/>
            <w:r>
              <w:rPr>
                <w:b w:val="false"/>
                <w:bCs w:val="false"/>
                <w:iCs/>
              </w:rPr>
              <w:t>Перечень и объем оказываемых услуг указан в таблице 2.</w:t>
            </w:r>
            <w:bookmarkEnd w:id="41"/>
            <w:bookmarkEnd w:id="42"/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Круглосуточно оказывать Заказчику услуги 24 часа в сутки, 7 дней в неделю, 365/366 дней в году, за исключением возникновения перерывов при аварийных работах и перерывов для регламентных работ. </w:t>
            </w:r>
          </w:p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117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Требование к оборудованию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Для оказания услуг использовать только сертифицированное телекоммуникационное оборудование. 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Требование о соответствии федеральным законам и правилам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Предоставляемые услуги, должны соответствовать требованиям, изложенным в Федеральном законе от 07.07.2003 года № 126-ФЗ «О связи» в действующей редакции и Правилам оказания услуг связи по передачи данных, утвержденным постановлением Правительства РФ от 31.12.2021 № 2606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er"/>
              <w:widowControl w:val="false"/>
              <w:tabs>
                <w:tab w:val="clear" w:pos="4677"/>
                <w:tab w:val="clear" w:pos="9355"/>
              </w:tabs>
              <w:spacing w:beforeAutospacing="1" w:after="0"/>
              <w:rPr/>
            </w:pPr>
            <w:r>
              <w:rPr>
                <w:iCs/>
                <w:lang w:val="en-US"/>
              </w:rPr>
              <w:t>Процедуры оказания услуг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Время оказания услуг – 24 часа в сутки, 7 дней в неделю, 365/366</w:t>
            </w:r>
            <w:bookmarkStart w:id="43" w:name="_GoBack_Копия_1"/>
            <w:bookmarkEnd w:id="43"/>
            <w:r>
              <w:rPr>
                <w:sz w:val="24"/>
                <w:szCs w:val="24"/>
              </w:rPr>
              <w:t xml:space="preserve"> дней в году, за исключением возникновения перерывов при аварийных работах и перерывов для регламентных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Срок восстановления работоспособности систем связи Исполнителя, при аварийных работах составляет не более 4 часов;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регламентных ремонтных работ, необходимых для поддержания качества услуги, проводить без прерывания предоставления услуг. В случае необходимости прерывания услуг, для проведения ремонтных работ, извещение Заказчика о планируемых перерывах связи должно осуществляться не позднее чем за 3 суток, регламентные работы с прерыванием услуг должны проводиться в часы наименьшей нагрузки;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Исполнитель должен в течение всего срока оказания Услуг обеспечить бесплатный доступ к службе технической поддержки 24 часа в сутки, 7 дней в неделю, 366 дней в году, для обращения сотрудников Заказчика на территории оказания услуги по телефонному номеру и, при необходимости, посредством электронной почты.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1.4.1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оборудования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Исполнитель размещает каналообразующее оборудование в кабинете 206 и обеспечивает возможность его подключения к телекоммуникационному оборудованию.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kern w:val="2"/>
                <w:sz w:val="24"/>
              </w:rPr>
            </w:pPr>
            <w:r>
              <w:rPr>
                <w:rFonts w:eastAsia="Calibri"/>
                <w:kern w:val="2"/>
                <w:sz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1.4.2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Style w:val="FontStyle19"/>
                <w:sz w:val="24"/>
                <w:szCs w:val="24"/>
              </w:rPr>
              <w:t>Совместимость оборудования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>
                <w:rStyle w:val="FontStyle19"/>
                <w:sz w:val="24"/>
                <w:szCs w:val="24"/>
              </w:rPr>
              <w:t>Исполнитель обеспечивает совместимость своего каналообразующего оборудования с телекоммуникационным оборудованием Филиала АО «ДРСК» - «ЮЯЭС».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kern w:val="2"/>
                <w:sz w:val="24"/>
              </w:rPr>
            </w:pPr>
            <w:r>
              <w:rPr>
                <w:rFonts w:eastAsia="Calibri"/>
                <w:kern w:val="2"/>
                <w:sz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1.4.3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Style w:val="FontStyle19"/>
                <w:sz w:val="24"/>
                <w:szCs w:val="24"/>
              </w:rPr>
              <w:t>Разграничение ответственности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>
                <w:rStyle w:val="FontStyle19"/>
                <w:sz w:val="24"/>
                <w:szCs w:val="24"/>
              </w:rPr>
              <w:t>Граница ответственности Заказчика и Исполнителя проходит в точках подключения канала связи к оборудованию Филиала АО «ДРСК» - «ЮЯЭС».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kern w:val="2"/>
                <w:sz w:val="24"/>
              </w:rPr>
            </w:pPr>
            <w:r>
              <w:rPr>
                <w:rFonts w:eastAsia="Calibri"/>
                <w:kern w:val="2"/>
                <w:sz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Результат оказания услуг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Круглосуточно оказывать Заказчику услуги 24 часа в сутки, 7 дней в неделю, 366 дней в году, за исключением возникновения перерывов при аварийных работах и перерывов для регламентных работ.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оборудованию и программному обеспечению шифрования каналов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информационной безопасности. 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widowControl w:val="false"/>
              <w:rPr>
                <w:sz w:val="22"/>
              </w:rPr>
            </w:pPr>
            <w:r>
              <w:rPr/>
              <w:t xml:space="preserve">Информационная безопасность должна осуществляться в соответствии с </w:t>
            </w:r>
            <w:r>
              <w:rPr>
                <w:szCs w:val="28"/>
              </w:rPr>
              <w:t>Положением</w:t>
            </w:r>
          </w:p>
          <w:p>
            <w:pPr>
              <w:pStyle w:val="Default"/>
              <w:widowControl w:val="false"/>
              <w:rPr/>
            </w:pPr>
            <w:r>
              <w:rPr>
                <w:iCs/>
                <w:szCs w:val="28"/>
              </w:rPr>
              <w:t xml:space="preserve">об информационной политике </w:t>
            </w:r>
            <w:r>
              <w:rPr>
                <w:iCs/>
              </w:rPr>
              <w:t>ПАО «РусГидро»</w:t>
            </w:r>
          </w:p>
          <w:p>
            <w:pPr>
              <w:pStyle w:val="Default"/>
              <w:widowControl w:val="false"/>
              <w:rPr/>
            </w:pPr>
            <w:r>
              <w:rPr/>
              <w:t>https://storage.yandexcloud.net/storage.rushydro.ru/iblock/361/36125c95b3a07a08dc6c376caab6f65e/Polozhenie-ob-informatsionnoj-politike.pdf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bCs/>
                <w:iCs/>
                <w:sz w:val="24"/>
                <w:szCs w:val="24"/>
              </w:rPr>
              <w:t>Наличие лицензий на оказание услуг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Иметь действующие лицензии на оказание услуг связи по передаче данных, за исключением услуг связи по передаче данных для целей передачи голосовой информации, на оказание телематических услуг связи.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r>
        <w:rPr>
          <w:rFonts w:eastAsia="Calibri"/>
          <w:b w:val="false"/>
          <w:bCs/>
          <w:i w:val="false"/>
          <w:sz w:val="24"/>
          <w:szCs w:val="24"/>
          <w:u w:val="single"/>
          <w:shd w:fill="auto" w:val="clear"/>
          <w:lang w:eastAsia="x-none"/>
        </w:rPr>
      </w:r>
    </w:p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bookmarkStart w:id="44" w:name="_Toc46743519"/>
      <w:bookmarkStart w:id="45" w:name="_Toc51339699"/>
      <w:bookmarkEnd w:id="44"/>
      <w:bookmarkEnd w:id="45"/>
      <w:r>
        <w:rPr>
          <w:rFonts w:eastAsia="Calibri"/>
          <w:bCs/>
          <w:iCs/>
          <w:sz w:val="24"/>
          <w:szCs w:val="24"/>
        </w:rPr>
        <w:t xml:space="preserve"> </w:t>
      </w:r>
      <w:r>
        <w:rPr>
          <w:rFonts w:eastAsia="Calibri"/>
          <w:b/>
          <w:bCs/>
          <w:iCs/>
          <w:sz w:val="24"/>
          <w:szCs w:val="24"/>
        </w:rPr>
        <w:t xml:space="preserve">3. </w:t>
      </w:r>
      <w:bookmarkStart w:id="46" w:name="_Toc162534513"/>
      <w:bookmarkStart w:id="47" w:name="_Toc54643710"/>
      <w:bookmarkStart w:id="48" w:name="_Toc53393312"/>
      <w:bookmarkStart w:id="49" w:name="_Toc53395937"/>
      <w:r>
        <w:rPr>
          <w:b/>
          <w:bCs/>
          <w:sz w:val="24"/>
          <w:szCs w:val="24"/>
        </w:rPr>
        <w:t>Требования к документации по ценообразованию</w:t>
      </w:r>
      <w:bookmarkEnd w:id="48"/>
      <w:bookmarkEnd w:id="49"/>
      <w:r>
        <w:rPr>
          <w:b/>
          <w:bCs/>
          <w:sz w:val="24"/>
          <w:szCs w:val="24"/>
        </w:rPr>
        <w:t xml:space="preserve"> на этапе </w:t>
      </w:r>
      <w:bookmarkEnd w:id="47"/>
      <w:r>
        <w:rPr>
          <w:b/>
          <w:bCs/>
          <w:sz w:val="24"/>
          <w:szCs w:val="24"/>
        </w:rPr>
        <w:t>заключения договора</w:t>
      </w:r>
      <w:bookmarkEnd w:id="4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357"/>
        <w:jc w:val="both"/>
        <w:rPr/>
      </w:pPr>
      <w:r>
        <w:rPr>
          <w:rStyle w:val="Style7"/>
          <w:b w:val="false"/>
          <w:bCs/>
          <w:i w:val="false"/>
          <w:sz w:val="24"/>
          <w:szCs w:val="24"/>
          <w:shd w:fill="auto" w:val="clear"/>
        </w:rPr>
        <w:t xml:space="preserve">В обоснование стоимости оказываемых услуг Исполнитель предоставляет ТКП. </w:t>
      </w:r>
    </w:p>
    <w:p>
      <w:pPr>
        <w:pStyle w:val="Heading1"/>
        <w:keepLines/>
        <w:tabs>
          <w:tab w:val="clear" w:pos="0"/>
        </w:tabs>
        <w:ind w:left="357" w:hanging="0"/>
        <w:rPr>
          <w:iCs/>
          <w:caps/>
          <w:sz w:val="24"/>
          <w:szCs w:val="24"/>
        </w:rPr>
      </w:pPr>
      <w:r>
        <w:rPr>
          <w:iCs/>
          <w:caps/>
          <w:sz w:val="24"/>
          <w:szCs w:val="24"/>
        </w:rPr>
      </w:r>
    </w:p>
    <w:p>
      <w:pPr>
        <w:pStyle w:val="Normal"/>
        <w:rPr>
          <w:iCs/>
          <w:caps/>
          <w:sz w:val="24"/>
          <w:szCs w:val="24"/>
          <w:lang w:val="x-none"/>
        </w:rPr>
      </w:pPr>
      <w:r>
        <w:rPr/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236823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4" w:customStyle="1">
    <w:name w:val="Текст сноски Знак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3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4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WW8Num1z1" w:customStyle="1">
    <w:name w:val="WW8Num1z1"/>
    <w:qFormat/>
    <w:rPr>
      <w:sz w:val="24"/>
      <w:szCs w:val="24"/>
    </w:rPr>
  </w:style>
  <w:style w:type="character" w:styleId="FontStyle19" w:customStyle="1">
    <w:name w:val="Font Style19"/>
    <w:qFormat/>
    <w:rPr>
      <w:rFonts w:ascii="Times New Roman" w:hAnsi="Times New Roman" w:cs="Times New Roman"/>
      <w:sz w:val="22"/>
      <w:szCs w:val="22"/>
    </w:rPr>
  </w:style>
  <w:style w:type="character" w:styleId="FontStyle21" w:customStyle="1">
    <w:name w:val="Font Style21"/>
    <w:qFormat/>
    <w:rPr>
      <w:rFonts w:ascii="Times New Roman" w:hAnsi="Times New Roman" w:cs="Times New Roman"/>
      <w:b/>
      <w:bCs/>
      <w:sz w:val="16"/>
      <w:szCs w:val="16"/>
    </w:rPr>
  </w:style>
  <w:style w:type="character" w:styleId="FontStyle18" w:customStyle="1">
    <w:name w:val="Font Style18"/>
    <w:qFormat/>
    <w:rPr>
      <w:rFonts w:ascii="Times New Roman" w:hAnsi="Times New Roman" w:cs="Times New Roman"/>
      <w:sz w:val="16"/>
      <w:szCs w:val="16"/>
    </w:rPr>
  </w:style>
  <w:style w:type="character" w:styleId="Style14" w:customStyle="1">
    <w:name w:val="Символ концевой сноски"/>
    <w:qFormat/>
    <w:rPr/>
  </w:style>
  <w:style w:type="character" w:styleId="Linenumber">
    <w:name w:val="line number"/>
    <w:qFormat/>
    <w:rPr/>
  </w:style>
  <w:style w:type="character" w:styleId="FollowedHyperlink">
    <w:name w:val="FollowedHyperlink"/>
    <w:basedOn w:val="DefaultParagraphFont"/>
    <w:semiHidden/>
    <w:unhideWhenUsed/>
    <w:rsid w:val="00ee3a81"/>
    <w:rPr>
      <w:color w:val="954F72" w:themeColor="followedHyperlink"/>
      <w:u w:val="single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4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Т"/>
    <w:basedOn w:val="Title"/>
    <w:qFormat/>
    <w:pPr>
      <w:spacing w:before="120" w:after="120"/>
      <w:ind w:firstLine="720"/>
    </w:pPr>
    <w:rPr>
      <w:rFonts w:ascii="Calibri" w:hAnsi="Calibri" w:eastAsia="Calibri" w:cs="Times New Roman"/>
      <w:kern w:val="2"/>
      <w:sz w:val="24"/>
    </w:rPr>
  </w:style>
  <w:style w:type="paragraph" w:styleId="Style41" w:customStyle="1">
    <w:name w:val="Style4"/>
    <w:basedOn w:val="Normal"/>
    <w:qFormat/>
    <w:pPr>
      <w:widowControl w:val="false"/>
      <w:spacing w:lineRule="exact" w:line="216"/>
      <w:jc w:val="center"/>
    </w:pPr>
    <w:rPr/>
  </w:style>
  <w:style w:type="paragraph" w:styleId="Style51" w:customStyle="1">
    <w:name w:val="Style5"/>
    <w:basedOn w:val="Normal"/>
    <w:qFormat/>
    <w:pPr>
      <w:widowControl w:val="false"/>
      <w:spacing w:lineRule="exact" w:line="230"/>
      <w:ind w:firstLine="130"/>
    </w:pPr>
    <w:rPr/>
  </w:style>
  <w:style w:type="paragraph" w:styleId="Style111" w:customStyle="1">
    <w:name w:val="Style11"/>
    <w:basedOn w:val="Normal"/>
    <w:qFormat/>
    <w:pPr>
      <w:widowControl w:val="false"/>
      <w:spacing w:lineRule="exact" w:line="206"/>
    </w:pPr>
    <w:rPr/>
  </w:style>
  <w:style w:type="paragraph" w:styleId="Style101" w:customStyle="1">
    <w:name w:val="Style10"/>
    <w:basedOn w:val="Normal"/>
    <w:qFormat/>
    <w:pPr>
      <w:widowControl w:val="false"/>
    </w:pPr>
    <w:rPr/>
  </w:style>
  <w:style w:type="paragraph" w:styleId="Style36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Default" w:customStyle="1">
    <w:name w:val="Default"/>
    <w:qFormat/>
    <w:rsid w:val="00c3691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1" w:customStyle="1">
    <w:name w:val="WW8Num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DBA76-FF39-4F6F-9EB0-C65A5287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15351</TotalTime>
  <Application>AlterOffice/3.4.0.9$Linux_X86_64 LibreOffice_project/b8daf9e823b1a5463a2f48435ddc2e8696e7d4fc</Application>
  <AppVersion>15.0000</AppVersion>
  <Pages>8</Pages>
  <Words>906</Words>
  <Characters>6084</Characters>
  <CharactersWithSpaces>6813</CharactersWithSpaces>
  <Paragraphs>192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2023-04-10T11:09:00Z</dcterms:created>
  <dc:creator>Быстров Олег Геннадьевич</dc:creator>
  <dc:description/>
  <dc:language>ru-RU</dc:language>
  <cp:lastModifiedBy>ushakov_av</cp:lastModifiedBy>
  <dcterms:modified xsi:type="dcterms:W3CDTF">2026-10-09T16:09:51Z</dcterms:modified>
  <cp:revision>40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