
<file path=[Content_Types].xml><?xml version="1.0" encoding="utf-8"?>
<Types xmlns="http://schemas.openxmlformats.org/package/2006/content-types">
  <Override PartName="/_rels/.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2.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3.xml" ContentType="application/vnd.openxmlformats-officedocument.customXmlProperties+xml"/>
  <Override PartName="/customXml/item3.xml" ContentType="application/xml"/>
  <Override PartName="/customXml/itemProps4.xml" ContentType="application/vnd.openxmlformats-officedocument.customXmlProperties+xml"/>
  <Override PartName="/customXml/item4.xml" ContentType="application/xml"/>
  <Override PartName="/customXml/itemProps5.xml" ContentType="application/vnd.openxmlformats-officedocument.customXmlProperties+xml"/>
  <Override PartName="/customXml/item5.xml" ContentType="application/xml"/>
  <Override PartName="/word/_rels/footnotes.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val="clear" w:color="auto" w:fill="FFFFFF"/>
        <w:tabs>
          <w:tab w:val="left" w:pos="3148" w:leader="none"/>
          <w:tab w:val="center" w:pos="4818" w:leader="none"/>
          <w:tab w:val="left" w:pos="6926" w:leader="none"/>
        </w:tabs>
        <w:spacing w:lineRule="auto" w:line="240"/>
        <w:ind w:hanging="0"/>
        <w:jc w:val="center"/>
        <w:rPr>
          <w:highlight w:val="white"/>
        </w:rPr>
      </w:pPr>
      <w:r>
        <w:rPr>
          <w:b/>
          <w:bCs/>
          <w:color w:val="000000"/>
          <w:sz w:val="24"/>
          <w:szCs w:val="24"/>
          <w:shd w:fill="FFFFFF" w:val="clear"/>
        </w:rPr>
        <w:t xml:space="preserve">Договор подряда </w:t>
      </w:r>
    </w:p>
    <w:p>
      <w:pPr>
        <w:pStyle w:val="Normal"/>
        <w:shd w:val="clear" w:color="auto" w:fill="FFFFFF"/>
        <w:tabs>
          <w:tab w:val="left" w:pos="3148" w:leader="none"/>
          <w:tab w:val="center" w:pos="4818" w:leader="none"/>
          <w:tab w:val="left" w:pos="6926" w:leader="none"/>
        </w:tabs>
        <w:spacing w:lineRule="auto" w:line="240"/>
        <w:ind w:hanging="0"/>
        <w:jc w:val="center"/>
        <w:rPr>
          <w:highlight w:val="white"/>
        </w:rPr>
      </w:pPr>
      <w:r>
        <w:rPr>
          <w:b/>
          <w:bCs/>
          <w:color w:val="000000"/>
          <w:sz w:val="24"/>
          <w:szCs w:val="24"/>
          <w:shd w:fill="FFFFFF" w:val="clear"/>
        </w:rPr>
        <w:t>на выполнение проектно-изыскательских работ № ____</w:t>
      </w:r>
    </w:p>
    <w:p>
      <w:pPr>
        <w:pStyle w:val="Normal"/>
        <w:shd w:val="clear" w:color="auto" w:fill="FFFFFF"/>
        <w:spacing w:lineRule="auto" w:line="240"/>
        <w:ind w:hanging="0"/>
        <w:rPr>
          <w:rFonts w:ascii="Times New Roman" w:hAnsi="Times New Roman"/>
          <w:b/>
          <w:b/>
          <w:bCs/>
          <w:color w:val="000000"/>
          <w:sz w:val="24"/>
          <w:szCs w:val="24"/>
          <w:shd w:fill="FFFFFF" w:val="clear"/>
        </w:rPr>
      </w:pPr>
      <w:r>
        <w:rPr>
          <w:b/>
          <w:bCs/>
          <w:color w:val="000000"/>
          <w:sz w:val="24"/>
          <w:szCs w:val="24"/>
          <w:shd w:fill="FFFFFF" w:val="clear"/>
        </w:rPr>
      </w:r>
    </w:p>
    <w:p>
      <w:pPr>
        <w:pStyle w:val="Normal"/>
        <w:shd w:val="clear" w:color="auto" w:fill="FFFFFF"/>
        <w:tabs>
          <w:tab w:val="right" w:pos="993" w:leader="none"/>
        </w:tabs>
        <w:spacing w:lineRule="auto" w:line="240"/>
        <w:ind w:hanging="0"/>
        <w:rPr>
          <w:highlight w:val="white"/>
        </w:rPr>
      </w:pPr>
      <w:r>
        <w:rPr>
          <w:bCs/>
          <w:color w:val="000000"/>
          <w:sz w:val="24"/>
          <w:szCs w:val="24"/>
          <w:shd w:fill="FFFFFF" w:val="clear"/>
        </w:rPr>
        <w:t>г. Благовещенск</w:t>
        <w:tab/>
        <w:tab/>
        <w:tab/>
        <w:tab/>
        <w:tab/>
        <w:tab/>
        <w:t xml:space="preserve">                        «___» _________ 2026 г.</w:t>
      </w:r>
    </w:p>
    <w:p>
      <w:pPr>
        <w:pStyle w:val="Normal"/>
        <w:shd w:val="clear" w:color="auto" w:fill="FFFFFF"/>
        <w:tabs>
          <w:tab w:val="right" w:pos="9639" w:leader="none"/>
        </w:tabs>
        <w:spacing w:lineRule="auto" w:line="240"/>
        <w:ind w:hanging="0"/>
        <w:rPr>
          <w:rFonts w:ascii="Times New Roman" w:hAnsi="Times New Roman"/>
          <w:bCs/>
          <w:color w:val="000000"/>
          <w:sz w:val="24"/>
          <w:szCs w:val="24"/>
          <w:shd w:fill="FFFFFF" w:val="clear"/>
        </w:rPr>
      </w:pPr>
      <w:r>
        <w:rPr>
          <w:bCs/>
          <w:color w:val="000000"/>
          <w:sz w:val="24"/>
          <w:szCs w:val="24"/>
          <w:shd w:fill="FFFFFF" w:val="clear"/>
        </w:rPr>
      </w:r>
    </w:p>
    <w:p>
      <w:pPr>
        <w:pStyle w:val="BodyText3"/>
        <w:ind w:firstLine="708"/>
        <w:rPr>
          <w:highlight w:val="white"/>
        </w:rPr>
      </w:pPr>
      <w:r>
        <w:rPr>
          <w:b/>
          <w:color w:val="00000A"/>
          <w:sz w:val="24"/>
          <w:szCs w:val="24"/>
          <w:shd w:fill="FFFFFF" w:val="clear"/>
          <w:lang w:val="ru-RU"/>
        </w:rPr>
        <w:t>Акционерное общество «Дальневосточная распределительная сетевая компания»</w:t>
      </w:r>
      <w:r>
        <w:rPr>
          <w:b/>
          <w:color w:val="00000A"/>
          <w:sz w:val="24"/>
          <w:szCs w:val="24"/>
          <w:shd w:fill="FFFFFF" w:val="clear"/>
        </w:rPr>
        <w:t xml:space="preserve"> </w:t>
      </w:r>
      <w:r>
        <w:rPr>
          <w:color w:val="00000A"/>
          <w:sz w:val="24"/>
          <w:szCs w:val="24"/>
          <w:shd w:fill="FFFFFF" w:val="clear"/>
        </w:rPr>
        <w:t>(АО «</w:t>
      </w:r>
      <w:r>
        <w:rPr>
          <w:color w:val="00000A"/>
          <w:sz w:val="24"/>
          <w:szCs w:val="24"/>
          <w:shd w:fill="FFFFFF" w:val="clear"/>
          <w:lang w:val="ru-RU"/>
        </w:rPr>
        <w:t>ДРСК</w:t>
      </w:r>
      <w:r>
        <w:rPr>
          <w:color w:val="00000A"/>
          <w:sz w:val="24"/>
          <w:szCs w:val="24"/>
          <w:shd w:fill="FFFFFF" w:val="clear"/>
        </w:rPr>
        <w:t xml:space="preserve">») (далее – «Заказчик»), в лице _______________ действующего на основании ______________, с одной стороны, и </w:t>
      </w:r>
    </w:p>
    <w:p>
      <w:pPr>
        <w:pStyle w:val="BodyText3"/>
        <w:ind w:firstLine="708"/>
        <w:rPr>
          <w:highlight w:val="white"/>
        </w:rPr>
      </w:pPr>
      <w:r>
        <w:rPr>
          <w:color w:val="00000A"/>
          <w:sz w:val="24"/>
          <w:szCs w:val="24"/>
          <w:shd w:fill="FFFFFF" w:val="clear"/>
        </w:rPr>
        <w:t xml:space="preserve">________________________ (далее – «Подрядчик»), в лице ________________, действующего на основании ______________, с другой стороны, </w:t>
      </w:r>
    </w:p>
    <w:p>
      <w:pPr>
        <w:pStyle w:val="BodyText3"/>
        <w:ind w:firstLine="708"/>
        <w:rPr>
          <w:highlight w:val="white"/>
        </w:rPr>
      </w:pPr>
      <w:r>
        <w:rPr>
          <w:color w:val="00000A"/>
          <w:sz w:val="24"/>
          <w:szCs w:val="24"/>
          <w:shd w:fill="FFFFFF" w:val="clear"/>
        </w:rPr>
        <w:t xml:space="preserve">совместно в дальнейшем именуемые «Стороны», а по отдельности – «Сторона», по результатам проведенной Заказчиком </w:t>
      </w:r>
      <w:r>
        <w:rPr>
          <w:color w:val="00000A"/>
          <w:sz w:val="24"/>
          <w:szCs w:val="24"/>
          <w:shd w:fill="FFFFFF" w:val="clear"/>
        </w:rPr>
        <w:t>не</w:t>
      </w:r>
      <w:r>
        <w:rPr>
          <w:color w:val="00000A"/>
          <w:sz w:val="24"/>
          <w:szCs w:val="24"/>
          <w:shd w:fill="FFFFFF" w:val="clear"/>
        </w:rPr>
        <w:t>конкурентной процедуры по лоту №_________</w:t>
      </w:r>
      <w:r>
        <w:rPr>
          <w:bCs/>
          <w:color w:val="00000A"/>
          <w:sz w:val="24"/>
          <w:szCs w:val="24"/>
          <w:shd w:fill="FFFFFF" w:val="clear"/>
        </w:rPr>
        <w:t>,</w:t>
      </w:r>
      <w:r>
        <w:rPr>
          <w:sz w:val="24"/>
          <w:szCs w:val="24"/>
          <w:shd w:fill="FFFFFF" w:val="clear"/>
        </w:rPr>
        <w:t xml:space="preserve"> </w:t>
      </w:r>
      <w:r>
        <w:rPr>
          <w:color w:val="00000A"/>
          <w:sz w:val="24"/>
          <w:szCs w:val="24"/>
          <w:shd w:fill="FFFFFF" w:val="clear"/>
          <w:lang w:val="ru-RU"/>
        </w:rPr>
        <w:t>и</w:t>
      </w:r>
      <w:r>
        <w:rPr>
          <w:sz w:val="24"/>
          <w:szCs w:val="24"/>
          <w:shd w:fill="FFFFFF" w:val="clear"/>
          <w:lang w:val="ru-RU"/>
        </w:rPr>
        <w:t xml:space="preserve"> </w:t>
      </w:r>
      <w:r>
        <w:rPr>
          <w:bCs/>
          <w:color w:val="00000A"/>
          <w:sz w:val="24"/>
          <w:szCs w:val="24"/>
          <w:shd w:fill="FFFFFF" w:val="clear"/>
        </w:rPr>
        <w:t xml:space="preserve">на основании </w:t>
      </w:r>
      <w:r>
        <w:rPr>
          <w:bCs/>
          <w:color w:val="00000A"/>
          <w:sz w:val="24"/>
          <w:szCs w:val="24"/>
          <w:shd w:fill="FFFFFF" w:val="clear"/>
          <w:lang w:val="ru-RU"/>
        </w:rPr>
        <w:t>протокола</w:t>
      </w:r>
      <w:r>
        <w:rPr>
          <w:bCs/>
          <w:color w:val="00000A"/>
          <w:sz w:val="24"/>
          <w:szCs w:val="24"/>
          <w:shd w:fill="FFFFFF" w:val="clear"/>
        </w:rPr>
        <w:t xml:space="preserve"> </w:t>
      </w:r>
      <w:r>
        <w:rPr>
          <w:bCs/>
          <w:color w:val="00000A"/>
          <w:sz w:val="24"/>
          <w:szCs w:val="24"/>
          <w:shd w:fill="FFFFFF" w:val="clear"/>
          <w:lang w:val="ru-RU"/>
        </w:rPr>
        <w:t>__________</w:t>
      </w:r>
      <w:r>
        <w:rPr>
          <w:bCs/>
          <w:color w:val="00000A"/>
          <w:sz w:val="24"/>
          <w:szCs w:val="24"/>
          <w:shd w:fill="FFFFFF" w:val="clear"/>
        </w:rPr>
        <w:t xml:space="preserve"> №_______ от «___»__________ года</w:t>
      </w:r>
      <w:r>
        <w:rPr>
          <w:bCs/>
          <w:color w:val="00000A"/>
          <w:sz w:val="24"/>
          <w:szCs w:val="24"/>
          <w:shd w:fill="FFFFFF" w:val="clear"/>
          <w:lang w:val="ru-RU"/>
        </w:rPr>
        <w:t>,</w:t>
      </w:r>
    </w:p>
    <w:p>
      <w:pPr>
        <w:pStyle w:val="BodyText3"/>
        <w:ind w:firstLine="708"/>
        <w:rPr>
          <w:highlight w:val="white"/>
        </w:rPr>
      </w:pPr>
      <w:r>
        <w:rPr>
          <w:color w:val="00000A"/>
          <w:sz w:val="24"/>
          <w:szCs w:val="24"/>
          <w:shd w:fill="FFFFFF" w:val="clear"/>
        </w:rPr>
        <w:t>заключили настоящий договор (далее – «Договор») о нижеследующем:</w:t>
      </w:r>
    </w:p>
    <w:p>
      <w:pPr>
        <w:pStyle w:val="ListParagraph"/>
        <w:shd w:val="clear" w:color="auto" w:fill="FFFFFF"/>
        <w:tabs>
          <w:tab w:val="left" w:pos="284" w:leader="none"/>
        </w:tabs>
        <w:ind w:left="0" w:hanging="0"/>
        <w:jc w:val="center"/>
        <w:rPr>
          <w:rFonts w:ascii="Times New Roman" w:hAnsi="Times New Roman"/>
          <w:b/>
          <w:b/>
          <w:bCs/>
          <w:sz w:val="24"/>
          <w:szCs w:val="24"/>
          <w:shd w:fill="FFFFFF" w:val="clear"/>
        </w:rPr>
      </w:pPr>
      <w:r>
        <w:rPr>
          <w:b/>
          <w:bCs/>
          <w:sz w:val="24"/>
          <w:szCs w:val="24"/>
          <w:shd w:fill="FFFFFF" w:val="clear"/>
        </w:rPr>
      </w:r>
    </w:p>
    <w:p>
      <w:pPr>
        <w:pStyle w:val="ListParagraph"/>
        <w:shd w:val="clear" w:color="auto" w:fill="FFFFFF"/>
        <w:tabs>
          <w:tab w:val="left" w:pos="284" w:leader="none"/>
        </w:tabs>
        <w:ind w:left="0" w:hanging="0"/>
        <w:jc w:val="center"/>
        <w:rPr>
          <w:highlight w:val="white"/>
        </w:rPr>
      </w:pPr>
      <w:r>
        <w:rPr>
          <w:b/>
          <w:bCs/>
          <w:sz w:val="24"/>
          <w:szCs w:val="24"/>
          <w:shd w:fill="FFFFFF" w:val="clear"/>
        </w:rPr>
        <w:t>Термины и определения</w:t>
      </w:r>
    </w:p>
    <w:p>
      <w:pPr>
        <w:pStyle w:val="BodyText3"/>
        <w:ind w:firstLine="708"/>
        <w:rPr>
          <w:highlight w:val="white"/>
        </w:rPr>
      </w:pPr>
      <w:r>
        <w:rPr>
          <w:color w:val="00000A"/>
          <w:sz w:val="24"/>
          <w:szCs w:val="24"/>
          <w:shd w:fill="FFFFFF" w:val="clear"/>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widowControl w:val="false"/>
        <w:shd w:val="clear" w:fill="FFFFFF"/>
        <w:tabs>
          <w:tab w:val="left" w:pos="567" w:leader="none"/>
          <w:tab w:val="left" w:pos="1134" w:leader="none"/>
        </w:tabs>
        <w:overflowPunct w:val="true"/>
        <w:ind w:left="0" w:right="0" w:firstLine="709"/>
        <w:jc w:val="both"/>
        <w:textAlignment w:val="baseline"/>
        <w:rPr>
          <w:highlight w:val="white"/>
        </w:rPr>
      </w:pPr>
      <w:r>
        <w:rPr>
          <w:b/>
          <w:color w:val="00000A"/>
          <w:sz w:val="24"/>
          <w:szCs w:val="24"/>
          <w:shd w:fill="FFFFFF" w:val="clear"/>
          <w:lang w:eastAsia="en-US"/>
        </w:rPr>
        <w:t>«Банковская гарантия»</w:t>
      </w:r>
      <w:r>
        <w:rPr>
          <w:color w:val="00000A"/>
          <w:sz w:val="24"/>
          <w:szCs w:val="24"/>
          <w:shd w:fill="FFFFFF" w:val="clear"/>
          <w:lang w:eastAsia="en-US"/>
        </w:rPr>
        <w:t xml:space="preserve"> – независимая гарантия, выданная в обеспечение исполнения Подрядчиком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 в той мере, в какой указанные правила не противоречат законодательству Российской Федерации и условиям настоящего Договора.</w:t>
      </w:r>
    </w:p>
    <w:p>
      <w:pPr>
        <w:pStyle w:val="ListParagraph"/>
        <w:widowControl w:val="false"/>
        <w:shd w:val="clear" w:color="auto" w:fill="FFFFFF"/>
        <w:tabs>
          <w:tab w:val="left" w:pos="567" w:leader="none"/>
          <w:tab w:val="left" w:pos="1134" w:leader="none"/>
        </w:tabs>
        <w:overflowPunct w:val="true"/>
        <w:ind w:left="0" w:firstLine="708"/>
        <w:jc w:val="both"/>
        <w:textAlignment w:val="baseline"/>
        <w:rPr>
          <w:highlight w:val="white"/>
        </w:rPr>
      </w:pPr>
      <w:r>
        <w:rPr>
          <w:b/>
          <w:sz w:val="24"/>
          <w:szCs w:val="24"/>
          <w:shd w:fill="FFFFFF" w:val="clear"/>
          <w:lang w:eastAsia="en-US"/>
        </w:rPr>
        <w:t xml:space="preserve"> </w:t>
      </w:r>
      <w:r>
        <w:rPr>
          <w:b/>
          <w:sz w:val="24"/>
          <w:szCs w:val="24"/>
          <w:shd w:fill="FFFFFF" w:val="clear"/>
          <w:lang w:eastAsia="en-US"/>
        </w:rPr>
        <w:t xml:space="preserve">«ГПЗУ» </w:t>
      </w:r>
      <w:r>
        <w:rPr>
          <w:sz w:val="24"/>
          <w:szCs w:val="24"/>
          <w:shd w:fill="FFFFFF" w:val="clear"/>
          <w:lang w:eastAsia="en-US"/>
        </w:rPr>
        <w:t>– градостроительный план земельного участка.</w:t>
      </w:r>
    </w:p>
    <w:p>
      <w:pPr>
        <w:pStyle w:val="ListParagraph"/>
        <w:widowControl w:val="false"/>
        <w:shd w:val="clear" w:color="auto" w:fill="FFFFFF"/>
        <w:tabs>
          <w:tab w:val="left" w:pos="567" w:leader="none"/>
          <w:tab w:val="left" w:pos="1134" w:leader="none"/>
        </w:tabs>
        <w:overflowPunct w:val="true"/>
        <w:ind w:left="0" w:firstLine="708"/>
        <w:jc w:val="both"/>
        <w:textAlignment w:val="baseline"/>
        <w:rPr>
          <w:highlight w:val="white"/>
        </w:rPr>
      </w:pPr>
      <w:r>
        <w:rPr>
          <w:b/>
          <w:sz w:val="24"/>
          <w:szCs w:val="24"/>
          <w:shd w:fill="FFFFFF" w:val="clear"/>
          <w:lang w:eastAsia="en-US"/>
        </w:rPr>
        <w:t>«Договор»</w:t>
      </w:r>
      <w:r>
        <w:rPr>
          <w:sz w:val="24"/>
          <w:szCs w:val="24"/>
          <w:shd w:fill="FFFFFF" w:val="clea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Normal"/>
        <w:spacing w:lineRule="auto" w:line="240"/>
        <w:ind w:firstLine="709"/>
        <w:rPr>
          <w:highlight w:val="white"/>
        </w:rPr>
      </w:pPr>
      <w:r>
        <w:rPr>
          <w:b/>
          <w:sz w:val="24"/>
          <w:szCs w:val="24"/>
          <w:shd w:fill="FFFFFF" w:val="clear"/>
        </w:rPr>
        <w:t>«Инженерные изыскания»</w:t>
      </w:r>
      <w:r>
        <w:rPr>
          <w:sz w:val="24"/>
          <w:szCs w:val="24"/>
          <w:shd w:fill="FFFFFF" w:val="clear"/>
        </w:rPr>
        <w:t xml:space="preserve"> – работы, проводимые для комплексного изучения природных условий района, площадки, участка, трассы проектируемого объекта строительства / реконструкции, местных строительных материалов и источников водоснабжения и получения необходимых и достаточных материалов для разработки экономически целесообразных и технически обоснованных решений при проектировании и строительстве объектов с учетом рационального использования и охраны окружающей среды, а также получения данных для составления прогноза изменений окружающей среды под воздействием строительства / реконструкции и эксплуатации объекта капитального строительства.</w:t>
      </w:r>
    </w:p>
    <w:p>
      <w:pPr>
        <w:pStyle w:val="Normal"/>
        <w:spacing w:lineRule="auto" w:line="240"/>
        <w:ind w:firstLine="709"/>
        <w:rPr>
          <w:highlight w:val="white"/>
        </w:rPr>
      </w:pPr>
      <w:r>
        <w:rPr>
          <w:b/>
          <w:sz w:val="24"/>
          <w:szCs w:val="24"/>
          <w:shd w:fill="FFFFFF" w:val="clear"/>
        </w:rPr>
        <w:t xml:space="preserve">«Исполнительная смета» </w:t>
      </w:r>
      <w:r>
        <w:rPr>
          <w:sz w:val="24"/>
          <w:szCs w:val="24"/>
          <w:shd w:fill="FFFFFF" w:val="clear"/>
          <w:lang w:eastAsia="en-US"/>
        </w:rPr>
        <w:t>–</w:t>
      </w:r>
      <w:r>
        <w:rPr>
          <w:sz w:val="24"/>
          <w:szCs w:val="24"/>
          <w:shd w:fill="FFFFFF" w:val="clear"/>
        </w:rPr>
        <w:t xml:space="preserve"> с</w:t>
      </w:r>
      <w:r>
        <w:rPr>
          <w:color w:val="000000"/>
          <w:sz w:val="24"/>
          <w:szCs w:val="24"/>
          <w:shd w:fill="FFFFFF" w:val="clear"/>
        </w:rPr>
        <w:t>метный расчет стоимости выполненных изыскательских работ, составленный на основе технического отчета по инженерным изысканиям в соответствии с фактически выполненными объемами работ в случае, если Предварительная смета на такие работы разработана с применением сметных нормативов, сведения о которых включены в Федеральный реестр сметных нормативов, подлежащих применению при определении сметной стоимости объектов капитального строительства, строительство которых финансируется с привлечением средств федерального бюджета.</w:t>
      </w:r>
    </w:p>
    <w:p>
      <w:pPr>
        <w:pStyle w:val="ListParagraph"/>
        <w:widowControl w:val="false"/>
        <w:shd w:val="clear" w:color="auto" w:fill="FFFFFF"/>
        <w:tabs>
          <w:tab w:val="left" w:pos="567" w:leader="none"/>
          <w:tab w:val="left" w:pos="1134" w:leader="none"/>
        </w:tabs>
        <w:overflowPunct w:val="true"/>
        <w:ind w:left="0" w:firstLine="709"/>
        <w:jc w:val="both"/>
        <w:textAlignment w:val="baseline"/>
        <w:rPr>
          <w:highlight w:val="white"/>
        </w:rPr>
      </w:pPr>
      <w:r>
        <w:rPr>
          <w:b/>
          <w:sz w:val="24"/>
          <w:szCs w:val="24"/>
          <w:shd w:fill="FFFFFF" w:val="clear"/>
          <w:lang w:eastAsia="en-US"/>
        </w:rPr>
        <w:t>«Исходно-разрешительная документация»</w:t>
      </w:r>
      <w:r>
        <w:rPr>
          <w:sz w:val="24"/>
          <w:szCs w:val="24"/>
          <w:shd w:fill="FFFFFF" w:val="clear"/>
          <w:lang w:eastAsia="en-US"/>
        </w:rPr>
        <w:t xml:space="preserve"> – совокупность документов, оформляемых в соответствии с требованиями Применимого права с участием компетентных органов государственной власти и местного самоуправления и / или других организаций для проведения Инженерных изысканий и обеспечения разработки Проектной документации и / или Рабочей документации. </w:t>
      </w:r>
    </w:p>
    <w:p>
      <w:pPr>
        <w:pStyle w:val="Normal"/>
        <w:widowControl w:val="false"/>
        <w:shd w:val="clear" w:color="auto" w:fill="FFFFFF"/>
        <w:tabs>
          <w:tab w:val="left" w:pos="567" w:leader="none"/>
          <w:tab w:val="left" w:pos="1134" w:leader="none"/>
        </w:tabs>
        <w:overflowPunct w:val="true"/>
        <w:spacing w:lineRule="auto" w:line="240"/>
        <w:ind w:firstLine="709"/>
        <w:textAlignment w:val="baseline"/>
        <w:rPr>
          <w:highlight w:val="white"/>
        </w:rPr>
      </w:pPr>
      <w:r>
        <w:rPr>
          <w:sz w:val="24"/>
          <w:szCs w:val="24"/>
          <w:shd w:fill="FFFFFF" w:val="clear"/>
          <w:lang w:eastAsia="en-US"/>
        </w:rPr>
        <w:t>К Исходно-разрешительной документации относятся:</w:t>
      </w:r>
    </w:p>
    <w:p>
      <w:pPr>
        <w:pStyle w:val="ListParagraph"/>
        <w:widowControl w:val="false"/>
        <w:numPr>
          <w:ilvl w:val="0"/>
          <w:numId w:val="16"/>
        </w:numPr>
        <w:shd w:val="clear" w:color="auto" w:fill="FFFFFF"/>
        <w:tabs>
          <w:tab w:val="left" w:pos="567" w:leader="none"/>
          <w:tab w:val="left" w:pos="1134" w:leader="none"/>
        </w:tabs>
        <w:overflowPunct w:val="true"/>
        <w:ind w:left="0" w:firstLine="709"/>
        <w:jc w:val="both"/>
        <w:textAlignment w:val="baseline"/>
        <w:rPr>
          <w:highlight w:val="white"/>
        </w:rPr>
      </w:pPr>
      <w:r>
        <w:rPr>
          <w:sz w:val="24"/>
          <w:szCs w:val="24"/>
          <w:shd w:fill="FFFFFF" w:val="clear"/>
          <w:lang w:eastAsia="en-US"/>
        </w:rPr>
        <w:t xml:space="preserve">документы в отношении земельных участков, необходимых для строительства / реконструкции проектируемых объектов капитального строительства (включая документы территориального планирования, ГПЗУ, документы кадастрового учета и т.п.);  </w:t>
      </w:r>
    </w:p>
    <w:p>
      <w:pPr>
        <w:pStyle w:val="ListParagraph"/>
        <w:widowControl w:val="false"/>
        <w:numPr>
          <w:ilvl w:val="0"/>
          <w:numId w:val="16"/>
        </w:numPr>
        <w:shd w:val="clear" w:color="auto" w:fill="FFFFFF"/>
        <w:tabs>
          <w:tab w:val="left" w:pos="567" w:leader="none"/>
          <w:tab w:val="left" w:pos="1134" w:leader="none"/>
        </w:tabs>
        <w:overflowPunct w:val="true"/>
        <w:ind w:left="0" w:firstLine="709"/>
        <w:jc w:val="both"/>
        <w:textAlignment w:val="baseline"/>
        <w:rPr>
          <w:highlight w:val="white"/>
        </w:rPr>
      </w:pPr>
      <w:r>
        <w:rPr>
          <w:sz w:val="24"/>
          <w:szCs w:val="24"/>
          <w:shd w:fill="FFFFFF" w:val="clear"/>
          <w:lang w:eastAsia="en-US"/>
        </w:rPr>
        <w:t>технические условия на подключение к инженерным сетям и / или коммуникациям;</w:t>
      </w:r>
    </w:p>
    <w:p>
      <w:pPr>
        <w:pStyle w:val="ListParagraph"/>
        <w:widowControl w:val="false"/>
        <w:numPr>
          <w:ilvl w:val="0"/>
          <w:numId w:val="16"/>
        </w:numPr>
        <w:shd w:val="clear" w:color="auto" w:fill="FFFFFF"/>
        <w:tabs>
          <w:tab w:val="left" w:pos="567" w:leader="none"/>
          <w:tab w:val="left" w:pos="1134" w:leader="none"/>
        </w:tabs>
        <w:overflowPunct w:val="true"/>
        <w:ind w:left="0" w:firstLine="709"/>
        <w:jc w:val="both"/>
        <w:textAlignment w:val="baseline"/>
        <w:rPr>
          <w:highlight w:val="white"/>
        </w:rPr>
      </w:pPr>
      <w:r>
        <w:rPr>
          <w:sz w:val="24"/>
          <w:szCs w:val="24"/>
          <w:shd w:fill="FFFFFF" w:val="clear"/>
          <w:lang w:eastAsia="en-US"/>
        </w:rPr>
        <w:t>технические условия на вынос / переустройство наземных и подземных инженерных сетей и / или коммуникаций с территории застройки земельного участка;</w:t>
      </w:r>
    </w:p>
    <w:p>
      <w:pPr>
        <w:pStyle w:val="ListParagraph"/>
        <w:widowControl w:val="false"/>
        <w:numPr>
          <w:ilvl w:val="0"/>
          <w:numId w:val="16"/>
        </w:numPr>
        <w:shd w:val="clear" w:color="auto" w:fill="FFFFFF"/>
        <w:tabs>
          <w:tab w:val="left" w:pos="567" w:leader="none"/>
          <w:tab w:val="left" w:pos="1134" w:leader="none"/>
        </w:tabs>
        <w:overflowPunct w:val="true"/>
        <w:ind w:left="0" w:firstLine="709"/>
        <w:jc w:val="both"/>
        <w:textAlignment w:val="baseline"/>
        <w:rPr>
          <w:highlight w:val="white"/>
        </w:rPr>
      </w:pPr>
      <w:r>
        <w:rPr>
          <w:sz w:val="24"/>
          <w:szCs w:val="24"/>
          <w:shd w:fill="FFFFFF" w:val="clear"/>
          <w:lang w:eastAsia="en-US"/>
        </w:rPr>
        <w:t>разрешительные и / или распорядительные документы;</w:t>
      </w:r>
    </w:p>
    <w:p>
      <w:pPr>
        <w:pStyle w:val="ListParagraph"/>
        <w:widowControl w:val="false"/>
        <w:numPr>
          <w:ilvl w:val="0"/>
          <w:numId w:val="16"/>
        </w:numPr>
        <w:shd w:val="clear" w:color="auto" w:fill="FFFFFF"/>
        <w:tabs>
          <w:tab w:val="left" w:pos="567" w:leader="none"/>
          <w:tab w:val="left" w:pos="1134" w:leader="none"/>
        </w:tabs>
        <w:overflowPunct w:val="true"/>
        <w:ind w:left="0" w:firstLine="709"/>
        <w:jc w:val="both"/>
        <w:textAlignment w:val="baseline"/>
        <w:rPr>
          <w:highlight w:val="white"/>
        </w:rPr>
      </w:pPr>
      <w:r>
        <w:rPr>
          <w:sz w:val="24"/>
          <w:szCs w:val="24"/>
          <w:shd w:fill="FFFFFF" w:val="clear"/>
          <w:lang w:eastAsia="en-US"/>
        </w:rPr>
        <w:t>справки, заключения, согласования.</w:t>
      </w:r>
    </w:p>
    <w:p>
      <w:pPr>
        <w:pStyle w:val="ListParagraph"/>
        <w:widowControl w:val="false"/>
        <w:shd w:val="clear" w:color="auto" w:fill="FFFFFF"/>
        <w:tabs>
          <w:tab w:val="left" w:pos="567" w:leader="none"/>
          <w:tab w:val="left" w:pos="1134" w:leader="none"/>
        </w:tabs>
        <w:overflowPunct w:val="true"/>
        <w:ind w:left="0" w:firstLine="708"/>
        <w:jc w:val="both"/>
        <w:textAlignment w:val="baseline"/>
        <w:rPr>
          <w:highlight w:val="white"/>
        </w:rPr>
      </w:pPr>
      <w:r>
        <w:rPr>
          <w:b/>
          <w:sz w:val="24"/>
          <w:szCs w:val="24"/>
          <w:shd w:fill="FFFFFF" w:val="clear"/>
          <w:lang w:eastAsia="en-US"/>
        </w:rPr>
        <w:t>«Коммерческая тайна»</w:t>
      </w:r>
      <w:r>
        <w:rPr>
          <w:sz w:val="24"/>
          <w:szCs w:val="24"/>
          <w:shd w:fill="FFFFFF" w:val="clea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pPr>
        <w:pStyle w:val="ListParagraph"/>
        <w:widowControl w:val="false"/>
        <w:shd w:val="clear" w:color="auto" w:fill="FFFFFF"/>
        <w:tabs>
          <w:tab w:val="left" w:pos="567" w:leader="none"/>
          <w:tab w:val="left" w:pos="1134" w:leader="none"/>
        </w:tabs>
        <w:overflowPunct w:val="true"/>
        <w:ind w:left="0" w:firstLine="708"/>
        <w:jc w:val="both"/>
        <w:textAlignment w:val="baseline"/>
        <w:rPr>
          <w:highlight w:val="white"/>
        </w:rPr>
      </w:pPr>
      <w:r>
        <w:rPr>
          <w:b/>
          <w:sz w:val="24"/>
          <w:szCs w:val="24"/>
          <w:shd w:fill="FFFFFF" w:val="clear"/>
          <w:lang w:eastAsia="en-US"/>
        </w:rPr>
        <w:t>«Лимит на непредвиденные работы и затраты»</w:t>
      </w:r>
      <w:r>
        <w:rPr>
          <w:sz w:val="24"/>
          <w:szCs w:val="24"/>
          <w:shd w:fill="FFFFFF" w:val="clear"/>
          <w:lang w:eastAsia="en-US"/>
        </w:rPr>
        <w:t xml:space="preserve"> – резерв средств на работы </w:t>
        <w:br/>
        <w:t xml:space="preserve">и затраты, предназначенный для возмещения стоимости работ и затрат, потребность </w:t>
        <w:br/>
        <w:t>в которых возникает у Подрядчика в процессе выполнения Работ по Договору в результате уточнения проектных решений и / или условий выполнения Работ.</w:t>
      </w:r>
    </w:p>
    <w:p>
      <w:pPr>
        <w:pStyle w:val="ListParagraph"/>
        <w:widowControl w:val="false"/>
        <w:shd w:val="clear" w:color="auto" w:fill="FFFFFF"/>
        <w:tabs>
          <w:tab w:val="left" w:pos="567" w:leader="none"/>
          <w:tab w:val="left" w:pos="1134" w:leader="none"/>
        </w:tabs>
        <w:overflowPunct w:val="true"/>
        <w:ind w:left="0" w:firstLine="708"/>
        <w:jc w:val="both"/>
        <w:textAlignment w:val="baseline"/>
        <w:rPr>
          <w:highlight w:val="white"/>
        </w:rPr>
      </w:pPr>
      <w:r>
        <w:rPr>
          <w:b/>
          <w:sz w:val="24"/>
          <w:szCs w:val="24"/>
          <w:shd w:fill="FFFFFF" w:val="clear"/>
          <w:lang w:eastAsia="en-US"/>
        </w:rPr>
        <w:t xml:space="preserve">«Обеспечительный платеж» </w:t>
      </w:r>
      <w:r>
        <w:rPr>
          <w:sz w:val="24"/>
          <w:szCs w:val="24"/>
          <w:shd w:fill="FFFFFF" w:val="clear"/>
          <w:lang w:eastAsia="en-US"/>
        </w:rPr>
        <w:t xml:space="preserve">– платеж в размере 10 % (десять процентов) от </w:t>
      </w:r>
      <w:r>
        <w:rPr>
          <w:sz w:val="24"/>
          <w:szCs w:val="24"/>
          <w:shd w:fill="FFFFFF" w:val="clear"/>
        </w:rPr>
        <w:t>стоимости каждого Этапа Работ,</w:t>
      </w:r>
      <w:r>
        <w:rPr>
          <w:sz w:val="24"/>
          <w:szCs w:val="24"/>
          <w:shd w:fill="FFFFFF" w:val="clear"/>
          <w:lang w:eastAsia="en-US"/>
        </w:rPr>
        <w:t xml:space="preserve"> который удерживается Заказчиком в качестве гарантийного резервирования в соответствии с условиями Договора.</w:t>
      </w:r>
    </w:p>
    <w:p>
      <w:pPr>
        <w:pStyle w:val="ListParagraph"/>
        <w:widowControl w:val="false"/>
        <w:shd w:val="clear" w:color="auto" w:fill="FFFFFF"/>
        <w:tabs>
          <w:tab w:val="left" w:pos="567" w:leader="none"/>
          <w:tab w:val="left" w:pos="1134" w:leader="none"/>
        </w:tabs>
        <w:overflowPunct w:val="true"/>
        <w:ind w:left="0" w:firstLine="708"/>
        <w:jc w:val="both"/>
        <w:textAlignment w:val="baseline"/>
        <w:rPr>
          <w:highlight w:val="white"/>
        </w:rPr>
      </w:pPr>
      <w:r>
        <w:rPr>
          <w:b/>
          <w:sz w:val="24"/>
          <w:szCs w:val="24"/>
          <w:shd w:fill="FFFFFF" w:val="clear"/>
          <w:lang w:eastAsia="en-US"/>
        </w:rPr>
        <w:t xml:space="preserve">«Отказ от Договора» </w:t>
      </w:r>
      <w:r>
        <w:rPr>
          <w:sz w:val="24"/>
          <w:szCs w:val="24"/>
          <w:shd w:fill="FFFFFF" w:val="clear"/>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Normal"/>
        <w:spacing w:lineRule="auto" w:line="240"/>
        <w:ind w:firstLine="709"/>
        <w:rPr>
          <w:highlight w:val="white"/>
        </w:rPr>
      </w:pPr>
      <w:r>
        <w:rPr>
          <w:b/>
          <w:sz w:val="24"/>
          <w:szCs w:val="24"/>
          <w:shd w:fill="FFFFFF" w:val="clear"/>
        </w:rPr>
        <w:t>«Предварительная смета»</w:t>
      </w:r>
      <w:r>
        <w:rPr>
          <w:sz w:val="24"/>
          <w:szCs w:val="24"/>
          <w:shd w:fill="FFFFFF" w:val="clear"/>
        </w:rPr>
        <w:t xml:space="preserve"> </w:t>
      </w:r>
      <w:r>
        <w:rPr>
          <w:sz w:val="24"/>
          <w:szCs w:val="24"/>
          <w:shd w:fill="FFFFFF" w:val="clear"/>
          <w:lang w:eastAsia="en-US"/>
        </w:rPr>
        <w:t>–</w:t>
      </w:r>
      <w:r>
        <w:rPr>
          <w:sz w:val="24"/>
          <w:szCs w:val="24"/>
          <w:shd w:fill="FFFFFF" w:val="clear"/>
        </w:rPr>
        <w:t xml:space="preserve"> </w:t>
      </w:r>
      <w:r>
        <w:rPr>
          <w:color w:val="000000"/>
          <w:sz w:val="24"/>
          <w:szCs w:val="24"/>
          <w:shd w:fill="FFFFFF" w:val="clear"/>
        </w:rPr>
        <w:t>сметный расчет стоимости планируемых изыскательских работ, составляемый на основе технического задания Заказчика и программы изысканий в соответствии с действующим порядком ценообразования в инженерных изысканиях, составленный с применением сметных нормативов, сведения о которых включены в Федеральный реестр сметных нормативов, подлежащих применению при определении сметной стоимости объектов капитального строительства, строительство которых финансируется с привлечением средств федерального бюджета,</w:t>
      </w:r>
      <w:r>
        <w:rPr>
          <w:sz w:val="24"/>
          <w:szCs w:val="24"/>
          <w:shd w:fill="FFFFFF" w:val="clear"/>
        </w:rPr>
        <w:t xml:space="preserve"> </w:t>
      </w:r>
      <w:r>
        <w:rPr>
          <w:color w:val="000000"/>
          <w:sz w:val="24"/>
          <w:szCs w:val="24"/>
          <w:shd w:fill="FFFFFF" w:val="clear"/>
        </w:rPr>
        <w:t>и подлежащий корректировке в соответствии с фактически выполненными объемами работ.</w:t>
      </w:r>
    </w:p>
    <w:p>
      <w:pPr>
        <w:pStyle w:val="3"/>
        <w:keepNext w:val="false"/>
        <w:widowControl w:val="false"/>
        <w:tabs>
          <w:tab w:val="left" w:pos="567" w:leader="none"/>
        </w:tabs>
        <w:overflowPunct w:val="true"/>
        <w:spacing w:before="0" w:after="0"/>
        <w:ind w:firstLine="708"/>
        <w:jc w:val="both"/>
        <w:textAlignment w:val="baseline"/>
        <w:rPr>
          <w:highlight w:val="white"/>
        </w:rPr>
      </w:pPr>
      <w:r>
        <w:rPr>
          <w:sz w:val="24"/>
          <w:szCs w:val="24"/>
          <w:shd w:fill="FFFFFF" w:val="clear"/>
          <w:lang w:val="ru-RU" w:eastAsia="en-US"/>
        </w:rPr>
        <w:t>«Применимое право»</w:t>
      </w:r>
      <w:r>
        <w:rPr>
          <w:b w:val="false"/>
          <w:sz w:val="24"/>
          <w:szCs w:val="24"/>
          <w:shd w:fill="FFFFFF" w:val="clear"/>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w:t>
      </w:r>
    </w:p>
    <w:p>
      <w:pPr>
        <w:pStyle w:val="3"/>
        <w:keepNext w:val="false"/>
        <w:widowControl w:val="false"/>
        <w:tabs>
          <w:tab w:val="left" w:pos="567" w:leader="none"/>
        </w:tabs>
        <w:overflowPunct w:val="true"/>
        <w:spacing w:before="0" w:after="0"/>
        <w:ind w:firstLine="708"/>
        <w:jc w:val="both"/>
        <w:textAlignment w:val="baseline"/>
        <w:rPr>
          <w:highlight w:val="white"/>
        </w:rPr>
      </w:pPr>
      <w:r>
        <w:rPr>
          <w:sz w:val="24"/>
          <w:szCs w:val="24"/>
          <w:shd w:fill="FFFFFF" w:val="clear"/>
          <w:lang w:val="ru-RU" w:eastAsia="en-US"/>
        </w:rPr>
        <w:t>«Проектная документация»</w:t>
      </w:r>
      <w:r>
        <w:rPr>
          <w:b w:val="false"/>
          <w:sz w:val="24"/>
          <w:szCs w:val="24"/>
          <w:shd w:fill="FFFFFF" w:val="clear"/>
          <w:lang w:val="ru-RU"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pPr>
        <w:pStyle w:val="3"/>
        <w:keepNext w:val="false"/>
        <w:widowControl w:val="false"/>
        <w:tabs>
          <w:tab w:val="left" w:pos="567" w:leader="none"/>
        </w:tabs>
        <w:overflowPunct w:val="true"/>
        <w:spacing w:before="0" w:after="0"/>
        <w:ind w:firstLine="708"/>
        <w:jc w:val="both"/>
        <w:textAlignment w:val="baseline"/>
        <w:rPr>
          <w:highlight w:val="white"/>
        </w:rPr>
      </w:pPr>
      <w:r>
        <w:rPr>
          <w:b w:val="false"/>
          <w:sz w:val="24"/>
          <w:szCs w:val="24"/>
          <w:shd w:fill="FFFFFF" w:val="clear"/>
          <w:lang w:val="ru-RU" w:eastAsia="en-US"/>
        </w:rPr>
        <w:t xml:space="preserve">Состав разделов Проектной документации определяется Применимым правом. </w:t>
      </w:r>
    </w:p>
    <w:p>
      <w:pPr>
        <w:pStyle w:val="3"/>
        <w:keepNext w:val="false"/>
        <w:widowControl w:val="false"/>
        <w:tabs>
          <w:tab w:val="left" w:pos="567" w:leader="none"/>
        </w:tabs>
        <w:overflowPunct w:val="true"/>
        <w:spacing w:before="0" w:after="0"/>
        <w:ind w:firstLine="708"/>
        <w:jc w:val="both"/>
        <w:textAlignment w:val="baseline"/>
        <w:rPr>
          <w:highlight w:val="white"/>
        </w:rPr>
      </w:pPr>
      <w:r>
        <w:rPr>
          <w:b w:val="false"/>
          <w:sz w:val="24"/>
          <w:szCs w:val="24"/>
          <w:shd w:fill="FFFFFF" w:val="clear"/>
          <w:lang w:val="ru-RU"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Заказчика.</w:t>
      </w:r>
    </w:p>
    <w:p>
      <w:pPr>
        <w:pStyle w:val="3"/>
        <w:keepNext w:val="false"/>
        <w:widowControl w:val="false"/>
        <w:tabs>
          <w:tab w:val="left" w:pos="567" w:leader="none"/>
        </w:tabs>
        <w:overflowPunct w:val="true"/>
        <w:spacing w:before="0" w:after="0"/>
        <w:ind w:firstLine="708"/>
        <w:jc w:val="both"/>
        <w:textAlignment w:val="baseline"/>
        <w:rPr>
          <w:highlight w:val="white"/>
        </w:rPr>
      </w:pPr>
      <w:r>
        <w:rPr>
          <w:sz w:val="24"/>
          <w:szCs w:val="24"/>
          <w:shd w:fill="FFFFFF" w:val="clear"/>
          <w:lang w:val="ru-RU" w:eastAsia="en-US"/>
        </w:rPr>
        <w:t>«Работы»</w:t>
      </w:r>
      <w:r>
        <w:rPr>
          <w:b w:val="false"/>
          <w:sz w:val="24"/>
          <w:szCs w:val="24"/>
          <w:shd w:fill="FFFFFF" w:val="clear"/>
          <w:lang w:val="ru-RU" w:eastAsia="en-US"/>
        </w:rPr>
        <w:t xml:space="preserve"> – все выполняемые Подрядчиком на свой риск, с использованием своих и / или привлеченных за свой счет сил и средств (оборудования, инструмента), в соответствии с условиями Договора и Применимым правом работы, в том числе: работы по исправлению</w:t>
      </w:r>
      <w:r>
        <w:rPr>
          <w:sz w:val="24"/>
          <w:szCs w:val="24"/>
          <w:shd w:fill="FFFFFF" w:val="clear"/>
          <w:lang w:eastAsia="ru-RU"/>
        </w:rPr>
        <w:t xml:space="preserve"> </w:t>
      </w:r>
      <w:r>
        <w:rPr>
          <w:b w:val="false"/>
          <w:sz w:val="24"/>
          <w:szCs w:val="24"/>
          <w:shd w:fill="FFFFFF" w:val="clear"/>
          <w:lang w:val="ru-RU" w:eastAsia="ru-RU"/>
        </w:rPr>
        <w:t>выявленных</w:t>
      </w:r>
      <w:r>
        <w:rPr>
          <w:sz w:val="24"/>
          <w:szCs w:val="24"/>
          <w:shd w:fill="FFFFFF" w:val="clear"/>
          <w:lang w:val="ru-RU" w:eastAsia="ru-RU"/>
        </w:rPr>
        <w:t xml:space="preserve"> </w:t>
      </w:r>
      <w:r>
        <w:rPr>
          <w:b w:val="false"/>
          <w:sz w:val="24"/>
          <w:szCs w:val="24"/>
          <w:shd w:fill="FFFFFF" w:val="clear"/>
          <w:lang w:eastAsia="ru-RU"/>
        </w:rPr>
        <w:t>недостатков, несоответстви</w:t>
      </w:r>
      <w:r>
        <w:rPr>
          <w:b w:val="false"/>
          <w:sz w:val="24"/>
          <w:szCs w:val="24"/>
          <w:shd w:fill="FFFFFF" w:val="clear"/>
          <w:lang w:val="ru-RU" w:eastAsia="ru-RU"/>
        </w:rPr>
        <w:t>й</w:t>
      </w:r>
      <w:r>
        <w:rPr>
          <w:b w:val="false"/>
          <w:sz w:val="24"/>
          <w:szCs w:val="24"/>
          <w:shd w:fill="FFFFFF" w:val="clear"/>
          <w:lang w:eastAsia="ru-RU"/>
        </w:rPr>
        <w:t xml:space="preserve"> в </w:t>
      </w:r>
      <w:r>
        <w:rPr>
          <w:b w:val="false"/>
          <w:sz w:val="24"/>
          <w:szCs w:val="24"/>
          <w:shd w:fill="FFFFFF" w:val="clear"/>
          <w:lang w:val="ru-RU" w:eastAsia="ru-RU"/>
        </w:rPr>
        <w:t>Результате</w:t>
      </w:r>
      <w:r>
        <w:rPr>
          <w:b w:val="false"/>
          <w:sz w:val="24"/>
          <w:szCs w:val="24"/>
          <w:shd w:fill="FFFFFF" w:val="clear"/>
          <w:lang w:eastAsia="ru-RU"/>
        </w:rPr>
        <w:t xml:space="preserve"> </w:t>
      </w:r>
      <w:r>
        <w:rPr>
          <w:b w:val="false"/>
          <w:sz w:val="24"/>
          <w:szCs w:val="24"/>
          <w:shd w:fill="FFFFFF" w:val="clear"/>
          <w:lang w:val="ru-RU" w:eastAsia="ru-RU"/>
        </w:rPr>
        <w:t>Работ</w:t>
      </w:r>
      <w:r>
        <w:rPr>
          <w:b w:val="false"/>
          <w:sz w:val="24"/>
          <w:szCs w:val="24"/>
          <w:shd w:fill="FFFFFF" w:val="clear"/>
          <w:lang w:eastAsia="ru-RU"/>
        </w:rPr>
        <w:t xml:space="preserve">, а также любые иные работы, необходимые для выполнения Подрядчиком своих обязательств по Договору, независимо от </w:t>
      </w:r>
      <w:r>
        <w:rPr>
          <w:b w:val="false"/>
          <w:sz w:val="24"/>
          <w:szCs w:val="24"/>
          <w:shd w:fill="FFFFFF" w:val="clear"/>
          <w:lang w:val="ru-RU" w:eastAsia="ru-RU"/>
        </w:rPr>
        <w:t>их</w:t>
      </w:r>
      <w:r>
        <w:rPr>
          <w:b w:val="false"/>
          <w:sz w:val="24"/>
          <w:szCs w:val="24"/>
          <w:shd w:fill="FFFFFF" w:val="clear"/>
          <w:lang w:eastAsia="ru-RU"/>
        </w:rPr>
        <w:t xml:space="preserve"> прямо</w:t>
      </w:r>
      <w:r>
        <w:rPr>
          <w:b w:val="false"/>
          <w:sz w:val="24"/>
          <w:szCs w:val="24"/>
          <w:shd w:fill="FFFFFF" w:val="clear"/>
          <w:lang w:val="ru-RU" w:eastAsia="ru-RU"/>
        </w:rPr>
        <w:t>го указания</w:t>
      </w:r>
      <w:r>
        <w:rPr>
          <w:b w:val="false"/>
          <w:sz w:val="24"/>
          <w:szCs w:val="24"/>
          <w:shd w:fill="FFFFFF" w:val="clear"/>
          <w:lang w:eastAsia="ru-RU"/>
        </w:rPr>
        <w:t xml:space="preserve"> в Договоре.</w:t>
      </w:r>
      <w:r>
        <w:rPr>
          <w:sz w:val="24"/>
          <w:szCs w:val="24"/>
          <w:shd w:fill="FFFFFF" w:val="clear"/>
          <w:lang w:eastAsia="ru-RU"/>
        </w:rPr>
        <w:t xml:space="preserve"> </w:t>
      </w:r>
    </w:p>
    <w:p>
      <w:pPr>
        <w:pStyle w:val="Normal"/>
        <w:widowControl w:val="false"/>
        <w:tabs>
          <w:tab w:val="left" w:pos="567" w:leader="none"/>
        </w:tabs>
        <w:spacing w:lineRule="auto" w:line="240"/>
        <w:ind w:firstLine="708"/>
        <w:rPr>
          <w:highlight w:val="white"/>
        </w:rPr>
      </w:pPr>
      <w:r>
        <w:rPr>
          <w:sz w:val="24"/>
          <w:szCs w:val="24"/>
          <w:shd w:fill="FFFFFF" w:val="clear"/>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pPr>
        <w:pStyle w:val="Normal"/>
        <w:widowControl w:val="false"/>
        <w:tabs>
          <w:tab w:val="left" w:pos="567" w:leader="none"/>
        </w:tabs>
        <w:spacing w:lineRule="auto" w:line="240"/>
        <w:ind w:firstLine="708"/>
        <w:rPr>
          <w:highlight w:val="white"/>
        </w:rPr>
      </w:pPr>
      <w:r>
        <w:rPr>
          <w:b/>
          <w:sz w:val="24"/>
          <w:szCs w:val="24"/>
          <w:shd w:fill="FFFFFF" w:val="clear"/>
          <w:lang w:eastAsia="en-US"/>
        </w:rPr>
        <w:t xml:space="preserve">«Рабочая документация» – </w:t>
      </w:r>
      <w:r>
        <w:rPr>
          <w:sz w:val="24"/>
          <w:szCs w:val="24"/>
          <w:shd w:fill="FFFFFF" w:val="clear"/>
          <w:lang w:eastAsia="en-US"/>
        </w:rPr>
        <w:t xml:space="preserve">совокупность текстовых и графических документов 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для производства строительных и монтажных работ, обеспечения строительства оборудованием, изделиями и материалами и / или изготовления строительных изделий, содержащая: </w:t>
      </w:r>
    </w:p>
    <w:p>
      <w:pPr>
        <w:pStyle w:val="ListParagraph"/>
        <w:widowControl w:val="false"/>
        <w:numPr>
          <w:ilvl w:val="0"/>
          <w:numId w:val="3"/>
        </w:numPr>
        <w:shd w:val="clear" w:color="auto" w:fill="FFFFFF"/>
        <w:tabs>
          <w:tab w:val="left" w:pos="567" w:leader="none"/>
          <w:tab w:val="left" w:pos="1134" w:leader="none"/>
        </w:tabs>
        <w:overflowPunct w:val="true"/>
        <w:ind w:left="0" w:firstLine="708"/>
        <w:jc w:val="both"/>
        <w:textAlignment w:val="baseline"/>
        <w:rPr>
          <w:highlight w:val="white"/>
        </w:rPr>
      </w:pPr>
      <w:r>
        <w:rPr>
          <w:sz w:val="24"/>
          <w:szCs w:val="24"/>
          <w:shd w:fill="FFFFFF" w:val="clear"/>
          <w:lang w:eastAsia="en-US"/>
        </w:rPr>
        <w:t>рабочие чертежи основного комплекта, спецификации оборудования и изделий;</w:t>
      </w:r>
    </w:p>
    <w:p>
      <w:pPr>
        <w:pStyle w:val="ListParagraph"/>
        <w:widowControl w:val="false"/>
        <w:numPr>
          <w:ilvl w:val="0"/>
          <w:numId w:val="3"/>
        </w:numPr>
        <w:shd w:val="clear" w:color="auto" w:fill="FFFFFF"/>
        <w:tabs>
          <w:tab w:val="left" w:pos="567" w:leader="none"/>
          <w:tab w:val="left" w:pos="1134" w:leader="none"/>
        </w:tabs>
        <w:overflowPunct w:val="true"/>
        <w:ind w:left="0" w:firstLine="708"/>
        <w:jc w:val="both"/>
        <w:textAlignment w:val="baseline"/>
        <w:rPr>
          <w:highlight w:val="white"/>
        </w:rPr>
      </w:pPr>
      <w:r>
        <w:rPr>
          <w:sz w:val="24"/>
          <w:szCs w:val="24"/>
          <w:shd w:fill="FFFFFF" w:val="clear"/>
          <w:lang w:eastAsia="en-US"/>
        </w:rPr>
        <w:t>документы, разработанные в дополнение к рабочим чертежам основного комплекта;</w:t>
      </w:r>
    </w:p>
    <w:p>
      <w:pPr>
        <w:pStyle w:val="ListParagraph"/>
        <w:widowControl w:val="false"/>
        <w:numPr>
          <w:ilvl w:val="0"/>
          <w:numId w:val="3"/>
        </w:numPr>
        <w:shd w:val="clear" w:color="auto" w:fill="FFFFFF"/>
        <w:tabs>
          <w:tab w:val="left" w:pos="567" w:leader="none"/>
          <w:tab w:val="left" w:pos="1134" w:leader="none"/>
        </w:tabs>
        <w:overflowPunct w:val="true"/>
        <w:ind w:left="0" w:firstLine="708"/>
        <w:jc w:val="both"/>
        <w:textAlignment w:val="baseline"/>
        <w:rPr>
          <w:highlight w:val="white"/>
        </w:rPr>
      </w:pPr>
      <w:r>
        <w:rPr>
          <w:sz w:val="24"/>
          <w:szCs w:val="24"/>
          <w:shd w:fill="FFFFFF" w:val="clear"/>
          <w:lang w:eastAsia="en-US"/>
        </w:rPr>
        <w:t>сметную документацию.</w:t>
      </w:r>
    </w:p>
    <w:p>
      <w:pPr>
        <w:pStyle w:val="Normal"/>
        <w:widowControl w:val="false"/>
        <w:tabs>
          <w:tab w:val="left" w:pos="567" w:leader="none"/>
        </w:tabs>
        <w:spacing w:lineRule="auto" w:line="240"/>
        <w:ind w:firstLine="708"/>
        <w:rPr>
          <w:highlight w:val="white"/>
        </w:rPr>
      </w:pPr>
      <w:r>
        <w:rPr>
          <w:b/>
          <w:sz w:val="24"/>
          <w:szCs w:val="24"/>
          <w:shd w:fill="FFFFFF" w:val="clear"/>
        </w:rPr>
        <w:t>«Рабочий день»</w:t>
      </w:r>
      <w:r>
        <w:rPr>
          <w:sz w:val="24"/>
          <w:szCs w:val="24"/>
          <w:shd w:fill="FFFFFF" w:val="clear"/>
        </w:rPr>
        <w:t xml:space="preserve"> – день, который в соответствии с Применимым правом, является рабочим днем в Российской Федерации.</w:t>
      </w:r>
    </w:p>
    <w:p>
      <w:pPr>
        <w:pStyle w:val="3"/>
        <w:keepNext w:val="false"/>
        <w:widowControl w:val="false"/>
        <w:tabs>
          <w:tab w:val="left" w:pos="567" w:leader="none"/>
        </w:tabs>
        <w:overflowPunct w:val="true"/>
        <w:spacing w:before="0" w:after="0"/>
        <w:ind w:firstLine="708"/>
        <w:jc w:val="both"/>
        <w:textAlignment w:val="baseline"/>
        <w:rPr>
          <w:highlight w:val="white"/>
        </w:rPr>
      </w:pPr>
      <w:r>
        <w:rPr>
          <w:sz w:val="24"/>
          <w:szCs w:val="24"/>
          <w:shd w:fill="FFFFFF" w:val="clear"/>
          <w:lang w:val="ru-RU" w:eastAsia="en-US"/>
        </w:rPr>
        <w:t>«Результат Работ»</w:t>
      </w:r>
      <w:r>
        <w:rPr>
          <w:b w:val="false"/>
          <w:sz w:val="24"/>
          <w:szCs w:val="24"/>
          <w:shd w:fill="FFFFFF" w:val="clear"/>
          <w:lang w:val="ru-RU" w:eastAsia="en-US"/>
        </w:rPr>
        <w:t xml:space="preserve"> – выполненная Подрядчиком и принятая Заказчиком по Акту сдачи-приемки выполненных работ Проектная документация, Рабочая документация или иной результат Этапа Работ, соответствующий требованиям, изложенным в Техническом задании (Приложение № 1 к Договору), в том числе требованиям к отчетным документам (состав, количество, формат, носитель и т.д.), подлежащим передаче Подрядчиком Заказчику в составе Результата Работ.</w:t>
      </w:r>
    </w:p>
    <w:p>
      <w:pPr>
        <w:pStyle w:val="Normal"/>
        <w:spacing w:lineRule="auto" w:line="240"/>
        <w:ind w:firstLine="709"/>
        <w:rPr>
          <w:highlight w:val="white"/>
        </w:rPr>
      </w:pPr>
      <w:r>
        <w:rPr>
          <w:b/>
          <w:sz w:val="24"/>
          <w:szCs w:val="24"/>
          <w:shd w:fill="FFFFFF" w:val="clear"/>
          <w:lang w:eastAsia="en-US"/>
        </w:rPr>
        <w:t>«Результат Инженерных изысканий»</w:t>
      </w:r>
      <w:r>
        <w:rPr>
          <w:sz w:val="24"/>
          <w:szCs w:val="24"/>
          <w:shd w:fill="FFFFFF" w:val="clear"/>
          <w:lang w:eastAsia="en-US"/>
        </w:rPr>
        <w:t xml:space="preserve"> – документация о выполненных инженерных изысканиях, содержащая материалы в текстовой форме и в виде карт (схем) и отражающая сведения о задачах инженерных изысканий, о местоположении территории, на которой планируется осуществлять строительство, реконструкцию объекта капитального строительства, о видах, об объеме, о способах и о сроках проведения работ по выполнению инженерных изысканий в соответствии с программой инженерных изысканий, о качестве выполненных инженерных изысканий, о результатах комплексного изучения природных и техногенных условий указанной территории, в том числе о результатах изучения, оценки и прогноза возможных изменений природных и техногенных условий указанной территории применительно к объекту капитального строительства при осуществлении строительства / реконструкции такого объекта и после их завершения, и о результатах оценки влияния строительства / реконструкции такого объекта на другие объекты капитального строительства.</w:t>
      </w:r>
    </w:p>
    <w:p>
      <w:pPr>
        <w:pStyle w:val="3"/>
        <w:keepNext w:val="false"/>
        <w:widowControl w:val="false"/>
        <w:tabs>
          <w:tab w:val="left" w:pos="567" w:leader="none"/>
        </w:tabs>
        <w:overflowPunct w:val="true"/>
        <w:spacing w:before="0" w:after="0"/>
        <w:ind w:firstLine="708"/>
        <w:jc w:val="both"/>
        <w:textAlignment w:val="baseline"/>
        <w:rPr>
          <w:highlight w:val="white"/>
        </w:rPr>
      </w:pPr>
      <w:r>
        <w:rPr>
          <w:sz w:val="24"/>
          <w:szCs w:val="24"/>
          <w:shd w:fill="FFFFFF" w:val="clear"/>
          <w:lang w:val="ru-RU" w:eastAsia="en-US"/>
        </w:rPr>
        <w:t>«Смета»</w:t>
      </w:r>
      <w:r>
        <w:rPr>
          <w:b w:val="false"/>
          <w:sz w:val="24"/>
          <w:szCs w:val="24"/>
          <w:shd w:fill="FFFFFF" w:val="clear"/>
          <w:lang w:val="ru-RU" w:eastAsia="en-US"/>
        </w:rPr>
        <w:t xml:space="preserve"> – сметный расчет стоимости Работ, составляемый в соответствии с требованиями Заказчика к оформлению и составлению сметной документации на выполнение Проектных работ.</w:t>
      </w:r>
    </w:p>
    <w:p>
      <w:pPr>
        <w:pStyle w:val="3"/>
        <w:keepNext w:val="false"/>
        <w:widowControl w:val="false"/>
        <w:tabs>
          <w:tab w:val="left" w:pos="567" w:leader="none"/>
        </w:tabs>
        <w:overflowPunct w:val="true"/>
        <w:spacing w:before="0" w:after="0"/>
        <w:ind w:firstLine="708"/>
        <w:jc w:val="both"/>
        <w:textAlignment w:val="baseline"/>
        <w:rPr>
          <w:highlight w:val="white"/>
        </w:rPr>
      </w:pPr>
      <w:r>
        <w:rPr>
          <w:sz w:val="24"/>
          <w:szCs w:val="24"/>
          <w:shd w:fill="FFFFFF" w:val="clear"/>
          <w:lang w:val="ru-RU" w:eastAsia="en-US"/>
        </w:rPr>
        <w:t>«Сводная смета»</w:t>
      </w:r>
      <w:r>
        <w:rPr>
          <w:b w:val="false"/>
          <w:sz w:val="24"/>
          <w:szCs w:val="24"/>
          <w:shd w:fill="FFFFFF" w:val="clear"/>
          <w:lang w:val="ru-RU" w:eastAsia="en-US"/>
        </w:rPr>
        <w:t xml:space="preserve"> – сметный расчет, составляемый в случае, если комплект сметной документации на выполнение Работ по Договору включает в себя несколько Смет.</w:t>
      </w:r>
    </w:p>
    <w:p>
      <w:pPr>
        <w:pStyle w:val="Normal"/>
        <w:spacing w:lineRule="auto" w:line="240"/>
        <w:ind w:firstLine="709"/>
        <w:rPr>
          <w:highlight w:val="white"/>
        </w:rPr>
      </w:pPr>
      <w:r>
        <w:rPr>
          <w:b/>
          <w:sz w:val="24"/>
          <w:szCs w:val="24"/>
          <w:shd w:fill="FFFFFF" w:val="clear"/>
          <w:lang w:eastAsia="en-US"/>
        </w:rPr>
        <w:t>«Субъект МСП»</w:t>
      </w:r>
      <w:r>
        <w:rPr>
          <w:sz w:val="24"/>
          <w:szCs w:val="24"/>
          <w:shd w:fill="FFFFFF" w:val="clear"/>
          <w:lang w:eastAsia="en-US"/>
        </w:rPr>
        <w:t xml:space="preserve"> – субъект малого и среднего предпринимательства.</w:t>
      </w:r>
    </w:p>
    <w:p>
      <w:pPr>
        <w:pStyle w:val="3"/>
        <w:keepNext w:val="false"/>
        <w:widowControl w:val="false"/>
        <w:tabs>
          <w:tab w:val="left" w:pos="567" w:leader="none"/>
        </w:tabs>
        <w:overflowPunct w:val="true"/>
        <w:spacing w:lineRule="auto" w:line="240" w:before="0" w:after="0"/>
        <w:ind w:firstLine="708"/>
        <w:jc w:val="both"/>
        <w:textAlignment w:val="baseline"/>
        <w:rPr>
          <w:highlight w:val="white"/>
        </w:rPr>
      </w:pPr>
      <w:r>
        <w:rPr>
          <w:sz w:val="24"/>
          <w:szCs w:val="24"/>
          <w:shd w:fill="FFFFFF" w:val="clear"/>
          <w:lang w:val="ru-RU" w:eastAsia="en-US"/>
        </w:rPr>
        <w:t xml:space="preserve"> </w:t>
      </w:r>
      <w:r>
        <w:rPr>
          <w:sz w:val="24"/>
          <w:szCs w:val="24"/>
          <w:shd w:fill="FFFFFF" w:val="clear"/>
          <w:lang w:val="ru-RU" w:eastAsia="en-US"/>
        </w:rPr>
        <w:t>«Субподрядчик»</w:t>
      </w:r>
      <w:r>
        <w:rPr>
          <w:b w:val="false"/>
          <w:sz w:val="24"/>
          <w:szCs w:val="24"/>
          <w:shd w:fill="FFFFFF" w:val="clear"/>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по Договору.</w:t>
      </w:r>
    </w:p>
    <w:p>
      <w:pPr>
        <w:pStyle w:val="3"/>
        <w:keepNext w:val="false"/>
        <w:widowControl w:val="false"/>
        <w:tabs>
          <w:tab w:val="left" w:pos="567" w:leader="none"/>
        </w:tabs>
        <w:overflowPunct w:val="true"/>
        <w:spacing w:lineRule="auto" w:line="240" w:before="0" w:after="0"/>
        <w:ind w:firstLine="708"/>
        <w:jc w:val="both"/>
        <w:textAlignment w:val="baseline"/>
        <w:rPr>
          <w:highlight w:val="white"/>
        </w:rPr>
      </w:pPr>
      <w:r>
        <w:rPr>
          <w:sz w:val="24"/>
          <w:szCs w:val="24"/>
          <w:shd w:fill="FFFFFF" w:val="clear"/>
          <w:lang w:val="ru-RU" w:eastAsia="en-US"/>
        </w:rPr>
        <w:t>«Техническое задание»</w:t>
      </w:r>
      <w:r>
        <w:rPr>
          <w:b w:val="false"/>
          <w:sz w:val="24"/>
          <w:szCs w:val="24"/>
          <w:shd w:fill="FFFFFF" w:val="clear"/>
          <w:lang w:val="ru-RU" w:eastAsia="en-US"/>
        </w:rPr>
        <w:t xml:space="preserve"> – документ, содержащий указание на состав исходных данных, объем и состав Работ по Договору, а также требования Заказчика к выполнению Подрядчиком Работ по Договору в целом.</w:t>
      </w:r>
    </w:p>
    <w:p>
      <w:pPr>
        <w:pStyle w:val="Normal"/>
        <w:widowControl w:val="false"/>
        <w:spacing w:lineRule="auto" w:line="240" w:before="0" w:after="0"/>
        <w:ind w:left="0" w:right="0" w:firstLine="709"/>
        <w:jc w:val="both"/>
        <w:rPr>
          <w:highlight w:val="white"/>
        </w:rPr>
      </w:pPr>
      <w:r>
        <w:rPr>
          <w:b/>
          <w:bCs/>
          <w:sz w:val="24"/>
          <w:szCs w:val="24"/>
          <w:shd w:fill="FFFFFF" w:val="clear"/>
        </w:rPr>
        <w:t>Универсальный передаточный документ (УПД)</w:t>
      </w:r>
      <w:r>
        <w:rPr>
          <w:sz w:val="24"/>
          <w:szCs w:val="24"/>
          <w:shd w:fill="FFFFFF" w:val="clear"/>
        </w:rPr>
        <w:t xml:space="preserve"> – форма документа, рекомендованная для применения письмом ФНС России от 21.10.2013 No ММВ-20-3/96@ (объединяет реквизиты счета-фактуры и первичного документа о передаче товаров, работ, услуг).</w:t>
      </w:r>
    </w:p>
    <w:p>
      <w:pPr>
        <w:pStyle w:val="3"/>
        <w:keepNext w:val="false"/>
        <w:widowControl w:val="false"/>
        <w:tabs>
          <w:tab w:val="left" w:pos="567" w:leader="none"/>
        </w:tabs>
        <w:overflowPunct w:val="true"/>
        <w:spacing w:lineRule="auto" w:line="240" w:before="0" w:after="0"/>
        <w:ind w:firstLine="708"/>
        <w:jc w:val="both"/>
        <w:textAlignment w:val="baseline"/>
        <w:rPr>
          <w:highlight w:val="white"/>
        </w:rPr>
      </w:pPr>
      <w:r>
        <w:rPr>
          <w:sz w:val="24"/>
          <w:szCs w:val="24"/>
          <w:shd w:fill="FFFFFF" w:val="clear"/>
          <w:lang w:val="ru-RU" w:eastAsia="en-US"/>
        </w:rPr>
        <w:t>«Цена Договора»</w:t>
      </w:r>
      <w:r>
        <w:rPr>
          <w:b w:val="false"/>
          <w:sz w:val="24"/>
          <w:szCs w:val="24"/>
          <w:shd w:fill="FFFFFF" w:val="clear"/>
          <w:lang w:val="ru-RU" w:eastAsia="en-US"/>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Pr>
          <w:sz w:val="24"/>
          <w:szCs w:val="24"/>
          <w:shd w:fill="FFFFFF" w:val="clear"/>
        </w:rPr>
        <w:t xml:space="preserve"> </w:t>
      </w:r>
      <w:r>
        <w:rPr>
          <w:b w:val="false"/>
          <w:sz w:val="24"/>
          <w:szCs w:val="24"/>
          <w:shd w:fill="FFFFFF" w:val="clear"/>
          <w:lang w:val="ru-RU" w:eastAsia="en-US"/>
        </w:rPr>
        <w:t xml:space="preserve">на весь период действия Договора. </w:t>
      </w:r>
    </w:p>
    <w:p>
      <w:pPr>
        <w:pStyle w:val="3"/>
        <w:keepNext w:val="false"/>
        <w:widowControl w:val="false"/>
        <w:tabs>
          <w:tab w:val="left" w:pos="567" w:leader="none"/>
        </w:tabs>
        <w:overflowPunct w:val="true"/>
        <w:spacing w:before="0" w:after="0"/>
        <w:ind w:firstLine="708"/>
        <w:jc w:val="both"/>
        <w:textAlignment w:val="baseline"/>
        <w:rPr>
          <w:highlight w:val="white"/>
        </w:rPr>
      </w:pPr>
      <w:r>
        <w:rPr>
          <w:sz w:val="24"/>
          <w:szCs w:val="24"/>
          <w:shd w:fill="FFFFFF" w:val="clear"/>
          <w:lang w:val="ru-RU" w:eastAsia="en-US"/>
        </w:rPr>
        <w:t>«Этап Работ»</w:t>
      </w:r>
      <w:r>
        <w:rPr>
          <w:b w:val="false"/>
          <w:sz w:val="24"/>
          <w:szCs w:val="24"/>
          <w:shd w:fill="FFFFFF" w:val="clear"/>
          <w:lang w:val="ru-RU" w:eastAsia="en-US"/>
        </w:rPr>
        <w:t xml:space="preserve"> – законченный объем Работ, предусмотренный Календарным графиком выполнения Работ, который обладает признаками завершенности. </w:t>
      </w:r>
    </w:p>
    <w:p>
      <w:pPr>
        <w:pStyle w:val="3"/>
        <w:keepNext w:val="false"/>
        <w:widowControl w:val="false"/>
        <w:tabs>
          <w:tab w:val="left" w:pos="567" w:leader="none"/>
        </w:tabs>
        <w:overflowPunct w:val="true"/>
        <w:spacing w:before="0" w:after="0"/>
        <w:ind w:firstLine="708"/>
        <w:jc w:val="both"/>
        <w:textAlignment w:val="baseline"/>
        <w:rPr>
          <w:highlight w:val="white"/>
        </w:rPr>
      </w:pPr>
      <w:r>
        <w:rPr>
          <w:b w:val="false"/>
          <w:sz w:val="24"/>
          <w:szCs w:val="24"/>
          <w:shd w:fill="FFFFFF" w:val="clear"/>
          <w:lang w:val="ru-RU" w:eastAsia="en-US"/>
        </w:rPr>
        <w:t>Этап как технологически обособленная часть Работ, в отношении которой Сторонами согласованы сроки выполнения Работ и требования к результатам, считается выделенным в рамках общего объема Работ и подлежит отдельной приемке Заказчиком в соответствии с разделом 4 Договора. В ином случае считается, что приемке Заказчиком подлежит только Результат Работ в целом</w:t>
      </w:r>
      <w:r>
        <w:rPr>
          <w:b w:val="false"/>
          <w:sz w:val="24"/>
          <w:szCs w:val="24"/>
          <w:shd w:fill="FFFFFF" w:val="clear"/>
        </w:rPr>
        <w:t xml:space="preserve">. </w:t>
      </w:r>
      <w:r>
        <w:rPr>
          <w:bCs/>
          <w:sz w:val="24"/>
          <w:szCs w:val="24"/>
          <w:shd w:fill="FFFFFF" w:val="clear"/>
        </w:rPr>
        <w:t xml:space="preserve"> </w:t>
      </w:r>
    </w:p>
    <w:p>
      <w:pPr>
        <w:pStyle w:val="Normal"/>
        <w:spacing w:lineRule="auto" w:line="240"/>
        <w:rPr>
          <w:rFonts w:ascii="Times New Roman" w:hAnsi="Times New Roman"/>
          <w:sz w:val="24"/>
          <w:szCs w:val="24"/>
          <w:shd w:fill="FFFFFF" w:val="clear"/>
        </w:rPr>
      </w:pPr>
      <w:r>
        <w:rPr>
          <w:sz w:val="24"/>
          <w:szCs w:val="24"/>
          <w:shd w:fill="FFFFFF" w:val="clear"/>
        </w:rPr>
      </w:r>
    </w:p>
    <w:p>
      <w:pPr>
        <w:pStyle w:val="ListParagraph"/>
        <w:numPr>
          <w:ilvl w:val="0"/>
          <w:numId w:val="1"/>
        </w:numPr>
        <w:shd w:val="clear" w:color="auto" w:fill="FFFFFF"/>
        <w:tabs>
          <w:tab w:val="left" w:pos="284" w:leader="none"/>
        </w:tabs>
        <w:ind w:left="0" w:hanging="0"/>
        <w:jc w:val="center"/>
        <w:rPr>
          <w:highlight w:val="white"/>
        </w:rPr>
      </w:pPr>
      <w:r>
        <w:rPr>
          <w:b/>
          <w:bCs/>
          <w:sz w:val="24"/>
          <w:szCs w:val="24"/>
          <w:shd w:fill="FFFFFF" w:val="clear"/>
        </w:rPr>
        <w:t>Предмет Договора</w:t>
      </w:r>
    </w:p>
    <w:p>
      <w:pPr>
        <w:pStyle w:val="ListParagraph"/>
        <w:numPr>
          <w:ilvl w:val="1"/>
          <w:numId w:val="1"/>
        </w:numPr>
        <w:shd w:val="clear" w:color="auto" w:fill="FFFFFF"/>
        <w:tabs>
          <w:tab w:val="left" w:pos="1134" w:leader="none"/>
        </w:tabs>
        <w:spacing w:lineRule="auto" w:line="240"/>
        <w:ind w:left="0" w:firstLine="709"/>
        <w:jc w:val="both"/>
        <w:rPr/>
      </w:pPr>
      <w:bookmarkStart w:id="0" w:name="_Ref361410951"/>
      <w:r>
        <w:rPr>
          <w:bCs/>
          <w:sz w:val="24"/>
          <w:szCs w:val="24"/>
          <w:shd w:fill="FFFFFF" w:val="clear"/>
        </w:rPr>
        <w:t xml:space="preserve">Подрядчик обязуется по заданию Заказчика в соответствии с Техническим заданием (Приложение № 1 к Договору) выполнить работы по </w:t>
      </w:r>
      <w:bookmarkEnd w:id="0"/>
      <w:r>
        <w:rPr>
          <w:bCs/>
          <w:sz w:val="24"/>
          <w:szCs w:val="24"/>
          <w:shd w:fill="FFFFFF" w:val="clear"/>
        </w:rPr>
        <w:t>объекту: «</w:t>
      </w:r>
      <w:r>
        <w:rPr>
          <w:rStyle w:val="Style28"/>
          <w:rFonts w:eastAsia="Times New Roman" w:cs="Times New Roman"/>
          <w:b/>
          <w:bCs/>
          <w:i/>
          <w:iCs/>
          <w:strike w:val="false"/>
          <w:dstrike w:val="false"/>
          <w:outline w:val="false"/>
          <w:shadow w:val="false"/>
          <w:color w:val="000000"/>
          <w:spacing w:val="4"/>
          <w:sz w:val="24"/>
          <w:szCs w:val="24"/>
          <w:u w:val="none"/>
          <w:shd w:fill="FFFFFF" w:val="clear"/>
          <w:em w:val="none"/>
          <w:lang w:val="ru-RU" w:eastAsia="ru-RU" w:bidi="ar-SA"/>
        </w:rPr>
        <w:t xml:space="preserve">ОКПД2 41.10.10.000.  Выполнение проектных работ по модернизации трансформаторного цеха на базе структурного подразделения "Восточные электрические сети" с заменой кран-балки» </w:t>
      </w:r>
      <w:r>
        <w:rPr>
          <w:bCs/>
          <w:sz w:val="24"/>
          <w:szCs w:val="24"/>
          <w:shd w:fill="FFFFFF" w:val="clear"/>
        </w:rPr>
        <w:t>(далее по тексту – «Работы»), а также сдать Результат работ 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В состав Работ по Договору входят:</w:t>
      </w:r>
    </w:p>
    <w:p>
      <w:pPr>
        <w:pStyle w:val="ListParagraph"/>
        <w:numPr>
          <w:ilvl w:val="2"/>
          <w:numId w:val="1"/>
        </w:numPr>
        <w:shd w:val="clear" w:color="auto" w:fill="FFFFFF"/>
        <w:tabs>
          <w:tab w:val="left" w:pos="1418" w:leader="none"/>
        </w:tabs>
        <w:ind w:left="0" w:firstLine="709"/>
        <w:jc w:val="both"/>
        <w:rPr>
          <w:highlight w:val="white"/>
        </w:rPr>
      </w:pPr>
      <w:r>
        <w:rPr>
          <w:rFonts w:cs="Liberation Serif;Times New Roman"/>
          <w:sz w:val="24"/>
          <w:szCs w:val="24"/>
          <w:shd w:fill="FFFFFF" w:val="clear"/>
        </w:rPr>
        <w:t>Обследование;</w:t>
      </w:r>
    </w:p>
    <w:p>
      <w:pPr>
        <w:pStyle w:val="ListParagraph"/>
        <w:numPr>
          <w:ilvl w:val="2"/>
          <w:numId w:val="1"/>
        </w:numPr>
        <w:shd w:val="clear" w:color="auto" w:fill="FFFFFF"/>
        <w:tabs>
          <w:tab w:val="left" w:pos="1418" w:leader="none"/>
        </w:tabs>
        <w:ind w:left="0" w:firstLine="710"/>
        <w:jc w:val="both"/>
        <w:rPr>
          <w:highlight w:val="white"/>
        </w:rPr>
      </w:pPr>
      <w:r>
        <w:rPr>
          <w:rFonts w:eastAsia="Times New Roman" w:cs="Times New Roman"/>
          <w:b w:val="false"/>
          <w:bCs w:val="false"/>
          <w:sz w:val="24"/>
          <w:szCs w:val="24"/>
          <w:u w:val="none"/>
          <w:shd w:fill="FFFFFF" w:val="clear"/>
        </w:rPr>
        <w:t xml:space="preserve">Выполнение Инженерных изысканий, </w:t>
      </w:r>
      <w:r>
        <w:rPr>
          <w:rFonts w:eastAsia="Calibri" w:cs="Times New Roman"/>
          <w:b w:val="false"/>
          <w:bCs w:val="false"/>
          <w:sz w:val="24"/>
          <w:szCs w:val="24"/>
          <w:u w:val="none"/>
          <w:shd w:fill="FFFFFF" w:val="clear"/>
          <w:lang w:val="ru-RU" w:eastAsia="en-US" w:bidi="ar-SA"/>
        </w:rPr>
        <w:t>с фото</w:t>
        <w:noBreakHyphen/>
        <w:t xml:space="preserve"> и видеофиксацией с мест бурения, проходки всех горных выработок, уложенного и маркированного керна, объектов и земельных участков изысканий, с привязкой в глобальной системе координат, для подтверждения фактического выполнения работ и документирования текущего состояния территории</w:t>
      </w:r>
      <w:r>
        <w:rPr>
          <w:rStyle w:val="Style12"/>
          <w:rFonts w:eastAsia="Calibri" w:cs="Times New Roman"/>
          <w:b w:val="false"/>
          <w:bCs w:val="false"/>
          <w:sz w:val="24"/>
          <w:szCs w:val="24"/>
          <w:u w:val="none"/>
          <w:shd w:fill="FFFFFF" w:val="clear"/>
          <w:lang w:val="ru-RU" w:eastAsia="en-US" w:bidi="ar-SA"/>
        </w:rPr>
        <w:footnoteReference w:id="2"/>
      </w:r>
      <w:r>
        <w:rPr>
          <w:rFonts w:eastAsia="Times New Roman" w:cs="Times New Roman"/>
          <w:b w:val="false"/>
          <w:bCs w:val="false"/>
          <w:sz w:val="24"/>
          <w:szCs w:val="24"/>
          <w:u w:val="none"/>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sz w:val="24"/>
          <w:szCs w:val="24"/>
          <w:shd w:fill="FFFFFF" w:val="clear"/>
        </w:rPr>
        <w:t>Разработка</w:t>
      </w:r>
      <w:r>
        <w:rPr>
          <w:color w:val="000000"/>
          <w:sz w:val="24"/>
          <w:szCs w:val="24"/>
          <w:shd w:fill="FFFFFF" w:val="clear"/>
        </w:rPr>
        <w:t>,</w:t>
      </w:r>
      <w:r>
        <w:rPr>
          <w:sz w:val="24"/>
          <w:szCs w:val="24"/>
          <w:shd w:fill="FFFFFF" w:val="clear"/>
        </w:rPr>
        <w:t xml:space="preserve"> согласование проектной документации;</w:t>
      </w:r>
    </w:p>
    <w:p>
      <w:pPr>
        <w:pStyle w:val="ListParagraph"/>
        <w:numPr>
          <w:ilvl w:val="2"/>
          <w:numId w:val="1"/>
        </w:numPr>
        <w:shd w:val="clear" w:color="auto" w:fill="FFFFFF"/>
        <w:tabs>
          <w:tab w:val="left" w:pos="1418" w:leader="none"/>
        </w:tabs>
        <w:ind w:left="0" w:firstLine="709"/>
        <w:jc w:val="both"/>
        <w:rPr>
          <w:highlight w:val="white"/>
        </w:rPr>
      </w:pPr>
      <w:r>
        <w:rPr>
          <w:sz w:val="24"/>
          <w:szCs w:val="24"/>
          <w:shd w:fill="FFFFFF" w:val="clear"/>
        </w:rPr>
        <w:t>Разработка, согласование рабочей документации;</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Разработка сметной документац</w:t>
      </w:r>
      <w:r>
        <w:rPr>
          <w:bCs/>
          <w:sz w:val="26"/>
          <w:szCs w:val="26"/>
          <w:shd w:fill="FFFFFF" w:val="clear"/>
        </w:rPr>
        <w:t>ии.</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Объем и состав Работ по Договору определяется Техническим заданием (Приложение № 1 к Договору). Работы по Договору подлежат выполнению Подрядчиком в строгом соответствии с требованиями Применимого права и указаниями Заказчика.</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 xml:space="preserve">Работы по Договору выполняются для нужд АО «ДРСК» «АЭС». </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Место выполнения Работ:</w:t>
      </w:r>
      <w:r>
        <w:rPr>
          <w:bCs/>
          <w:i/>
          <w:iCs/>
          <w:sz w:val="24"/>
          <w:szCs w:val="24"/>
          <w:shd w:fill="FFFFFF" w:val="clear"/>
        </w:rPr>
        <w:t>Амурская область, г. Райчихинск.</w:t>
      </w:r>
    </w:p>
    <w:p>
      <w:pPr>
        <w:pStyle w:val="ListParagraph"/>
        <w:numPr>
          <w:ilvl w:val="1"/>
          <w:numId w:val="1"/>
        </w:numPr>
        <w:shd w:val="clear" w:color="auto" w:fill="FFFFFF"/>
        <w:tabs>
          <w:tab w:val="left" w:pos="1134" w:leader="none"/>
        </w:tabs>
        <w:ind w:left="0" w:firstLine="709"/>
        <w:jc w:val="both"/>
        <w:rPr>
          <w:highlight w:val="white"/>
        </w:rPr>
      </w:pPr>
      <w:bookmarkStart w:id="1" w:name="_Ref361320424"/>
      <w:bookmarkEnd w:id="1"/>
      <w:r>
        <w:rPr>
          <w:bCs/>
          <w:sz w:val="24"/>
          <w:szCs w:val="24"/>
          <w:shd w:fill="FFFFFF" w:val="clear"/>
        </w:rPr>
        <w:t>Работы выполняются Подрядчиком в следующие сроки:</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 xml:space="preserve">начало выполнения Работ: </w:t>
      </w:r>
      <w:r>
        <w:rPr>
          <w:rFonts w:cs="Liberation Serif"/>
          <w:b/>
          <w:bCs/>
          <w:i/>
          <w:sz w:val="24"/>
          <w:szCs w:val="24"/>
          <w:shd w:fill="FFFFFF" w:val="clear"/>
        </w:rPr>
        <w:t>с даты, следующей за датой заключения договора</w:t>
      </w:r>
      <w:r>
        <w:rPr>
          <w:sz w:val="24"/>
          <w:szCs w:val="24"/>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 xml:space="preserve">окончание выполнения Работ: </w:t>
      </w:r>
      <w:r>
        <w:rPr>
          <w:b/>
          <w:bCs/>
          <w:i/>
          <w:iCs/>
          <w:sz w:val="24"/>
          <w:szCs w:val="24"/>
          <w:shd w:fill="FFFFFF" w:val="clear"/>
        </w:rPr>
        <w:t>не позднее 30.11.2027 г.</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 xml:space="preserve">Выполнение Работ осуществляется поэтапно. </w:t>
      </w:r>
      <w:r>
        <w:rPr>
          <w:bCs/>
          <w:sz w:val="24"/>
          <w:szCs w:val="24"/>
          <w:shd w:fill="FFFFFF" w:val="clear"/>
          <w:lang w:val="en-US"/>
        </w:rPr>
        <w:t>C</w:t>
      </w:r>
      <w:r>
        <w:rPr>
          <w:bCs/>
          <w:sz w:val="24"/>
          <w:szCs w:val="24"/>
          <w:shd w:fill="FFFFFF" w:val="clear"/>
        </w:rPr>
        <w:t xml:space="preserve">роки выполнения отдельных Этапов Работ определяются Календарным графиком выполнения Работ (Приложение № 2 к Договору) в рамках общих сроков, указанных в пункте 1.6 Договора. </w:t>
      </w:r>
    </w:p>
    <w:p>
      <w:pPr>
        <w:pStyle w:val="ListParagraph"/>
        <w:numPr>
          <w:ilvl w:val="0"/>
          <w:numId w:val="0"/>
        </w:numPr>
        <w:shd w:val="clear" w:color="auto" w:fill="FFFFFF"/>
        <w:tabs>
          <w:tab w:val="left" w:pos="1134" w:leader="none"/>
        </w:tabs>
        <w:ind w:left="0" w:hanging="0"/>
        <w:jc w:val="both"/>
        <w:rPr>
          <w:rFonts w:ascii="Times New Roman" w:hAnsi="Times New Roman"/>
          <w:sz w:val="24"/>
          <w:szCs w:val="24"/>
          <w:shd w:fill="FFFFFF" w:val="clear"/>
        </w:rPr>
      </w:pPr>
      <w:r>
        <w:rPr>
          <w:sz w:val="24"/>
          <w:szCs w:val="24"/>
          <w:shd w:fill="FFFFFF" w:val="clear"/>
        </w:rPr>
      </w:r>
    </w:p>
    <w:p>
      <w:pPr>
        <w:pStyle w:val="ListParagraph"/>
        <w:numPr>
          <w:ilvl w:val="0"/>
          <w:numId w:val="1"/>
        </w:numPr>
        <w:shd w:val="clear" w:color="auto" w:fill="FFFFFF"/>
        <w:tabs>
          <w:tab w:val="left" w:pos="284" w:leader="none"/>
        </w:tabs>
        <w:ind w:left="0" w:hanging="0"/>
        <w:jc w:val="center"/>
        <w:rPr>
          <w:highlight w:val="white"/>
        </w:rPr>
      </w:pPr>
      <w:r>
        <w:rPr>
          <w:b/>
          <w:bCs/>
          <w:sz w:val="24"/>
          <w:szCs w:val="24"/>
          <w:shd w:fill="FFFFFF" w:val="clear"/>
        </w:rPr>
        <w:t xml:space="preserve">Права и обязанности Сторон </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u w:val="single"/>
          <w:shd w:fill="FFFFFF" w:val="clear"/>
        </w:rPr>
        <w:t>Заказчик обязан</w:t>
      </w:r>
      <w:r>
        <w:rPr>
          <w:bCs/>
          <w:sz w:val="24"/>
          <w:szCs w:val="24"/>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 </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В течение 3 (трех) рабочих дней с даты вступления Договора в силу, но не ранее получения соответствующего письменного запроса Подрядчика, передать (предоставить) последнему:</w:t>
      </w:r>
    </w:p>
    <w:p>
      <w:pPr>
        <w:pStyle w:val="ListParagraph"/>
        <w:numPr>
          <w:ilvl w:val="0"/>
          <w:numId w:val="4"/>
        </w:numPr>
        <w:shd w:val="clear" w:color="auto" w:fill="FFFFFF"/>
        <w:tabs>
          <w:tab w:val="left" w:pos="709" w:leader="none"/>
          <w:tab w:val="left" w:pos="1418" w:leader="none"/>
        </w:tabs>
        <w:ind w:left="0" w:firstLine="709"/>
        <w:jc w:val="both"/>
        <w:rPr>
          <w:highlight w:val="white"/>
        </w:rPr>
      </w:pPr>
      <w:r>
        <w:rPr>
          <w:sz w:val="24"/>
          <w:szCs w:val="24"/>
          <w:shd w:fill="FFFFFF" w:val="clear"/>
        </w:rPr>
        <w:t xml:space="preserve">место производства Работ, </w:t>
      </w:r>
    </w:p>
    <w:p>
      <w:pPr>
        <w:pStyle w:val="ListParagraph"/>
        <w:numPr>
          <w:ilvl w:val="0"/>
          <w:numId w:val="4"/>
        </w:numPr>
        <w:shd w:val="clear" w:color="auto" w:fill="FFFFFF"/>
        <w:tabs>
          <w:tab w:val="left" w:pos="709" w:leader="none"/>
          <w:tab w:val="left" w:pos="1418" w:leader="none"/>
        </w:tabs>
        <w:ind w:left="0" w:firstLine="709"/>
        <w:jc w:val="both"/>
        <w:rPr>
          <w:highlight w:val="white"/>
        </w:rPr>
      </w:pPr>
      <w:bookmarkStart w:id="2" w:name="_Ref361401696"/>
      <w:bookmarkStart w:id="3" w:name="_Ref361396847"/>
      <w:bookmarkStart w:id="4" w:name="_Ref361320734"/>
      <w:bookmarkEnd w:id="2"/>
      <w:bookmarkEnd w:id="3"/>
      <w:bookmarkEnd w:id="4"/>
      <w:r>
        <w:rPr>
          <w:sz w:val="24"/>
          <w:szCs w:val="24"/>
          <w:shd w:fill="FFFFFF" w:val="clear"/>
        </w:rPr>
        <w:t>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 4.2 к Договору).</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При наличии технической возможности обеспечить Подрядчику возможность подключения к имеющимся у Заказчика бытовым источникам электроснабжения, водоснабжения, канализации для целей выполнения Работ по Договору (в части Инженерных изысканий).</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pPr>
        <w:pStyle w:val="ListParagraph"/>
        <w:numPr>
          <w:ilvl w:val="2"/>
          <w:numId w:val="1"/>
        </w:numPr>
        <w:shd w:val="clear" w:color="auto" w:fill="FFFFFF"/>
        <w:tabs>
          <w:tab w:val="left" w:pos="709" w:leader="none"/>
        </w:tabs>
        <w:ind w:left="0" w:firstLine="709"/>
        <w:jc w:val="both"/>
        <w:rPr>
          <w:highlight w:val="white"/>
        </w:rPr>
      </w:pPr>
      <w:r>
        <w:rPr>
          <w:bCs/>
          <w:sz w:val="24"/>
          <w:szCs w:val="24"/>
          <w:shd w:fill="FFFFFF" w:val="clear"/>
        </w:rPr>
        <w:t>Принять и оплатить выполненные Подрядчиком Работы на условиях, по цене и в сроки, предусмотренные Договором.</w:t>
      </w:r>
    </w:p>
    <w:p>
      <w:pPr>
        <w:pStyle w:val="ListParagraph"/>
        <w:numPr>
          <w:ilvl w:val="2"/>
          <w:numId w:val="1"/>
        </w:numPr>
        <w:shd w:val="clear" w:color="auto" w:fill="FFFFFF"/>
        <w:tabs>
          <w:tab w:val="left" w:pos="709" w:leader="none"/>
        </w:tabs>
        <w:ind w:left="0" w:firstLine="710"/>
        <w:jc w:val="both"/>
        <w:rPr>
          <w:highlight w:val="white"/>
        </w:rPr>
      </w:pPr>
      <w:r>
        <w:rPr>
          <w:bCs/>
          <w:sz w:val="24"/>
          <w:szCs w:val="24"/>
          <w:shd w:fill="FFFFFF" w:val="clear"/>
        </w:rPr>
        <w:t>В случае необходимости выдать Подрядчику доверенность на совершение действий, необходимых для выполнения последним своих обязательств по Договору.</w:t>
      </w:r>
    </w:p>
    <w:p>
      <w:pPr>
        <w:pStyle w:val="ListParagraph"/>
        <w:numPr>
          <w:ilvl w:val="2"/>
          <w:numId w:val="1"/>
        </w:numPr>
        <w:shd w:val="clear" w:color="auto" w:fill="FFFFFF"/>
        <w:tabs>
          <w:tab w:val="left" w:pos="709" w:leader="none"/>
        </w:tabs>
        <w:ind w:left="0" w:firstLine="709"/>
        <w:jc w:val="both"/>
        <w:rPr>
          <w:highlight w:val="white"/>
        </w:rPr>
      </w:pPr>
      <w:r>
        <w:rPr>
          <w:bCs/>
          <w:sz w:val="24"/>
          <w:szCs w:val="24"/>
          <w:shd w:fill="FFFFFF" w:val="clear"/>
        </w:rPr>
        <w:t>Выполнять иные обязанности, предусмотренные Договором, в том числе выполнять в своей части требования, указанные в Регламенте взаимодействия в ходе исполнения процессов управления проектом (Приложение № 9 к Договору).</w:t>
      </w:r>
    </w:p>
    <w:p>
      <w:pPr>
        <w:pStyle w:val="Normal"/>
        <w:tabs>
          <w:tab w:val="left" w:pos="709" w:leader="none"/>
        </w:tabs>
        <w:spacing w:lineRule="auto" w:line="240"/>
        <w:ind w:hanging="0"/>
        <w:rPr>
          <w:rFonts w:ascii="Times New Roman" w:hAnsi="Times New Roman"/>
          <w:b/>
          <w:b/>
          <w:sz w:val="24"/>
          <w:szCs w:val="24"/>
          <w:shd w:fill="FFFFFF" w:val="clear"/>
        </w:rPr>
      </w:pPr>
      <w:r>
        <w:rPr>
          <w:b/>
          <w:sz w:val="24"/>
          <w:szCs w:val="24"/>
          <w:shd w:fill="FFFFFF" w:val="clear"/>
        </w:rPr>
      </w:r>
    </w:p>
    <w:p>
      <w:pPr>
        <w:pStyle w:val="ListParagraph"/>
        <w:numPr>
          <w:ilvl w:val="1"/>
          <w:numId w:val="1"/>
        </w:numPr>
        <w:shd w:val="clear" w:color="auto" w:fill="FFFFFF"/>
        <w:tabs>
          <w:tab w:val="left" w:pos="1134" w:leader="none"/>
        </w:tabs>
        <w:ind w:left="0" w:firstLine="709"/>
        <w:jc w:val="both"/>
        <w:rPr>
          <w:highlight w:val="white"/>
        </w:rPr>
      </w:pPr>
      <w:r>
        <w:rPr>
          <w:bCs/>
          <w:sz w:val="24"/>
          <w:szCs w:val="24"/>
          <w:u w:val="single"/>
          <w:shd w:fill="FFFFFF" w:val="clear"/>
        </w:rPr>
        <w:t>Заказчик имеет право</w:t>
      </w:r>
      <w:r>
        <w:rPr>
          <w:bCs/>
          <w:sz w:val="24"/>
          <w:szCs w:val="24"/>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Самостоятельно или с привлечением третьих лиц осуществлять контроль и надзор за ходом и качеством выполняемых Подрядчиком и Субподрядчиками по Договору Работ, соблюдением сроков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Круглосуточно осуществлять доступ к месту производства Работ.</w:t>
      </w:r>
    </w:p>
    <w:p>
      <w:pPr>
        <w:pStyle w:val="ListParagraph"/>
        <w:numPr>
          <w:ilvl w:val="2"/>
          <w:numId w:val="1"/>
        </w:numPr>
        <w:shd w:val="clear" w:color="auto" w:fill="FFFFFF"/>
        <w:tabs>
          <w:tab w:val="left" w:pos="1418" w:leader="none"/>
        </w:tabs>
        <w:ind w:left="0" w:firstLine="709"/>
        <w:jc w:val="both"/>
        <w:rPr>
          <w:highlight w:val="white"/>
        </w:rPr>
      </w:pPr>
      <w:bookmarkStart w:id="5" w:name="_Ref361334652"/>
      <w:r>
        <w:rPr>
          <w:bCs/>
          <w:sz w:val="24"/>
          <w:szCs w:val="24"/>
          <w:shd w:fill="FFFFFF" w:val="clear"/>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по причинам, указанным в настоящем пункте,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5"/>
      <w:r>
        <w:rPr>
          <w:bCs/>
          <w:sz w:val="24"/>
          <w:szCs w:val="24"/>
          <w:shd w:fill="FFFFFF" w:val="clear"/>
        </w:rPr>
        <w:t xml:space="preserve"> </w:t>
      </w:r>
    </w:p>
    <w:p>
      <w:pPr>
        <w:pStyle w:val="ListParagraph"/>
        <w:numPr>
          <w:ilvl w:val="2"/>
          <w:numId w:val="1"/>
        </w:numPr>
        <w:shd w:val="clear" w:color="auto" w:fill="FFFFFF"/>
        <w:tabs>
          <w:tab w:val="left" w:pos="1418" w:leader="none"/>
        </w:tabs>
        <w:ind w:left="0" w:firstLine="709"/>
        <w:jc w:val="both"/>
        <w:rPr>
          <w:highlight w:val="white"/>
        </w:rPr>
      </w:pPr>
      <w:bookmarkStart w:id="6" w:name="_Ref361334468"/>
      <w:bookmarkEnd w:id="6"/>
      <w:r>
        <w:rPr>
          <w:bCs/>
          <w:sz w:val="24"/>
          <w:szCs w:val="24"/>
          <w:shd w:fill="FFFFFF" w:val="clear"/>
        </w:rPr>
        <w:t>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p>
    <w:p>
      <w:pPr>
        <w:pStyle w:val="ListParagraph"/>
        <w:numPr>
          <w:ilvl w:val="2"/>
          <w:numId w:val="1"/>
        </w:numPr>
        <w:shd w:val="clear" w:color="auto" w:fill="FFFFFF"/>
        <w:tabs>
          <w:tab w:val="left" w:pos="1418" w:leader="none"/>
        </w:tabs>
        <w:ind w:left="0" w:firstLine="709"/>
        <w:jc w:val="both"/>
        <w:rPr>
          <w:highlight w:val="white"/>
        </w:rPr>
      </w:pPr>
      <w:bookmarkStart w:id="7" w:name="_Ref361319348"/>
      <w:r>
        <w:rPr>
          <w:bCs/>
          <w:sz w:val="24"/>
          <w:szCs w:val="24"/>
          <w:shd w:fill="FFFFFF" w:val="clear"/>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7"/>
      <w:r>
        <w:rPr>
          <w:bCs/>
          <w:sz w:val="24"/>
          <w:szCs w:val="24"/>
          <w:shd w:fill="FFFFFF" w:val="clear"/>
        </w:rPr>
        <w:t xml:space="preserve"> </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pPr>
        <w:pStyle w:val="ListParagraph"/>
        <w:numPr>
          <w:ilvl w:val="2"/>
          <w:numId w:val="1"/>
        </w:numPr>
        <w:shd w:val="clear" w:color="auto" w:fill="FFFFFF"/>
        <w:tabs>
          <w:tab w:val="left" w:pos="1418" w:leader="none"/>
        </w:tabs>
        <w:ind w:left="0" w:firstLine="710"/>
        <w:jc w:val="both"/>
        <w:rPr>
          <w:highlight w:val="white"/>
        </w:rPr>
      </w:pPr>
      <w:r>
        <w:rPr>
          <w:bCs/>
          <w:sz w:val="24"/>
          <w:szCs w:val="24"/>
          <w:shd w:fill="FFFFFF" w:val="clear"/>
        </w:rPr>
        <w:t>В течение действия Договора обращаться к Подрядчику с устными и письменными запросами с целью разъяснения (уточнения, конкретизации) расчетов, заключений, выводов, содержащихся в Результате Работ, в том числе в Результате Работ по отдельным Этапам Работ.</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и/или привлеченным им Субподрядчикам.</w:t>
      </w:r>
    </w:p>
    <w:p>
      <w:pPr>
        <w:pStyle w:val="ListParagraph"/>
        <w:numPr>
          <w:ilvl w:val="2"/>
          <w:numId w:val="1"/>
        </w:numPr>
        <w:shd w:val="clear" w:color="auto" w:fill="FFFFFF"/>
        <w:tabs>
          <w:tab w:val="left" w:pos="709" w:leader="none"/>
        </w:tabs>
        <w:ind w:left="0" w:firstLine="709"/>
        <w:jc w:val="both"/>
        <w:rPr>
          <w:highlight w:val="white"/>
        </w:rPr>
      </w:pPr>
      <w:r>
        <w:rPr>
          <w:bCs/>
          <w:sz w:val="24"/>
          <w:szCs w:val="24"/>
          <w:shd w:fill="FFFFFF" w:val="clear"/>
        </w:rPr>
        <w:t>Использовать Результат Работ по своему усмотрению, в том числе передавать Результат Работ третьим лицам без письменного согласия Подрядчика.</w:t>
      </w:r>
    </w:p>
    <w:p>
      <w:pPr>
        <w:pStyle w:val="ListParagraph"/>
        <w:numPr>
          <w:ilvl w:val="2"/>
          <w:numId w:val="1"/>
        </w:numPr>
        <w:shd w:val="clear" w:color="auto" w:fill="FFFFFF"/>
        <w:tabs>
          <w:tab w:val="left" w:pos="709" w:leader="none"/>
        </w:tabs>
        <w:ind w:left="0" w:firstLine="709"/>
        <w:jc w:val="both"/>
        <w:rPr>
          <w:highlight w:val="white"/>
        </w:rPr>
      </w:pPr>
      <w:r>
        <w:rPr>
          <w:bCs/>
          <w:sz w:val="24"/>
          <w:szCs w:val="24"/>
          <w:shd w:fill="FFFFFF" w:val="clear"/>
        </w:rPr>
        <w:t>В случае нарушения Подрядчиком п.2.4.2 настоящего договора Заказчик имеет право</w:t>
      </w:r>
      <w:r>
        <w:rPr>
          <w:sz w:val="24"/>
          <w:szCs w:val="24"/>
          <w:shd w:fill="FFFFFF" w:val="clear"/>
        </w:rPr>
        <w:t xml:space="preserve"> предъявить Подрядчику требование об уплате штрафа в размере 20% от стоимости работ, фактически принятых Заказчиком. Удержание штрафа, подлежащего уплате Подрядчиком, может быть произведено, по усмотрению Заказчика, путем вычета суммы штрафа из  стоимости фактически выполненных Подрядчиком и принятых Заказчиком работ.</w:t>
      </w:r>
    </w:p>
    <w:p>
      <w:pPr>
        <w:pStyle w:val="ListParagraph"/>
        <w:numPr>
          <w:ilvl w:val="2"/>
          <w:numId w:val="1"/>
        </w:numPr>
        <w:shd w:val="clear" w:color="auto" w:fill="FFFFFF"/>
        <w:tabs>
          <w:tab w:val="left" w:pos="709" w:leader="none"/>
        </w:tabs>
        <w:ind w:left="0" w:firstLine="709"/>
        <w:jc w:val="both"/>
        <w:rPr>
          <w:highlight w:val="white"/>
        </w:rPr>
      </w:pPr>
      <w:r>
        <w:rPr>
          <w:b w:val="false"/>
          <w:bCs w:val="false"/>
          <w:i w:val="false"/>
          <w:iCs w:val="false"/>
          <w:sz w:val="24"/>
          <w:szCs w:val="24"/>
          <w:shd w:fill="FFFFFF" w:val="clear"/>
        </w:rPr>
        <w:t>В любое время т</w:t>
      </w:r>
      <w:r>
        <w:rPr>
          <w:b w:val="false"/>
          <w:bCs/>
          <w:i w:val="false"/>
          <w:iCs w:val="false"/>
          <w:sz w:val="24"/>
          <w:szCs w:val="24"/>
          <w:shd w:fill="FFFFFF" w:val="clear"/>
        </w:rPr>
        <w:t xml:space="preserve">ребовать от Подрядчика представления информации о наличии </w:t>
      </w:r>
      <w:r>
        <w:rPr>
          <w:b w:val="false"/>
          <w:bCs w:val="false"/>
          <w:i w:val="false"/>
          <w:iCs w:val="false"/>
          <w:sz w:val="24"/>
          <w:szCs w:val="24"/>
          <w:shd w:fill="FFFFFF" w:val="clear"/>
        </w:rPr>
        <w:t>необходимых для выполнения работ кадровых ресурсов (персонала), техники и материально-технических ресурсов с предоставлением подтверждающих документов</w:t>
      </w:r>
      <w:r>
        <w:rPr>
          <w:b w:val="false"/>
          <w:bCs/>
          <w:i w:val="false"/>
          <w:iCs w:val="false"/>
          <w:sz w:val="24"/>
          <w:szCs w:val="24"/>
          <w:shd w:fill="FFFFFF" w:val="clear"/>
        </w:rPr>
        <w:t>.</w:t>
      </w:r>
    </w:p>
    <w:p>
      <w:pPr>
        <w:pStyle w:val="ListParagraph"/>
        <w:shd w:val="clear" w:color="auto" w:fill="FFFFFF"/>
        <w:tabs>
          <w:tab w:val="left" w:pos="567" w:leader="none"/>
        </w:tabs>
        <w:ind w:left="0" w:firstLine="567"/>
        <w:jc w:val="both"/>
        <w:rPr>
          <w:rFonts w:ascii="Times New Roman" w:hAnsi="Times New Roman"/>
          <w:bCs/>
          <w:color w:val="FF0000"/>
          <w:sz w:val="24"/>
          <w:szCs w:val="24"/>
          <w:shd w:fill="FFFFFF" w:val="clear"/>
        </w:rPr>
      </w:pPr>
      <w:r>
        <w:rPr>
          <w:bCs/>
          <w:color w:val="FF0000"/>
          <w:sz w:val="24"/>
          <w:szCs w:val="24"/>
          <w:shd w:fill="FFFFFF" w:val="clear"/>
        </w:rPr>
      </w:r>
    </w:p>
    <w:p>
      <w:pPr>
        <w:pStyle w:val="ListParagraph"/>
        <w:numPr>
          <w:ilvl w:val="1"/>
          <w:numId w:val="1"/>
        </w:numPr>
        <w:shd w:val="clear" w:color="auto" w:fill="FFFFFF"/>
        <w:tabs>
          <w:tab w:val="left" w:pos="1134" w:leader="none"/>
        </w:tabs>
        <w:ind w:left="0" w:firstLine="709"/>
        <w:jc w:val="both"/>
        <w:rPr>
          <w:highlight w:val="white"/>
        </w:rPr>
      </w:pPr>
      <w:r>
        <w:rPr>
          <w:bCs/>
          <w:sz w:val="24"/>
          <w:szCs w:val="24"/>
          <w:u w:val="single"/>
          <w:shd w:fill="FFFFFF" w:val="clear"/>
        </w:rPr>
        <w:t>Подрядчик обязан</w:t>
      </w:r>
      <w:r>
        <w:rPr>
          <w:bCs/>
          <w:sz w:val="24"/>
          <w:szCs w:val="24"/>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Выполнить Работы в объеме, сроки и с качеством, соответствующим требованиям Договора и Применимого права</w:t>
      </w:r>
      <w:r>
        <w:rPr>
          <w:sz w:val="24"/>
          <w:szCs w:val="24"/>
          <w:shd w:fill="FFFFFF" w:val="clear"/>
        </w:rPr>
        <w:t xml:space="preserve"> </w:t>
      </w:r>
      <w:r>
        <w:rPr>
          <w:bCs/>
          <w:sz w:val="24"/>
          <w:szCs w:val="24"/>
          <w:shd w:fill="FFFFFF" w:val="clear"/>
        </w:rPr>
        <w:t>и сдать их результат Заказчику.</w:t>
      </w:r>
    </w:p>
    <w:p>
      <w:pPr>
        <w:pStyle w:val="ListParagraph"/>
        <w:widowControl/>
        <w:numPr>
          <w:ilvl w:val="0"/>
          <w:numId w:val="0"/>
        </w:numPr>
        <w:shd w:val="clear" w:color="auto" w:fill="FFFFFF"/>
        <w:tabs>
          <w:tab w:val="left" w:pos="1418" w:leader="none"/>
        </w:tabs>
        <w:suppressAutoHyphens w:val="true"/>
        <w:bidi w:val="0"/>
        <w:spacing w:lineRule="auto" w:line="240" w:before="0" w:after="0"/>
        <w:ind w:left="2891" w:right="0" w:hanging="2154"/>
        <w:contextualSpacing/>
        <w:jc w:val="left"/>
        <w:rPr>
          <w:highlight w:val="white"/>
        </w:rPr>
      </w:pPr>
      <w:r>
        <w:rPr>
          <w:bCs/>
          <w:sz w:val="24"/>
          <w:szCs w:val="24"/>
          <w:shd w:fill="FFFFFF" w:val="clear"/>
        </w:rPr>
        <w:t xml:space="preserve"> </w:t>
      </w:r>
      <w:r>
        <w:rPr>
          <w:bCs/>
          <w:sz w:val="24"/>
          <w:szCs w:val="24"/>
          <w:shd w:fill="FFFFFF" w:val="clear"/>
        </w:rPr>
        <w:tab/>
      </w:r>
      <w:r>
        <w:rPr>
          <w:b/>
          <w:bCs/>
          <w:sz w:val="24"/>
          <w:szCs w:val="24"/>
          <w:shd w:fill="FFFFFF" w:val="clear"/>
        </w:rPr>
        <w:t xml:space="preserve">2.3.1.1. </w:t>
      </w:r>
      <w:r>
        <w:rPr>
          <w:rFonts w:eastAsia="Times New Roman" w:cs="Times New Roman"/>
          <w:bCs/>
          <w:sz w:val="24"/>
          <w:szCs w:val="24"/>
          <w:u w:val="none"/>
          <w:shd w:fill="FFFFFF" w:val="clear"/>
        </w:rPr>
        <w:t>Осуществить фото и видеофиксацию с мест бурения, проходки всех горных выработок, уложенного и маркированного керна, объектов и земельных участков изысканий, с привязкой в глобальной системе координат, для подтверждения фактического выполнения работ и документирования текущего состояния территории. Требования к фото- и видеофиксации указываются в Приложении № 1.1 к Договору.</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 xml:space="preserve">В срок, указанный в пункте 2.1.2 Договора, принять от Заказчика на время выполнения Работ по Договору: </w:t>
      </w:r>
    </w:p>
    <w:p>
      <w:pPr>
        <w:pStyle w:val="ListParagraph"/>
        <w:numPr>
          <w:ilvl w:val="0"/>
          <w:numId w:val="13"/>
        </w:numPr>
        <w:shd w:val="clear" w:color="auto" w:fill="FFFFFF"/>
        <w:tabs>
          <w:tab w:val="left" w:pos="1418" w:leader="none"/>
        </w:tabs>
        <w:ind w:left="0" w:firstLine="709"/>
        <w:jc w:val="both"/>
        <w:rPr>
          <w:highlight w:val="white"/>
        </w:rPr>
      </w:pPr>
      <w:r>
        <w:rPr>
          <w:bCs/>
          <w:sz w:val="24"/>
          <w:szCs w:val="24"/>
          <w:shd w:fill="FFFFFF" w:val="clear"/>
        </w:rPr>
        <w:t>место производства Работ,</w:t>
      </w:r>
    </w:p>
    <w:p>
      <w:pPr>
        <w:pStyle w:val="ListParagraph"/>
        <w:numPr>
          <w:ilvl w:val="0"/>
          <w:numId w:val="13"/>
        </w:numPr>
        <w:shd w:val="clear" w:color="auto" w:fill="FFFFFF"/>
        <w:tabs>
          <w:tab w:val="left" w:pos="1418" w:leader="none"/>
        </w:tabs>
        <w:ind w:left="0" w:firstLine="709"/>
        <w:jc w:val="both"/>
        <w:rPr>
          <w:highlight w:val="white"/>
        </w:rPr>
      </w:pPr>
      <w:r>
        <w:rPr>
          <w:bCs/>
          <w:sz w:val="24"/>
          <w:szCs w:val="24"/>
          <w:shd w:fill="FFFFFF" w:val="clear"/>
        </w:rPr>
        <w:t>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4.2 к Договору).</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При приемке Места производства Работ</w:t>
      </w:r>
      <w:r>
        <w:rPr>
          <w:sz w:val="24"/>
          <w:szCs w:val="24"/>
          <w:shd w:fill="FFFFFF" w:val="clear"/>
        </w:rPr>
        <w:t>,</w:t>
      </w:r>
      <w:r>
        <w:rPr>
          <w:bCs/>
          <w:sz w:val="24"/>
          <w:szCs w:val="24"/>
          <w:shd w:fill="FFFFFF" w:val="clear"/>
        </w:rPr>
        <w:t xml:space="preserve">  указать в соответствующих актах сдачи-приемки все замечания и недостатки, которые могут повлиять на сроки выполнения Работ или Результат Работ, в том числе на безопасность Работ.</w:t>
      </w:r>
    </w:p>
    <w:p>
      <w:pPr>
        <w:pStyle w:val="ListParagraph"/>
        <w:shd w:val="clear" w:color="auto" w:fill="FFFFFF"/>
        <w:tabs>
          <w:tab w:val="left" w:pos="709" w:leader="none"/>
        </w:tabs>
        <w:ind w:left="0" w:firstLine="709"/>
        <w:jc w:val="both"/>
        <w:rPr>
          <w:highlight w:val="white"/>
        </w:rPr>
      </w:pPr>
      <w:r>
        <w:rPr>
          <w:sz w:val="24"/>
          <w:szCs w:val="24"/>
          <w:shd w:fill="FFFFFF" w:val="clear"/>
        </w:rPr>
        <w:t>В случае невыполнения данной обязанности Подрядчик лишается права предъявлять Заказчику какие-либо претензии, в том числе относительно увеличения объема или сроков выполнения Работ, вызванные наличием у Подрядчика замечаний к переданным Заказчиком местам (помещению).</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Выдать замечания в отношении технической и иной документации, предоставленной Заказчиком, в течение 10 (десяти) рабочих дней с даты принятия ее по Акту сдачи-приемки технической и иной документации (Приложение № 4.2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pPr>
        <w:pStyle w:val="Normal"/>
        <w:widowControl w:val="false"/>
        <w:numPr>
          <w:ilvl w:val="2"/>
          <w:numId w:val="1"/>
        </w:numPr>
        <w:tabs>
          <w:tab w:val="left" w:pos="709" w:leader="none"/>
          <w:tab w:val="left" w:pos="1430" w:leader="none"/>
        </w:tabs>
        <w:spacing w:lineRule="auto" w:line="240"/>
        <w:ind w:left="0" w:firstLine="709"/>
        <w:rPr>
          <w:highlight w:val="white"/>
        </w:rPr>
      </w:pPr>
      <w:r>
        <w:rPr>
          <w:bCs/>
          <w:sz w:val="24"/>
          <w:szCs w:val="24"/>
          <w:shd w:fill="FFFFFF" w:val="clear"/>
        </w:rPr>
        <w:t>В случае недостаточности для производства Работ по Договору в части Инженерных изысканий источников электроснабжения, водоснабжения или канализации, предоставленных Заказчиком в соответствии с пунктом 2.1.3 Договора,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w:t>
      </w:r>
    </w:p>
    <w:p>
      <w:pPr>
        <w:pStyle w:val="Normal"/>
        <w:widowControl w:val="false"/>
        <w:numPr>
          <w:ilvl w:val="2"/>
          <w:numId w:val="1"/>
        </w:numPr>
        <w:tabs>
          <w:tab w:val="left" w:pos="709" w:leader="none"/>
          <w:tab w:val="left" w:pos="1430" w:leader="none"/>
        </w:tabs>
        <w:spacing w:lineRule="auto" w:line="240"/>
        <w:ind w:left="0" w:firstLine="709"/>
        <w:rPr>
          <w:highlight w:val="white"/>
        </w:rPr>
      </w:pPr>
      <w:r>
        <w:rPr>
          <w:sz w:val="24"/>
          <w:szCs w:val="24"/>
          <w:shd w:fill="FFFFFF" w:val="clear"/>
        </w:rPr>
        <w:t>Запрашивать и получать все исходные данные, необходимые для выполнения Работ по Договору, за исключением исходных данных, содержащихся в технической и иной документации, которую в соответствии Техническим заданием (Приложение № 1 к Договору) должен предоставить Заказчик.</w:t>
      </w:r>
    </w:p>
    <w:p>
      <w:pPr>
        <w:pStyle w:val="ListParagraph"/>
        <w:numPr>
          <w:ilvl w:val="2"/>
          <w:numId w:val="1"/>
        </w:numPr>
        <w:shd w:val="clear" w:color="auto" w:fill="FFFFFF"/>
        <w:tabs>
          <w:tab w:val="left" w:pos="1418" w:leader="none"/>
        </w:tabs>
        <w:ind w:left="0" w:firstLine="709"/>
        <w:jc w:val="both"/>
        <w:rPr>
          <w:highlight w:val="white"/>
        </w:rPr>
      </w:pPr>
      <w:r>
        <w:rPr>
          <w:sz w:val="24"/>
          <w:szCs w:val="24"/>
          <w:shd w:fill="FFFFFF" w:val="clear"/>
        </w:rPr>
        <w:t>До фактического начала выполнения Работ предоставить Заказчику</w:t>
      </w:r>
      <w:r>
        <w:rPr>
          <w:bCs/>
          <w:sz w:val="24"/>
          <w:szCs w:val="24"/>
          <w:shd w:fill="FFFFFF" w:val="clear"/>
        </w:rPr>
        <w:t>:</w:t>
      </w:r>
    </w:p>
    <w:p>
      <w:pPr>
        <w:pStyle w:val="ListParagraph"/>
        <w:numPr>
          <w:ilvl w:val="0"/>
          <w:numId w:val="10"/>
        </w:numPr>
        <w:shd w:val="clear" w:color="auto" w:fill="FFFFFF"/>
        <w:tabs>
          <w:tab w:val="left" w:pos="1418" w:leader="none"/>
        </w:tabs>
        <w:ind w:left="0" w:firstLine="709"/>
        <w:jc w:val="both"/>
        <w:rPr>
          <w:highlight w:val="white"/>
        </w:rPr>
      </w:pPr>
      <w:r>
        <w:rPr>
          <w:sz w:val="24"/>
          <w:szCs w:val="24"/>
          <w:shd w:fill="FFFFFF" w:val="clear"/>
        </w:rPr>
        <w:t>контакты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w:t>
      </w:r>
      <w:r>
        <w:rPr>
          <w:bCs/>
          <w:sz w:val="24"/>
          <w:szCs w:val="24"/>
          <w:shd w:fill="FFFFFF" w:val="clear"/>
        </w:rPr>
        <w:t xml:space="preserve">; </w:t>
      </w:r>
    </w:p>
    <w:p>
      <w:pPr>
        <w:pStyle w:val="ListParagraph"/>
        <w:numPr>
          <w:ilvl w:val="0"/>
          <w:numId w:val="10"/>
        </w:numPr>
        <w:shd w:val="clear" w:color="auto" w:fill="FFFFFF"/>
        <w:tabs>
          <w:tab w:val="left" w:pos="1418" w:leader="none"/>
        </w:tabs>
        <w:ind w:left="0" w:firstLine="709"/>
        <w:jc w:val="both"/>
        <w:rPr>
          <w:highlight w:val="white"/>
        </w:rPr>
      </w:pPr>
      <w:r>
        <w:rPr>
          <w:bCs/>
          <w:sz w:val="24"/>
          <w:szCs w:val="24"/>
          <w:shd w:fill="FFFFFF" w:val="clear"/>
        </w:rPr>
        <w:t>контакты и должность представителя Подрядчика,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 xml:space="preserve">Обеспечить сохранность переданной Заказчиком по соответствующим актам сдачи-приемки Места выполнения Работ, технической и иной документации, а также возврат ее Заказчику не позднее даты окончания выполнения Работ, указанной в пункте 1.6.2 Договора, либо, в случаях прекращения (расторжения) Договора, указанных в пункте 2.2.3 и разделе 14 Договора, – не позднее 3 (трех) рабочих дней с даты получения соответствующего требования Заказчика. </w:t>
      </w:r>
    </w:p>
    <w:p>
      <w:pPr>
        <w:pStyle w:val="ListParagraph"/>
        <w:numPr>
          <w:ilvl w:val="2"/>
          <w:numId w:val="1"/>
        </w:numPr>
        <w:shd w:val="clear" w:color="auto" w:fill="FFFFFF"/>
        <w:tabs>
          <w:tab w:val="left" w:pos="1418" w:leader="none"/>
        </w:tabs>
        <w:ind w:left="0" w:firstLine="709"/>
        <w:jc w:val="both"/>
        <w:rPr>
          <w:highlight w:val="white"/>
        </w:rPr>
      </w:pPr>
      <w:r>
        <w:rPr>
          <w:sz w:val="24"/>
          <w:szCs w:val="24"/>
          <w:shd w:fill="FFFFFF" w:val="clear"/>
        </w:rPr>
        <w:t>Обеспечить наличие допусков, разрешений и лицензий, необходимых для производства Работ.</w:t>
      </w:r>
    </w:p>
    <w:p>
      <w:pPr>
        <w:pStyle w:val="ListParagraph"/>
        <w:shd w:val="clear" w:color="auto" w:fill="FFFFFF"/>
        <w:tabs>
          <w:tab w:val="left" w:pos="1418" w:leader="none"/>
        </w:tabs>
        <w:ind w:left="0" w:firstLine="709"/>
        <w:jc w:val="both"/>
        <w:rPr>
          <w:highlight w:val="white"/>
        </w:rPr>
      </w:pPr>
      <w:r>
        <w:rPr>
          <w:sz w:val="24"/>
          <w:szCs w:val="24"/>
          <w:shd w:fill="FFFFFF" w:val="clear"/>
        </w:rPr>
        <w:t>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Подрядчиком своих обязательств по Договору</w:t>
      </w:r>
      <w:r>
        <w:rPr>
          <w:bCs/>
          <w:sz w:val="24"/>
          <w:szCs w:val="24"/>
          <w:shd w:fill="FFFFFF" w:val="clear"/>
        </w:rPr>
        <w:t>, в том числе указанных в Приложении № 5 к Договору</w:t>
      </w:r>
      <w:r>
        <w:rPr>
          <w:sz w:val="24"/>
          <w:szCs w:val="24"/>
          <w:shd w:fill="FFFFFF" w:val="clear"/>
        </w:rPr>
        <w:t xml:space="preserve">,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pPr>
        <w:pStyle w:val="ListParagraph"/>
        <w:shd w:val="clear" w:color="auto" w:fill="FFFFFF"/>
        <w:tabs>
          <w:tab w:val="left" w:pos="1418" w:leader="none"/>
        </w:tabs>
        <w:ind w:left="0" w:firstLine="709"/>
        <w:jc w:val="both"/>
        <w:rPr>
          <w:highlight w:val="white"/>
        </w:rPr>
      </w:pPr>
      <w:r>
        <w:rPr>
          <w:sz w:val="24"/>
          <w:szCs w:val="24"/>
          <w:shd w:fill="FFFFFF" w:val="clear"/>
        </w:rP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pPr>
        <w:pStyle w:val="ListParagraph"/>
        <w:shd w:val="clear" w:color="auto" w:fill="FFFFFF"/>
        <w:tabs>
          <w:tab w:val="left" w:pos="1418" w:leader="none"/>
        </w:tabs>
        <w:ind w:left="0" w:firstLine="709"/>
        <w:jc w:val="both"/>
        <w:rPr>
          <w:highlight w:val="white"/>
        </w:rPr>
      </w:pPr>
      <w:r>
        <w:rPr>
          <w:sz w:val="24"/>
          <w:szCs w:val="24"/>
          <w:shd w:fill="FFFFFF" w:val="clear"/>
        </w:rP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11.1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pPr>
        <w:pStyle w:val="ListParagraph"/>
        <w:numPr>
          <w:ilvl w:val="2"/>
          <w:numId w:val="1"/>
        </w:numPr>
        <w:shd w:val="clear" w:color="auto" w:fill="FFFFFF"/>
        <w:tabs>
          <w:tab w:val="left" w:pos="1418" w:leader="none"/>
        </w:tabs>
        <w:ind w:left="0" w:firstLine="709"/>
        <w:jc w:val="both"/>
        <w:rPr>
          <w:highlight w:val="white"/>
        </w:rPr>
      </w:pPr>
      <w:r>
        <w:rPr>
          <w:sz w:val="24"/>
          <w:szCs w:val="24"/>
          <w:shd w:fill="FFFFFF" w:val="clear"/>
        </w:rPr>
        <w:t>Обеспечить:</w:t>
      </w:r>
    </w:p>
    <w:p>
      <w:pPr>
        <w:pStyle w:val="ListParagraph"/>
        <w:numPr>
          <w:ilvl w:val="0"/>
          <w:numId w:val="11"/>
        </w:numPr>
        <w:shd w:val="clear" w:color="auto" w:fill="FFFFFF"/>
        <w:tabs>
          <w:tab w:val="left" w:pos="567" w:leader="none"/>
          <w:tab w:val="left" w:pos="1418" w:leader="none"/>
        </w:tabs>
        <w:ind w:left="0" w:firstLine="709"/>
        <w:jc w:val="both"/>
        <w:rPr>
          <w:highlight w:val="white"/>
        </w:rPr>
      </w:pPr>
      <w:r>
        <w:rPr>
          <w:bCs/>
          <w:sz w:val="24"/>
          <w:szCs w:val="24"/>
          <w:shd w:fill="FFFFFF" w:val="clear"/>
        </w:rPr>
        <w:t xml:space="preserve">участие в саморегулируемой организации, основанной на членстве лиц, </w:t>
      </w:r>
      <w:r>
        <w:rPr>
          <w:sz w:val="24"/>
          <w:szCs w:val="24"/>
          <w:shd w:fill="FFFFFF" w:val="clear"/>
        </w:rPr>
        <w:t>выполняющих инженерные изыскания / подготовку проектной документации</w:t>
      </w:r>
      <w:r>
        <w:rPr>
          <w:rStyle w:val="Style12"/>
          <w:sz w:val="24"/>
          <w:szCs w:val="24"/>
          <w:shd w:fill="FFFFFF" w:val="clear"/>
        </w:rPr>
        <w:footnoteReference w:id="3"/>
      </w:r>
      <w:r>
        <w:rPr>
          <w:bCs/>
          <w:sz w:val="24"/>
          <w:szCs w:val="24"/>
          <w:shd w:fill="FFFFFF" w:val="clear"/>
        </w:rPr>
        <w:t xml:space="preserve"> (с учетом исключений, предусмотренных законодательством Российской Федерации</w:t>
      </w:r>
      <w:r>
        <w:rPr>
          <w:rStyle w:val="Style12"/>
          <w:bCs/>
          <w:sz w:val="24"/>
          <w:szCs w:val="24"/>
          <w:shd w:fill="FFFFFF" w:val="clear"/>
        </w:rPr>
        <w:footnoteReference w:id="4"/>
      </w:r>
      <w:r>
        <w:rPr>
          <w:bCs/>
          <w:sz w:val="24"/>
          <w:szCs w:val="24"/>
          <w:shd w:fill="FFFFFF" w:val="clear"/>
        </w:rPr>
        <w:t>);</w:t>
      </w:r>
    </w:p>
    <w:p>
      <w:pPr>
        <w:pStyle w:val="ListParagraph"/>
        <w:numPr>
          <w:ilvl w:val="0"/>
          <w:numId w:val="11"/>
        </w:numPr>
        <w:shd w:val="clear" w:color="auto" w:fill="FFFFFF"/>
        <w:tabs>
          <w:tab w:val="left" w:pos="567" w:leader="none"/>
          <w:tab w:val="left" w:pos="1418" w:leader="none"/>
        </w:tabs>
        <w:ind w:left="0" w:firstLine="709"/>
        <w:jc w:val="both"/>
        <w:rPr>
          <w:highlight w:val="white"/>
        </w:rPr>
      </w:pPr>
      <w:r>
        <w:rPr>
          <w:bCs/>
          <w:sz w:val="24"/>
          <w:szCs w:val="24"/>
          <w:shd w:fill="FFFFFF" w:val="clear"/>
        </w:rPr>
        <w:t>соответствие уровня имущественной ответственности Подрядчика по компенсационному фонду возмещения вреда и компенсационному фонду обеспечения договорных обязательств</w:t>
      </w:r>
      <w:r>
        <w:rPr>
          <w:sz w:val="24"/>
          <w:szCs w:val="24"/>
          <w:shd w:fill="FFFFFF" w:val="clear"/>
        </w:rPr>
        <w:t xml:space="preserve"> </w:t>
      </w:r>
      <w:r>
        <w:rPr>
          <w:bCs/>
          <w:sz w:val="24"/>
          <w:szCs w:val="24"/>
          <w:shd w:fill="FFFFFF" w:val="clear"/>
        </w:rPr>
        <w:t>стоимости выполнения Работ по Договору;</w:t>
      </w:r>
    </w:p>
    <w:p>
      <w:pPr>
        <w:pStyle w:val="ListParagraph"/>
        <w:numPr>
          <w:ilvl w:val="0"/>
          <w:numId w:val="11"/>
        </w:numPr>
        <w:tabs>
          <w:tab w:val="left" w:pos="567" w:leader="none"/>
        </w:tabs>
        <w:ind w:left="0" w:firstLine="709"/>
        <w:jc w:val="both"/>
        <w:rPr>
          <w:highlight w:val="white"/>
        </w:rPr>
      </w:pPr>
      <w:r>
        <w:rPr>
          <w:bCs/>
          <w:sz w:val="24"/>
          <w:szCs w:val="24"/>
          <w:shd w:fill="FFFFFF" w:val="clear"/>
        </w:rPr>
        <w:t>организацию выполнения Работ по Договору лицом (лицами), сведения о которых включены в Национальный реестр специалистов в области инженерных изысканий и архитектурно-строительного проектирования.</w:t>
      </w:r>
    </w:p>
    <w:p>
      <w:pPr>
        <w:pStyle w:val="ListParagraph"/>
        <w:numPr>
          <w:ilvl w:val="2"/>
          <w:numId w:val="1"/>
        </w:numPr>
        <w:shd w:val="clear" w:color="auto" w:fill="FFFFFF"/>
        <w:tabs>
          <w:tab w:val="left" w:pos="1418" w:leader="none"/>
        </w:tabs>
        <w:ind w:left="0" w:firstLine="709"/>
        <w:jc w:val="both"/>
        <w:rPr>
          <w:highlight w:val="white"/>
        </w:rPr>
      </w:pPr>
      <w:r>
        <w:rPr>
          <w:sz w:val="24"/>
          <w:szCs w:val="24"/>
          <w:shd w:fill="FFFFFF" w:val="clear"/>
        </w:rPr>
        <w:t>Выполнять</w:t>
      </w:r>
      <w:r>
        <w:rPr>
          <w:bCs/>
          <w:sz w:val="24"/>
          <w:szCs w:val="24"/>
          <w:shd w:fill="FFFFFF" w:val="clear"/>
        </w:rPr>
        <w:t xml:space="preserve"> Работы силами квалифицированных специалистов (в том числе, с учетом требований пункта 2.3.10 Договора), прошедших соответствующую подготовку, квалификация, опыт и компетенция которых позволяет обеспечить надлежащее и качественное выполнение Работ. </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Провести инструктаж персонала, задействованного при выполнении Работ на территории Заказчика,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В случае применения контролирующими органами штрафных санкций 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 xml:space="preserve">Передать Заказчику Результат Работ, соответствующий требованиям Договора. </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Обеспечивать в месте производства Инженерных изысканий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w:t>
      </w:r>
    </w:p>
    <w:p>
      <w:pPr>
        <w:pStyle w:val="ListParagraph"/>
        <w:shd w:val="clear" w:color="auto" w:fill="FFFFFF"/>
        <w:tabs>
          <w:tab w:val="left" w:pos="1418" w:leader="none"/>
        </w:tabs>
        <w:ind w:left="0" w:firstLine="709"/>
        <w:jc w:val="both"/>
        <w:rPr>
          <w:highlight w:val="white"/>
        </w:rPr>
      </w:pPr>
      <w:r>
        <w:rPr>
          <w:bCs/>
          <w:sz w:val="24"/>
          <w:szCs w:val="24"/>
          <w:shd w:fill="FFFFFF" w:val="clear"/>
        </w:rPr>
        <w:t>До даты сдачи Заказчику Результата Инженерных изысканий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Выполнять полученные в ходе исполнения Договора указания Заказчика,</w:t>
      </w:r>
      <w:r>
        <w:rPr>
          <w:sz w:val="24"/>
          <w:szCs w:val="24"/>
          <w:shd w:fill="FFFFFF" w:val="clear"/>
        </w:rPr>
        <w:t xml:space="preserve"> </w:t>
      </w:r>
      <w:r>
        <w:rPr>
          <w:bCs/>
          <w:sz w:val="24"/>
          <w:szCs w:val="24"/>
          <w:shd w:fill="FFFFFF" w:val="clear"/>
        </w:rPr>
        <w:t xml:space="preserve">если такие указания не противоречат условиям Договора и не представляют собой вмешательства в деятельность Подрядчика. </w:t>
      </w:r>
    </w:p>
    <w:p>
      <w:pPr>
        <w:pStyle w:val="Normal"/>
        <w:shd w:val="clear" w:color="auto" w:fill="FFFFFF"/>
        <w:tabs>
          <w:tab w:val="left" w:pos="1418" w:leader="none"/>
        </w:tabs>
        <w:spacing w:lineRule="auto" w:line="240"/>
        <w:ind w:firstLine="709"/>
        <w:rPr>
          <w:highlight w:val="white"/>
        </w:rPr>
      </w:pPr>
      <w:r>
        <w:rPr>
          <w:bCs/>
          <w:sz w:val="24"/>
          <w:szCs w:val="24"/>
          <w:shd w:fill="FFFFFF" w:val="clear"/>
        </w:rPr>
        <w:t xml:space="preserve">В случае, если такие указания могут привести к увеличению Цены Договора и сроков выполнения Работ,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Normal"/>
        <w:shd w:val="clear" w:color="auto" w:fill="FFFFFF"/>
        <w:tabs>
          <w:tab w:val="left" w:pos="1418" w:leader="none"/>
        </w:tabs>
        <w:spacing w:lineRule="auto" w:line="240"/>
        <w:ind w:firstLine="709"/>
        <w:rPr>
          <w:highlight w:val="white"/>
        </w:rPr>
      </w:pPr>
      <w:r>
        <w:rPr>
          <w:bCs/>
          <w:sz w:val="24"/>
          <w:szCs w:val="24"/>
          <w:shd w:fill="FFFFFF" w:val="clear"/>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2.3.20.1 Договора. </w:t>
      </w:r>
    </w:p>
    <w:p>
      <w:pPr>
        <w:pStyle w:val="ListParagraph"/>
        <w:shd w:val="clear" w:color="auto" w:fill="FFFFFF"/>
        <w:tabs>
          <w:tab w:val="left" w:pos="1418" w:leader="none"/>
        </w:tabs>
        <w:ind w:left="0" w:firstLine="709"/>
        <w:jc w:val="both"/>
        <w:rPr>
          <w:highlight w:val="white"/>
        </w:rPr>
      </w:pPr>
      <w:r>
        <w:rPr>
          <w:bCs/>
          <w:sz w:val="24"/>
          <w:szCs w:val="24"/>
          <w:shd w:fill="FFFFFF" w:val="clear"/>
        </w:rPr>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2.3.19.1 Договора. </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Письменно известить Заказчика и до получения от него необходимых указаний приостановить Работу при обнаружении:</w:t>
      </w:r>
    </w:p>
    <w:p>
      <w:pPr>
        <w:pStyle w:val="ListParagraph"/>
        <w:numPr>
          <w:ilvl w:val="3"/>
          <w:numId w:val="1"/>
        </w:numPr>
        <w:shd w:val="clear" w:color="auto" w:fill="FFFFFF"/>
        <w:tabs>
          <w:tab w:val="left" w:pos="1701" w:leader="none"/>
        </w:tabs>
        <w:ind w:left="0" w:firstLine="709"/>
        <w:jc w:val="both"/>
        <w:rPr>
          <w:highlight w:val="white"/>
        </w:rPr>
      </w:pPr>
      <w:r>
        <w:rPr>
          <w:bCs/>
          <w:sz w:val="24"/>
          <w:szCs w:val="24"/>
          <w:shd w:fill="FFFFFF" w:val="clear"/>
        </w:rPr>
        <w:t xml:space="preserve">возможных неблагоприятных для Заказчика последствий выполнения его указаний – в любом случае не позднее момента начала выполнения таких указаний; </w:t>
      </w:r>
    </w:p>
    <w:p>
      <w:pPr>
        <w:pStyle w:val="ListParagraph"/>
        <w:numPr>
          <w:ilvl w:val="3"/>
          <w:numId w:val="1"/>
        </w:numPr>
        <w:shd w:val="clear" w:color="auto" w:fill="FFFFFF"/>
        <w:tabs>
          <w:tab w:val="left" w:pos="1701" w:leader="none"/>
        </w:tabs>
        <w:ind w:left="0" w:firstLine="709"/>
        <w:jc w:val="both"/>
        <w:rPr>
          <w:highlight w:val="white"/>
        </w:rPr>
      </w:pPr>
      <w:r>
        <w:rPr>
          <w:bCs/>
          <w:sz w:val="24"/>
          <w:szCs w:val="24"/>
          <w:shd w:fill="FFFFFF" w:val="clea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pPr>
        <w:pStyle w:val="ListParagraph"/>
        <w:numPr>
          <w:ilvl w:val="3"/>
          <w:numId w:val="1"/>
        </w:numPr>
        <w:shd w:val="clear" w:color="auto" w:fill="FFFFFF"/>
        <w:tabs>
          <w:tab w:val="left" w:pos="1701" w:leader="none"/>
        </w:tabs>
        <w:ind w:left="0" w:firstLine="709"/>
        <w:jc w:val="both"/>
        <w:rPr>
          <w:highlight w:val="white"/>
        </w:rPr>
      </w:pPr>
      <w:r>
        <w:rPr>
          <w:bCs/>
          <w:sz w:val="24"/>
          <w:szCs w:val="24"/>
          <w:shd w:fill="FFFFFF" w:val="clear"/>
        </w:rPr>
        <w:t>любых иных обстоятельств, угрожающих годности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pPr>
        <w:pStyle w:val="ListParagraph"/>
        <w:shd w:val="clear" w:color="auto" w:fill="FFFFFF"/>
        <w:tabs>
          <w:tab w:val="left" w:pos="567" w:leader="none"/>
        </w:tabs>
        <w:ind w:left="0" w:firstLine="709"/>
        <w:jc w:val="both"/>
        <w:rPr>
          <w:highlight w:val="white"/>
        </w:rPr>
      </w:pPr>
      <w:r>
        <w:rPr>
          <w:bCs/>
          <w:sz w:val="24"/>
          <w:szCs w:val="24"/>
          <w:shd w:fill="FFFFFF" w:val="clear"/>
        </w:rPr>
        <w:t>Невыполнение Подрядчиком требований пункта 2.3.19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Письменно уведомлять</w:t>
      </w:r>
      <w:r>
        <w:rPr>
          <w:sz w:val="24"/>
          <w:szCs w:val="24"/>
          <w:shd w:fill="FFFFFF" w:val="clear"/>
        </w:rPr>
        <w:t xml:space="preserve">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2"/>
        </w:numPr>
        <w:tabs>
          <w:tab w:val="left" w:pos="1134" w:leader="none"/>
        </w:tabs>
        <w:ind w:left="0" w:right="23" w:firstLine="709"/>
        <w:jc w:val="both"/>
        <w:rPr>
          <w:highlight w:val="white"/>
        </w:rPr>
      </w:pPr>
      <w:r>
        <w:rPr>
          <w:sz w:val="24"/>
          <w:szCs w:val="24"/>
          <w:shd w:fill="FFFFFF" w:val="clear"/>
        </w:rPr>
        <w:t>аварии – в течение 2 (двух) часов;</w:t>
      </w:r>
    </w:p>
    <w:p>
      <w:pPr>
        <w:pStyle w:val="ListParagraph"/>
        <w:numPr>
          <w:ilvl w:val="0"/>
          <w:numId w:val="12"/>
        </w:numPr>
        <w:tabs>
          <w:tab w:val="left" w:pos="1134" w:leader="none"/>
        </w:tabs>
        <w:ind w:left="0" w:right="23" w:firstLine="709"/>
        <w:jc w:val="both"/>
        <w:rPr>
          <w:highlight w:val="white"/>
        </w:rPr>
      </w:pPr>
      <w:r>
        <w:rPr>
          <w:sz w:val="24"/>
          <w:szCs w:val="24"/>
          <w:shd w:fill="FFFFFF" w:val="clear"/>
        </w:rPr>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pPr>
        <w:pStyle w:val="ListParagraph"/>
        <w:numPr>
          <w:ilvl w:val="0"/>
          <w:numId w:val="12"/>
        </w:numPr>
        <w:tabs>
          <w:tab w:val="left" w:pos="1134" w:leader="none"/>
        </w:tabs>
        <w:ind w:left="0" w:right="23" w:firstLine="709"/>
        <w:jc w:val="both"/>
        <w:rPr>
          <w:highlight w:val="white"/>
        </w:rPr>
      </w:pPr>
      <w:r>
        <w:rPr>
          <w:sz w:val="24"/>
          <w:szCs w:val="24"/>
          <w:shd w:fill="FFFFFF" w:val="clear"/>
        </w:rPr>
        <w:t>хищении и иных противоправных действиях – в течение 24 (двадцати четырех) часов;</w:t>
      </w:r>
    </w:p>
    <w:p>
      <w:pPr>
        <w:pStyle w:val="ListParagraph"/>
        <w:numPr>
          <w:ilvl w:val="0"/>
          <w:numId w:val="12"/>
        </w:numPr>
        <w:tabs>
          <w:tab w:val="left" w:pos="1134" w:leader="none"/>
        </w:tabs>
        <w:ind w:left="0" w:right="23" w:firstLine="709"/>
        <w:jc w:val="both"/>
        <w:rPr>
          <w:highlight w:val="white"/>
        </w:rPr>
      </w:pPr>
      <w:r>
        <w:rPr>
          <w:sz w:val="24"/>
          <w:szCs w:val="24"/>
          <w:shd w:fill="FFFFFF" w:val="clea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2"/>
        </w:numPr>
        <w:tabs>
          <w:tab w:val="left" w:pos="1134" w:leader="none"/>
        </w:tabs>
        <w:ind w:left="0" w:right="23" w:firstLine="709"/>
        <w:jc w:val="both"/>
        <w:rPr>
          <w:highlight w:val="white"/>
        </w:rPr>
      </w:pPr>
      <w:r>
        <w:rPr>
          <w:sz w:val="24"/>
          <w:szCs w:val="24"/>
          <w:shd w:fill="FFFFFF" w:val="clear"/>
        </w:rPr>
        <w:t>забастовке персонала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2"/>
        </w:numPr>
        <w:tabs>
          <w:tab w:val="left" w:pos="1134" w:leader="none"/>
        </w:tabs>
        <w:ind w:left="0" w:right="23" w:firstLine="709"/>
        <w:jc w:val="both"/>
        <w:rPr>
          <w:highlight w:val="white"/>
        </w:rPr>
      </w:pPr>
      <w:r>
        <w:rPr>
          <w:sz w:val="24"/>
          <w:szCs w:val="24"/>
          <w:shd w:fill="FFFFFF" w:val="clear"/>
        </w:rPr>
        <w:t>иных обстоятельствах, фактах, сообщениях в средствах массовой информации – в течение 24 (двадцати четырех) часов.</w:t>
      </w:r>
    </w:p>
    <w:p>
      <w:pPr>
        <w:pStyle w:val="ListParagraph"/>
        <w:numPr>
          <w:ilvl w:val="2"/>
          <w:numId w:val="1"/>
        </w:numPr>
        <w:shd w:val="clear" w:color="auto" w:fill="FFFFFF"/>
        <w:tabs>
          <w:tab w:val="left" w:pos="1418" w:leader="none"/>
        </w:tabs>
        <w:ind w:left="0" w:firstLine="709"/>
        <w:jc w:val="both"/>
        <w:rPr>
          <w:highlight w:val="white"/>
        </w:rPr>
      </w:pPr>
      <w:r>
        <w:rPr>
          <w:sz w:val="24"/>
          <w:szCs w:val="24"/>
          <w:shd w:fill="FFFFFF" w:val="clear"/>
        </w:rPr>
        <w:t xml:space="preserve">По требованию и в сроки, установленные Заказчиком, своими силами, средствами и за свой счет устранять недостатки, несоответствия, выявленные Заказчиком, а также недостатки и несоответствия, связанные с несогласованными с Заказчиком отступлениями от </w:t>
      </w:r>
      <w:r>
        <w:rPr>
          <w:bCs/>
          <w:sz w:val="24"/>
          <w:szCs w:val="24"/>
          <w:shd w:fill="FFFFFF" w:val="clear"/>
        </w:rPr>
        <w:t>требований Договора.</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Незамедлительно приступить к устранению недостатков Результата Работ, о которых ему стало известно.</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 xml:space="preserve">Подрядчик несет ответственность за несоответствие Результата Работ Техническому заданию (Приложение № 1 к Договору), Исходно-разрешительной документации, предоставленным Заказчиком или полученным Подрядчиком в рамках исполнения Договора исходным данным для проектирования, положениям Применимого права. Подрядчик несет ответственность за недостатки </w:t>
      </w:r>
      <w:r>
        <w:rPr>
          <w:sz w:val="24"/>
          <w:szCs w:val="24"/>
          <w:shd w:fill="FFFFFF" w:val="clear"/>
          <w:lang w:eastAsia="en-US"/>
        </w:rPr>
        <w:t>Проектной документации, Результата Инженерных изысканий и / или Рабочей документации</w:t>
      </w:r>
      <w:r>
        <w:rPr>
          <w:bCs/>
          <w:sz w:val="24"/>
          <w:szCs w:val="24"/>
          <w:shd w:fill="FFFFFF" w:val="clear"/>
        </w:rPr>
        <w:t xml:space="preserve">, включая обнаруженные в последствии в ходе строительства / реконструкции, а также в процессе эксплуатации Объекта, созданного на основе </w:t>
      </w:r>
      <w:r>
        <w:rPr>
          <w:sz w:val="24"/>
          <w:szCs w:val="24"/>
          <w:shd w:fill="FFFFFF" w:val="clear"/>
          <w:lang w:eastAsia="en-US"/>
        </w:rPr>
        <w:t>Проектной документации, Результата Инженерных изысканий и / или Рабочей документации</w:t>
      </w:r>
      <w:r>
        <w:rPr>
          <w:bCs/>
          <w:sz w:val="24"/>
          <w:szCs w:val="24"/>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В случае предъявления налоговыми органами претензий и требований к Заказчику, связанных с предоставлением Подрядчиком недостоверных документов или информации либо недобросовестностью Субподрядчиков (любого лица из цепочки субподрядчиков),</w:t>
      </w:r>
      <w:r>
        <w:rPr>
          <w:sz w:val="24"/>
          <w:szCs w:val="24"/>
          <w:shd w:fill="FFFFFF" w:val="clear"/>
        </w:rPr>
        <w:t xml:space="preserve"> </w:t>
      </w:r>
      <w:r>
        <w:rPr>
          <w:bCs/>
          <w:sz w:val="24"/>
          <w:szCs w:val="24"/>
          <w:shd w:fill="FFFFFF" w:val="clear"/>
        </w:rPr>
        <w:t xml:space="preserve">привлеченных Подрядчиком к выполнению Работ по Договору, компенсировать все убытки Заказчика, вызванные такими претензиями и требованиями.  </w:t>
      </w:r>
    </w:p>
    <w:p>
      <w:pPr>
        <w:pStyle w:val="ListParagraph"/>
        <w:numPr>
          <w:ilvl w:val="2"/>
          <w:numId w:val="1"/>
        </w:numPr>
        <w:ind w:left="0" w:firstLine="709"/>
        <w:jc w:val="both"/>
        <w:rPr>
          <w:highlight w:val="white"/>
        </w:rPr>
      </w:pPr>
      <w:r>
        <w:rPr>
          <w:color w:val="000000"/>
          <w:sz w:val="24"/>
          <w:szCs w:val="24"/>
          <w:shd w:fill="FFFFFF" w:val="clear"/>
        </w:rPr>
        <w:t>Предоставить Заказчику Банковские гарантии в соответствии с разделом 6 Договора.</w:t>
      </w:r>
    </w:p>
    <w:p>
      <w:pPr>
        <w:pStyle w:val="ListParagraph"/>
        <w:numPr>
          <w:ilvl w:val="2"/>
          <w:numId w:val="1"/>
        </w:numPr>
        <w:shd w:val="clear" w:color="auto" w:fill="FFFFFF"/>
        <w:tabs>
          <w:tab w:val="left" w:pos="1418" w:leader="none"/>
        </w:tabs>
        <w:ind w:left="0" w:firstLine="710"/>
        <w:jc w:val="both"/>
        <w:rPr>
          <w:highlight w:val="white"/>
        </w:rPr>
      </w:pPr>
      <w:r>
        <w:rPr>
          <w:sz w:val="24"/>
          <w:szCs w:val="24"/>
          <w:shd w:fill="FFFFFF" w:val="clear"/>
        </w:rPr>
        <w:t>Не передавать Результат Работ, а также иные документы, оформленные или полученные в ходе выполнения Подрядчиком обязательств по Договору, третьим лицам без письменного согласия Заказчика, за исключением случаев, когда такая передача предусмотрена законодательством Российской Федерации и / или Договором.</w:t>
      </w:r>
    </w:p>
    <w:p>
      <w:pPr>
        <w:pStyle w:val="ListParagraph"/>
        <w:numPr>
          <w:ilvl w:val="2"/>
          <w:numId w:val="1"/>
        </w:numPr>
        <w:shd w:val="clear" w:color="auto" w:fill="FFFFFF"/>
        <w:tabs>
          <w:tab w:val="left" w:pos="1418" w:leader="none"/>
        </w:tabs>
        <w:ind w:left="0" w:firstLine="710"/>
        <w:jc w:val="both"/>
        <w:rPr>
          <w:highlight w:val="white"/>
        </w:rPr>
      </w:pPr>
      <w:bookmarkStart w:id="8" w:name="_GoBack1"/>
      <w:bookmarkEnd w:id="8"/>
      <w:r>
        <w:rPr>
          <w:sz w:val="24"/>
          <w:szCs w:val="24"/>
          <w:shd w:fill="FFFFFF" w:val="clea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
        </w:numPr>
        <w:shd w:val="clear" w:color="auto" w:fill="FFFFFF"/>
        <w:tabs>
          <w:tab w:val="left" w:pos="1418" w:leader="none"/>
        </w:tabs>
        <w:ind w:left="0" w:firstLine="710"/>
        <w:jc w:val="both"/>
        <w:rPr>
          <w:highlight w:val="white"/>
        </w:rPr>
      </w:pPr>
      <w:r>
        <w:rPr>
          <w:b w:val="false"/>
          <w:bCs w:val="false"/>
          <w:i w:val="false"/>
          <w:iCs w:val="false"/>
          <w:sz w:val="24"/>
          <w:szCs w:val="24"/>
          <w:shd w:fill="FFFFFF" w:val="clear"/>
        </w:rPr>
        <w:t xml:space="preserve">Соблюдать требования, установленные в Техническом задании (Приложение №1), в том числе о </w:t>
      </w:r>
      <w:r>
        <w:rPr>
          <w:b w:val="false"/>
          <w:bCs/>
          <w:i w:val="false"/>
          <w:iCs w:val="false"/>
          <w:sz w:val="24"/>
          <w:szCs w:val="24"/>
          <w:shd w:fill="FFFFFF" w:val="clear"/>
        </w:rPr>
        <w:t xml:space="preserve">наличии </w:t>
      </w:r>
      <w:r>
        <w:rPr>
          <w:b w:val="false"/>
          <w:bCs w:val="false"/>
          <w:i w:val="false"/>
          <w:iCs w:val="false"/>
          <w:sz w:val="24"/>
          <w:szCs w:val="24"/>
          <w:shd w:fill="FFFFFF" w:val="clear"/>
        </w:rPr>
        <w:t>необходимых для выполнения работ кадровых ресурсов (персонала), техники и материально-технических ресурсов.</w:t>
      </w:r>
    </w:p>
    <w:p>
      <w:pPr>
        <w:pStyle w:val="ListParagraph"/>
        <w:numPr>
          <w:ilvl w:val="2"/>
          <w:numId w:val="1"/>
        </w:numPr>
        <w:shd w:val="clear" w:color="auto" w:fill="FFFFFF"/>
        <w:tabs>
          <w:tab w:val="left" w:pos="1418" w:leader="none"/>
        </w:tabs>
        <w:ind w:left="0" w:firstLine="710"/>
        <w:jc w:val="both"/>
        <w:rPr>
          <w:highlight w:val="white"/>
        </w:rPr>
      </w:pPr>
      <w:r>
        <w:rPr>
          <w:b w:val="false"/>
          <w:bCs w:val="false"/>
          <w:i w:val="false"/>
          <w:iCs w:val="false"/>
          <w:caps w:val="false"/>
          <w:smallCaps w:val="false"/>
          <w:sz w:val="24"/>
          <w:szCs w:val="24"/>
          <w:shd w:fill="FFFFFF" w:val="clear"/>
        </w:rPr>
        <w:t xml:space="preserve">В течение 5 (пяти) рабочих дней с момента заключения договора, а также в случае получения требования Заказчика, указанного в п. 2.2.11 Договора, предоставить Заказчику полную информацию о </w:t>
      </w:r>
      <w:r>
        <w:rPr>
          <w:b w:val="false"/>
          <w:bCs/>
          <w:i w:val="false"/>
          <w:iCs w:val="false"/>
          <w:caps w:val="false"/>
          <w:smallCaps w:val="false"/>
          <w:sz w:val="24"/>
          <w:szCs w:val="24"/>
          <w:shd w:fill="FFFFFF" w:val="clear"/>
        </w:rPr>
        <w:t xml:space="preserve">наличии </w:t>
      </w:r>
      <w:r>
        <w:rPr>
          <w:b w:val="false"/>
          <w:bCs w:val="false"/>
          <w:i w:val="false"/>
          <w:iCs w:val="false"/>
          <w:caps w:val="false"/>
          <w:smallCaps w:val="false"/>
          <w:sz w:val="24"/>
          <w:szCs w:val="24"/>
          <w:shd w:fill="FFFFFF" w:val="clear"/>
        </w:rPr>
        <w:t>необходимых для выполнения работ кадровых ресурсов (персонала), техники и материально-технических ресурсов с предоставлением подтверждающих документов, в том числе указанных в требовании Заказчика</w:t>
      </w:r>
      <w:r>
        <w:rPr>
          <w:b w:val="false"/>
          <w:bCs/>
          <w:i w:val="false"/>
          <w:iCs w:val="false"/>
          <w:caps w:val="false"/>
          <w:smallCaps w:val="false"/>
          <w:sz w:val="24"/>
          <w:szCs w:val="24"/>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Исполнять иные обязанности, предусмотренные Договором и законодательством Российской Федерации, в том числе выполнять в своей части требования, указанные в Регламенте взаимодействия в ходе исполнения процессов управления проектом (Приложение № 9 к Договору).</w:t>
      </w:r>
      <w:r>
        <w:rPr>
          <w:sz w:val="24"/>
          <w:szCs w:val="24"/>
          <w:shd w:fill="FFFFFF" w:val="clear"/>
        </w:rPr>
        <w:t xml:space="preserve"> </w:t>
      </w:r>
    </w:p>
    <w:p>
      <w:pPr>
        <w:pStyle w:val="Normal"/>
        <w:spacing w:lineRule="auto" w:line="240"/>
        <w:rPr>
          <w:rFonts w:ascii="Times New Roman" w:hAnsi="Times New Roman"/>
          <w:sz w:val="24"/>
          <w:szCs w:val="24"/>
          <w:shd w:fill="FFFFFF" w:val="clear"/>
        </w:rPr>
      </w:pPr>
      <w:r>
        <w:rPr>
          <w:sz w:val="24"/>
          <w:szCs w:val="24"/>
          <w:shd w:fill="FFFFFF" w:val="clear"/>
        </w:rPr>
      </w:r>
    </w:p>
    <w:p>
      <w:pPr>
        <w:pStyle w:val="ListParagraph"/>
        <w:numPr>
          <w:ilvl w:val="1"/>
          <w:numId w:val="1"/>
        </w:numPr>
        <w:shd w:val="clear" w:color="auto" w:fill="FFFFFF"/>
        <w:tabs>
          <w:tab w:val="left" w:pos="1134" w:leader="none"/>
        </w:tabs>
        <w:ind w:left="0" w:firstLine="709"/>
        <w:jc w:val="both"/>
        <w:rPr>
          <w:highlight w:val="white"/>
        </w:rPr>
      </w:pPr>
      <w:r>
        <w:rPr>
          <w:bCs/>
          <w:sz w:val="24"/>
          <w:szCs w:val="24"/>
          <w:u w:val="single"/>
          <w:shd w:fill="FFFFFF" w:val="clear"/>
        </w:rPr>
        <w:t>Подрядчик имеет право</w:t>
      </w:r>
      <w:r>
        <w:rPr>
          <w:bCs/>
          <w:sz w:val="24"/>
          <w:szCs w:val="24"/>
          <w:shd w:fill="FFFFFF" w:val="clear"/>
        </w:rPr>
        <w:t>:</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Самостоятельно организовать выполнение Работ.</w:t>
      </w:r>
    </w:p>
    <w:p>
      <w:pPr>
        <w:pStyle w:val="ListParagraph"/>
        <w:numPr>
          <w:ilvl w:val="2"/>
          <w:numId w:val="1"/>
        </w:numPr>
        <w:shd w:val="clear" w:color="auto" w:fill="FFFFFF"/>
        <w:tabs>
          <w:tab w:val="left" w:pos="1418" w:leader="none"/>
        </w:tabs>
        <w:ind w:left="0" w:firstLine="709"/>
        <w:jc w:val="both"/>
        <w:rPr>
          <w:highlight w:val="white"/>
        </w:rPr>
      </w:pPr>
      <w:r>
        <w:rPr>
          <w:bCs/>
          <w:sz w:val="24"/>
          <w:szCs w:val="24"/>
          <w:shd w:fill="FFFFFF" w:val="clear"/>
        </w:rPr>
        <w:t xml:space="preserve">При необходимости по предварительному письменному согласованию с Заказчиком заключать договоры субподряда в совокупности не более чем на 50 % (пятьдесят процентов) от Цены Договора, неся при этом ответственность за действия Субподрядчиков, как за свои собственные. </w:t>
      </w:r>
    </w:p>
    <w:p>
      <w:pPr>
        <w:pStyle w:val="ListParagraph"/>
        <w:shd w:val="clear" w:color="auto" w:fill="FFFFFF"/>
        <w:tabs>
          <w:tab w:val="left" w:pos="1418" w:leader="none"/>
        </w:tabs>
        <w:ind w:left="0" w:firstLine="709"/>
        <w:jc w:val="both"/>
        <w:rPr>
          <w:highlight w:val="white"/>
        </w:rPr>
      </w:pPr>
      <w:r>
        <w:rPr>
          <w:bCs/>
          <w:sz w:val="24"/>
          <w:szCs w:val="24"/>
          <w:shd w:fill="FFFFFF" w:val="clear"/>
        </w:rPr>
        <w:t xml:space="preserve">При согласовании привлечения Субподрядчика Подрядчик представляет Заказчику: </w:t>
      </w:r>
    </w:p>
    <w:p>
      <w:pPr>
        <w:pStyle w:val="ListParagraph"/>
        <w:numPr>
          <w:ilvl w:val="0"/>
          <w:numId w:val="14"/>
        </w:numPr>
        <w:shd w:val="clear" w:color="auto" w:fill="FFFFFF"/>
        <w:tabs>
          <w:tab w:val="left" w:pos="709" w:leader="none"/>
        </w:tabs>
        <w:ind w:left="0" w:firstLine="709"/>
        <w:jc w:val="both"/>
        <w:rPr>
          <w:highlight w:val="white"/>
        </w:rPr>
      </w:pPr>
      <w:r>
        <w:rPr>
          <w:bCs/>
          <w:sz w:val="24"/>
          <w:szCs w:val="24"/>
          <w:shd w:fill="FFFFFF" w:val="clear"/>
        </w:rPr>
        <w:t xml:space="preserve">проект договора с Субподрядчиком; </w:t>
      </w:r>
    </w:p>
    <w:p>
      <w:pPr>
        <w:pStyle w:val="ListParagraph"/>
        <w:numPr>
          <w:ilvl w:val="0"/>
          <w:numId w:val="14"/>
        </w:numPr>
        <w:shd w:val="clear" w:color="auto" w:fill="FFFFFF"/>
        <w:tabs>
          <w:tab w:val="left" w:pos="709" w:leader="none"/>
        </w:tabs>
        <w:ind w:left="0" w:firstLine="709"/>
        <w:jc w:val="both"/>
        <w:rPr>
          <w:highlight w:val="white"/>
        </w:rPr>
      </w:pPr>
      <w:r>
        <w:rPr>
          <w:bCs/>
          <w:sz w:val="24"/>
          <w:szCs w:val="24"/>
          <w:shd w:fill="FFFFFF" w:val="clear"/>
        </w:rPr>
        <w:t xml:space="preserve">сведения об объемах выполнения работ Субподрядчиком; </w:t>
      </w:r>
    </w:p>
    <w:p>
      <w:pPr>
        <w:pStyle w:val="ListParagraph"/>
        <w:numPr>
          <w:ilvl w:val="0"/>
          <w:numId w:val="14"/>
        </w:numPr>
        <w:shd w:val="clear" w:color="auto" w:fill="FFFFFF"/>
        <w:tabs>
          <w:tab w:val="left" w:pos="709" w:leader="none"/>
          <w:tab w:val="left" w:pos="1418" w:leader="none"/>
        </w:tabs>
        <w:ind w:left="0" w:firstLine="419"/>
        <w:jc w:val="both"/>
        <w:rPr>
          <w:highlight w:val="white"/>
        </w:rPr>
      </w:pPr>
      <w:r>
        <w:rPr>
          <w:bCs/>
          <w:sz w:val="24"/>
          <w:szCs w:val="24"/>
          <w:shd w:fill="FFFFFF" w:val="clear"/>
        </w:rPr>
        <w:t xml:space="preserve">пофамильный перечень персонала Субподрядчика, который будет задействован при производстве Работ </w:t>
      </w:r>
      <w:r>
        <w:rPr>
          <w:sz w:val="24"/>
          <w:szCs w:val="24"/>
          <w:shd w:fill="FFFFFF" w:val="clear"/>
        </w:rPr>
        <w:t>с указанием их паспортных данных, должности, приложением согласия персонала на обработку персональных данных, копий приказов о приеме на работу или иных документов, подтверждающих договорные отношения персонала с Субподрядчиком.</w:t>
      </w:r>
      <w:r>
        <w:rPr>
          <w:bCs/>
          <w:sz w:val="24"/>
          <w:szCs w:val="24"/>
          <w:shd w:fill="FFFFFF" w:val="clear"/>
        </w:rPr>
        <w:t xml:space="preserve"> Если при выполнении работ используется техника, то Подрядчик указывает наименование техники и ее гос.номер, с обязательным приложением копий ПТС или ПСМ либо копии документов, подтверждающих право аренды техникой или владение ей на ином законном основании;</w:t>
      </w:r>
    </w:p>
    <w:p>
      <w:pPr>
        <w:pStyle w:val="ListParagraph"/>
        <w:numPr>
          <w:ilvl w:val="0"/>
          <w:numId w:val="14"/>
        </w:numPr>
        <w:shd w:val="clear" w:color="auto" w:fill="FFFFFF"/>
        <w:tabs>
          <w:tab w:val="left" w:pos="709" w:leader="none"/>
        </w:tabs>
        <w:ind w:left="0" w:firstLine="709"/>
        <w:jc w:val="both"/>
        <w:rPr>
          <w:highlight w:val="white"/>
        </w:rPr>
      </w:pPr>
      <w:r>
        <w:rPr>
          <w:bCs/>
          <w:sz w:val="24"/>
          <w:szCs w:val="24"/>
          <w:shd w:fill="FFFFFF" w:val="clear"/>
        </w:rPr>
        <w:t xml:space="preserve">копии документов, подтверждающих наличие у Субподрядчика и его персонала допусков, разрешений и лицензий, необходимых для выполнения Работ, </w:t>
      </w:r>
    </w:p>
    <w:p>
      <w:pPr>
        <w:pStyle w:val="ListParagraph"/>
        <w:shd w:val="clear" w:color="auto" w:fill="FFFFFF"/>
        <w:tabs>
          <w:tab w:val="left" w:pos="1418" w:leader="none"/>
        </w:tabs>
        <w:ind w:left="0" w:firstLine="709"/>
        <w:jc w:val="both"/>
        <w:rPr>
          <w:rFonts w:ascii="Times New Roman" w:hAnsi="Times New Roman"/>
          <w:sz w:val="24"/>
          <w:szCs w:val="24"/>
          <w:shd w:fill="FFFFFF" w:val="clear"/>
        </w:rPr>
      </w:pPr>
      <w:r>
        <w:rPr>
          <w:sz w:val="24"/>
          <w:szCs w:val="24"/>
          <w:shd w:fill="FFFFFF" w:val="clear"/>
        </w:rPr>
      </w:r>
    </w:p>
    <w:p>
      <w:pPr>
        <w:pStyle w:val="ListParagraph"/>
        <w:numPr>
          <w:ilvl w:val="0"/>
          <w:numId w:val="1"/>
        </w:numPr>
        <w:shd w:val="clear" w:color="auto" w:fill="FFFFFF"/>
        <w:tabs>
          <w:tab w:val="left" w:pos="284" w:leader="none"/>
        </w:tabs>
        <w:ind w:left="0" w:hanging="0"/>
        <w:jc w:val="center"/>
        <w:rPr>
          <w:highlight w:val="white"/>
        </w:rPr>
      </w:pPr>
      <w:r>
        <w:rPr>
          <w:b/>
          <w:bCs/>
          <w:sz w:val="24"/>
          <w:szCs w:val="24"/>
          <w:shd w:fill="FFFFFF" w:val="clear"/>
        </w:rPr>
        <w:t>Цена Договора и порядок расчетов</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 xml:space="preserve">Цена </w:t>
      </w:r>
      <w:r>
        <w:rPr>
          <w:sz w:val="24"/>
          <w:szCs w:val="24"/>
          <w:shd w:fill="FFFFFF" w:val="clear"/>
        </w:rPr>
        <w:t xml:space="preserve">Договора </w:t>
      </w:r>
      <w:r>
        <w:rPr>
          <w:bCs/>
          <w:sz w:val="24"/>
          <w:szCs w:val="24"/>
          <w:shd w:fill="FFFFFF" w:val="clear"/>
        </w:rPr>
        <w:t xml:space="preserve">в соответствии со Сводной сметой с приложениями (Приложение № 3 к Договору) является предельной и составляет </w:t>
      </w:r>
      <w:r>
        <w:rPr>
          <w:sz w:val="24"/>
          <w:szCs w:val="24"/>
          <w:shd w:fill="FFFFFF" w:val="clear"/>
        </w:rPr>
        <w:t>_______</w:t>
      </w:r>
      <w:r>
        <w:rPr>
          <w:bCs/>
          <w:sz w:val="24"/>
          <w:szCs w:val="24"/>
          <w:shd w:fill="FFFFFF" w:val="clear"/>
        </w:rPr>
        <w:t xml:space="preserve"> (</w:t>
      </w:r>
      <w:r>
        <w:rPr>
          <w:sz w:val="24"/>
          <w:szCs w:val="24"/>
          <w:shd w:fill="FFFFFF" w:val="clear"/>
        </w:rPr>
        <w:t>__________________</w:t>
      </w:r>
      <w:r>
        <w:rPr>
          <w:bCs/>
          <w:sz w:val="24"/>
          <w:szCs w:val="24"/>
          <w:shd w:fill="FFFFFF" w:val="clear"/>
        </w:rPr>
        <w:t xml:space="preserve">) рублей </w:t>
      </w:r>
      <w:r>
        <w:rPr>
          <w:sz w:val="24"/>
          <w:szCs w:val="24"/>
          <w:shd w:fill="FFFFFF" w:val="clear"/>
        </w:rPr>
        <w:t>___</w:t>
      </w:r>
      <w:r>
        <w:rPr>
          <w:bCs/>
          <w:sz w:val="24"/>
          <w:szCs w:val="24"/>
          <w:shd w:fill="FFFFFF" w:val="clear"/>
        </w:rPr>
        <w:t xml:space="preserve"> копеек, без учета НДС, при этом НДС исчисляется дополнительно по ставке, установленной статьей 164 Налогового кодекса РФ. </w:t>
      </w:r>
    </w:p>
    <w:p>
      <w:pPr>
        <w:pStyle w:val="ListParagraph"/>
        <w:widowControl/>
        <w:numPr>
          <w:ilvl w:val="1"/>
          <w:numId w:val="1"/>
        </w:numPr>
        <w:shd w:val="clear" w:color="auto" w:fill="FFFFFF"/>
        <w:tabs>
          <w:tab w:val="left" w:pos="1134" w:leader="none"/>
        </w:tabs>
        <w:suppressAutoHyphens w:val="true"/>
        <w:bidi w:val="0"/>
        <w:spacing w:lineRule="auto" w:line="240" w:before="0" w:after="0"/>
        <w:ind w:left="0" w:right="0" w:firstLine="680"/>
        <w:contextualSpacing/>
        <w:jc w:val="both"/>
        <w:rPr>
          <w:highlight w:val="white"/>
        </w:rPr>
      </w:pPr>
      <w:r>
        <w:rPr>
          <w:sz w:val="24"/>
          <w:szCs w:val="24"/>
          <w:shd w:fill="FFFFFF" w:val="clear"/>
        </w:rPr>
        <w:t>Сметы являются неотъемлемой частью Сводной сметы с приложениями (Приложение № 3 к Договору)</w:t>
      </w:r>
      <w:bookmarkStart w:id="9" w:name="_Ref361335465"/>
      <w:bookmarkEnd w:id="9"/>
      <w:r>
        <w:rPr>
          <w:rStyle w:val="Style12"/>
          <w:sz w:val="24"/>
          <w:szCs w:val="24"/>
          <w:shd w:fill="FFFFFF" w:val="clear"/>
        </w:rPr>
        <w:footnoteReference w:id="5"/>
      </w:r>
      <w:r>
        <w:rPr>
          <w:bCs/>
          <w:sz w:val="24"/>
          <w:szCs w:val="24"/>
          <w:shd w:fill="FFFFFF" w:val="clear"/>
        </w:rPr>
        <w:t>.</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Цена Договора включает в себя прибыль Подрядчика, а также все расходы и затраты Подрядчика на:</w:t>
      </w:r>
    </w:p>
    <w:p>
      <w:pPr>
        <w:pStyle w:val="ListParagraph"/>
        <w:numPr>
          <w:ilvl w:val="2"/>
          <w:numId w:val="1"/>
        </w:numPr>
        <w:shd w:val="clear" w:color="auto" w:fill="FFFFFF"/>
        <w:tabs>
          <w:tab w:val="left" w:pos="1418" w:leader="none"/>
        </w:tabs>
        <w:ind w:left="0" w:firstLine="709"/>
        <w:jc w:val="both"/>
        <w:rPr>
          <w:highlight w:val="white"/>
        </w:rPr>
      </w:pPr>
      <w:r>
        <w:rPr>
          <w:sz w:val="24"/>
          <w:szCs w:val="24"/>
          <w:shd w:fill="FFFFFF" w:val="clear"/>
        </w:rPr>
        <w:t>Получение и оформление Исходно-разрешительной документации.</w:t>
      </w:r>
    </w:p>
    <w:p>
      <w:pPr>
        <w:pStyle w:val="ListParagraph"/>
        <w:numPr>
          <w:ilvl w:val="2"/>
          <w:numId w:val="1"/>
        </w:numPr>
        <w:shd w:val="clear" w:color="auto" w:fill="FFFFFF"/>
        <w:tabs>
          <w:tab w:val="left" w:pos="1418" w:leader="none"/>
        </w:tabs>
        <w:ind w:left="0" w:firstLine="709"/>
        <w:jc w:val="both"/>
        <w:rPr>
          <w:highlight w:val="white"/>
        </w:rPr>
      </w:pPr>
      <w:r>
        <w:rPr>
          <w:sz w:val="24"/>
          <w:szCs w:val="24"/>
          <w:shd w:fill="FFFFFF" w:val="clear"/>
        </w:rPr>
        <w:t xml:space="preserve">Заработную плату, накладные и командировочные расходы, перемещение и размещение персонала Подрядчика. </w:t>
      </w:r>
    </w:p>
    <w:p>
      <w:pPr>
        <w:pStyle w:val="ListParagraph"/>
        <w:numPr>
          <w:ilvl w:val="2"/>
          <w:numId w:val="1"/>
        </w:numPr>
        <w:shd w:val="clear" w:color="auto" w:fill="FFFFFF"/>
        <w:tabs>
          <w:tab w:val="left" w:pos="1418" w:leader="none"/>
        </w:tabs>
        <w:ind w:left="0" w:firstLine="709"/>
        <w:jc w:val="both"/>
        <w:rPr>
          <w:highlight w:val="white"/>
        </w:rPr>
      </w:pPr>
      <w:r>
        <w:rPr>
          <w:sz w:val="24"/>
          <w:szCs w:val="24"/>
          <w:shd w:fill="FFFFFF" w:val="clear"/>
        </w:rPr>
        <w:t>Подлежащие уплате налоги, сборы и пошлины (в том числе по таможенному оформлению Материально-технических ресурсов</w:t>
      </w:r>
      <w:r>
        <w:rPr>
          <w:bCs/>
          <w:sz w:val="24"/>
          <w:szCs w:val="24"/>
          <w:shd w:fill="FFFFFF" w:val="clear"/>
        </w:rPr>
        <w:t xml:space="preserve"> и оборудования</w:t>
      </w:r>
      <w:r>
        <w:rPr>
          <w:sz w:val="24"/>
          <w:szCs w:val="24"/>
          <w:shd w:fill="FFFFFF" w:val="clear"/>
        </w:rPr>
        <w:t xml:space="preserve">, если применимо). </w:t>
      </w:r>
    </w:p>
    <w:p>
      <w:pPr>
        <w:pStyle w:val="ListParagraph"/>
        <w:numPr>
          <w:ilvl w:val="2"/>
          <w:numId w:val="1"/>
        </w:numPr>
        <w:ind w:left="0" w:firstLine="710"/>
        <w:jc w:val="both"/>
        <w:rPr>
          <w:highlight w:val="white"/>
        </w:rPr>
      </w:pPr>
      <w:r>
        <w:rPr>
          <w:sz w:val="24"/>
          <w:szCs w:val="24"/>
          <w:shd w:fill="FFFFFF" w:val="clear"/>
        </w:rPr>
        <w:t xml:space="preserve">Все прочие затраты и расходы Подрядчика, связанные выполнением Работ и исполнением иных обязательств по Договору (за исключением случаев, когда законодательством Российской Федерации предусмотрено несение соответствующих расходов Заказчиком самостоятельно), а также все непредвиденные расходы, которые могут возникнуть у Подрядчика в течение срока действия Договора. </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НДС, установленной статьей 164 Налогового кодекса РФ.</w:t>
      </w:r>
    </w:p>
    <w:p>
      <w:pPr>
        <w:pStyle w:val="ListParagraph"/>
        <w:numPr>
          <w:ilvl w:val="1"/>
          <w:numId w:val="1"/>
        </w:numPr>
        <w:shd w:val="clear" w:color="auto" w:fill="FFFFFF"/>
        <w:tabs>
          <w:tab w:val="left" w:pos="1134" w:leader="none"/>
        </w:tabs>
        <w:ind w:left="0" w:firstLine="709"/>
        <w:jc w:val="both"/>
        <w:rPr>
          <w:highlight w:val="white"/>
        </w:rPr>
      </w:pPr>
      <w:bookmarkStart w:id="10" w:name="_Ref361858588"/>
      <w:bookmarkStart w:id="11" w:name="_Ref361834675"/>
      <w:r>
        <w:rPr>
          <w:bCs/>
          <w:sz w:val="24"/>
          <w:szCs w:val="24"/>
          <w:shd w:fill="FFFFFF" w:val="clear"/>
        </w:rPr>
        <w:t>Оплата по Договору осуществляется Заказчиком в следующем порядке:</w:t>
      </w:r>
      <w:bookmarkEnd w:id="10"/>
      <w:bookmarkEnd w:id="11"/>
      <w:r>
        <w:rPr>
          <w:bCs/>
          <w:sz w:val="24"/>
          <w:szCs w:val="24"/>
          <w:shd w:fill="FFFFFF" w:val="clear"/>
        </w:rPr>
        <w:t xml:space="preserve"> </w:t>
      </w:r>
    </w:p>
    <w:p>
      <w:pPr>
        <w:pStyle w:val="ListParagraph"/>
        <w:numPr>
          <w:ilvl w:val="2"/>
          <w:numId w:val="1"/>
        </w:numPr>
        <w:shd w:val="clear" w:color="auto" w:fill="FFFFFF"/>
        <w:tabs>
          <w:tab w:val="left" w:pos="1418" w:leader="none"/>
        </w:tabs>
        <w:ind w:left="0" w:firstLine="709"/>
        <w:jc w:val="both"/>
        <w:rPr>
          <w:highlight w:val="white"/>
        </w:rPr>
      </w:pPr>
      <w:bookmarkStart w:id="12" w:name="_Ref373242755"/>
      <w:bookmarkStart w:id="13" w:name="_Ref361335057"/>
      <w:bookmarkEnd w:id="12"/>
      <w:bookmarkEnd w:id="13"/>
      <w:r>
        <w:rPr>
          <w:sz w:val="24"/>
          <w:szCs w:val="24"/>
          <w:shd w:fill="FFFFFF" w:val="clear"/>
        </w:rPr>
        <w:t>Подрядчик не позднее 3 (трех) рабочих дней до предполагаемой даты выплаты авансового платежа, обязан предоставить Заказчику Банковскую гарантию, соответствующую требованиям, установленным разделом 6 Договора и предварительно согласованную с Заказчиком.</w:t>
      </w:r>
    </w:p>
    <w:p>
      <w:pPr>
        <w:pStyle w:val="ListParagraph"/>
        <w:numPr>
          <w:ilvl w:val="2"/>
          <w:numId w:val="1"/>
        </w:numPr>
        <w:shd w:val="clear" w:color="auto" w:fill="FFFFFF"/>
        <w:tabs>
          <w:tab w:val="left" w:pos="1418" w:leader="none"/>
        </w:tabs>
        <w:ind w:left="0" w:firstLine="710"/>
        <w:jc w:val="both"/>
        <w:rPr>
          <w:highlight w:val="white"/>
        </w:rPr>
      </w:pPr>
      <w:bookmarkStart w:id="14" w:name="_Ref361335023"/>
      <w:bookmarkStart w:id="15" w:name="_Ref3732427551"/>
      <w:bookmarkStart w:id="16" w:name="_Ref3613350571"/>
      <w:bookmarkEnd w:id="15"/>
      <w:bookmarkEnd w:id="16"/>
      <w:r>
        <w:rPr>
          <w:sz w:val="24"/>
          <w:szCs w:val="24"/>
          <w:shd w:fill="FFFFFF" w:val="clear"/>
        </w:rPr>
        <w:t xml:space="preserve">Авансовые платежи в счет стоимости каждого Этапа Работ рассчитываются в размере 30% (тридцати процентов) от стоимости соответствующего Этапа Работ (за исключением непредвиденных работ и затрат) без учета НДС, кроме того НДС </w:t>
      </w:r>
      <w:r>
        <w:rPr>
          <w:bCs/>
          <w:sz w:val="24"/>
          <w:szCs w:val="24"/>
          <w:shd w:fill="FFFFFF" w:val="clear"/>
        </w:rPr>
        <w:t xml:space="preserve">по ставке, установленной статьей 164 Налогового кодекса РФ, </w:t>
      </w:r>
      <w:r>
        <w:rPr>
          <w:sz w:val="24"/>
          <w:szCs w:val="24"/>
          <w:shd w:fill="FFFFFF" w:val="clear"/>
        </w:rPr>
        <w:t>и выплачиваются в течение 30 (тридцати) рабочих дней с даты получения Заказчиком счета, выставленного Подрядчиком, но не ранее, чем за 30 (тридцать) календарных дней до даты начала Этапа Работ, определенной в соответствии с Календарным графиком выполнения Работ (Приложение № 2 к Договору), и с учетом пунктов 3.5.1, 3.5.5 Догово</w:t>
      </w:r>
      <w:bookmarkStart w:id="17" w:name="_Ref373242766"/>
      <w:bookmarkEnd w:id="17"/>
      <w:r>
        <w:rPr>
          <w:sz w:val="24"/>
          <w:szCs w:val="24"/>
          <w:shd w:fill="FFFFFF" w:val="clear"/>
        </w:rPr>
        <w:t>ра.</w:t>
      </w:r>
    </w:p>
    <w:p>
      <w:pPr>
        <w:pStyle w:val="ListParagraph"/>
        <w:numPr>
          <w:ilvl w:val="2"/>
          <w:numId w:val="1"/>
        </w:numPr>
        <w:shd w:val="clear" w:color="auto" w:fill="FFFFFF"/>
        <w:tabs>
          <w:tab w:val="left" w:pos="1418" w:leader="none"/>
        </w:tabs>
        <w:ind w:left="0" w:firstLine="709"/>
        <w:jc w:val="both"/>
        <w:rPr>
          <w:highlight w:val="white"/>
        </w:rPr>
      </w:pPr>
      <w:r>
        <w:rPr>
          <w:sz w:val="24"/>
          <w:szCs w:val="24"/>
          <w:shd w:fill="FFFFFF" w:val="clear"/>
        </w:rPr>
        <w:t>Последующие платежи в размере разницы между стоимостью каждого Этапа Работ по выполнению Инженерных изысканий, определенной на основании Исполнительной сметы, составленной в соответствии с пунктом 4.2 Договора, либо Предварительной сметы (в случае отсутствия Исполнительной сметы) с учетом НДС</w:t>
      </w:r>
      <w:r>
        <w:rPr>
          <w:bCs/>
          <w:sz w:val="24"/>
          <w:szCs w:val="24"/>
          <w:shd w:fill="FFFFFF" w:val="clear"/>
        </w:rPr>
        <w:t xml:space="preserve"> по ставке, установленной статьей 164 Налогового кодекса РФ на дату подписания Сторонами документов, указанных в п. 4.1 Договора,</w:t>
      </w:r>
      <w:r>
        <w:rPr>
          <w:sz w:val="24"/>
          <w:szCs w:val="24"/>
          <w:shd w:fill="FFFFFF" w:val="clear"/>
        </w:rPr>
        <w:t xml:space="preserve"> </w:t>
      </w:r>
      <w:r>
        <w:rPr>
          <w:bCs/>
          <w:sz w:val="24"/>
          <w:szCs w:val="24"/>
          <w:shd w:fill="FFFFFF" w:val="clear"/>
        </w:rPr>
        <w:t>и суммой авансового платежа, ранее уплаченного</w:t>
      </w:r>
      <w:r>
        <w:rPr>
          <w:sz w:val="24"/>
          <w:szCs w:val="24"/>
          <w:shd w:fill="FFFFFF" w:val="clear"/>
        </w:rPr>
        <w:t xml:space="preserve"> в соответствии с пунктом 3.5.2 Договора,</w:t>
      </w:r>
      <w:r>
        <w:rPr>
          <w:bCs/>
          <w:sz w:val="24"/>
          <w:szCs w:val="24"/>
          <w:shd w:fill="FFFFFF" w:val="clear"/>
        </w:rPr>
        <w:t xml:space="preserve"> </w:t>
      </w:r>
      <w:r>
        <w:rPr>
          <w:sz w:val="24"/>
          <w:szCs w:val="24"/>
          <w:shd w:fill="FFFFFF" w:val="clear"/>
        </w:rPr>
        <w:t>выплачиваются в течение 45 (сорока пяти) календарных дней / 7 (семи) рабочих дней</w:t>
      </w:r>
      <w:r>
        <w:rPr>
          <w:rStyle w:val="Style12"/>
          <w:sz w:val="24"/>
          <w:szCs w:val="24"/>
          <w:shd w:fill="FFFFFF" w:val="clear"/>
        </w:rPr>
        <w:footnoteReference w:id="6"/>
      </w:r>
      <w:r>
        <w:rPr>
          <w:sz w:val="24"/>
          <w:szCs w:val="24"/>
          <w:shd w:fill="FFFFFF" w:val="clear"/>
        </w:rPr>
        <w:t xml:space="preserve"> с даты подписания Сторонами документов, указанных в пункте 4.1 Договора, на основании счета, выставленного Подрядчиком, и с учетом пунктов 3.5.5, 3.5.6 Договора. </w:t>
      </w:r>
    </w:p>
    <w:p>
      <w:pPr>
        <w:pStyle w:val="ListParagraph"/>
        <w:numPr>
          <w:ilvl w:val="2"/>
          <w:numId w:val="1"/>
        </w:numPr>
        <w:shd w:val="clear" w:color="auto" w:fill="FFFFFF"/>
        <w:tabs>
          <w:tab w:val="left" w:pos="1418" w:leader="none"/>
        </w:tabs>
        <w:ind w:left="0" w:firstLine="709"/>
        <w:jc w:val="both"/>
        <w:rPr>
          <w:highlight w:val="white"/>
        </w:rPr>
      </w:pPr>
      <w:r>
        <w:rPr>
          <w:sz w:val="24"/>
          <w:szCs w:val="24"/>
          <w:shd w:fill="FFFFFF" w:val="clear"/>
        </w:rPr>
        <w:t>Последующие платежи в размере разницы между стоимостью каждого Этапа Работ (кроме Работ по выполнению Инженерных изысканий), определенной с учетом НДС</w:t>
      </w:r>
      <w:r>
        <w:rPr>
          <w:bCs/>
          <w:sz w:val="24"/>
          <w:szCs w:val="24"/>
          <w:shd w:fill="FFFFFF" w:val="clear"/>
        </w:rPr>
        <w:t xml:space="preserve"> по ставке, установленной статьей 164 Налогового кодекса РФ на дату подписания Сторонами документов, указанных в пункте 4.1 Договора</w:t>
      </w:r>
      <w:r>
        <w:rPr>
          <w:sz w:val="24"/>
          <w:szCs w:val="24"/>
          <w:shd w:fill="FFFFFF" w:val="clear"/>
        </w:rPr>
        <w:t xml:space="preserve"> и </w:t>
      </w:r>
      <w:r>
        <w:rPr>
          <w:bCs/>
          <w:sz w:val="24"/>
          <w:szCs w:val="24"/>
          <w:shd w:fill="FFFFFF" w:val="clear"/>
        </w:rPr>
        <w:t>суммой авансового платежа, ранее уплаченного</w:t>
      </w:r>
      <w:r>
        <w:rPr>
          <w:sz w:val="24"/>
          <w:szCs w:val="24"/>
          <w:shd w:fill="FFFFFF" w:val="clear"/>
        </w:rPr>
        <w:t xml:space="preserve"> в соответствии с пунктом 3.5.2 Договора,</w:t>
      </w:r>
      <w:r>
        <w:rPr>
          <w:bCs/>
          <w:sz w:val="24"/>
          <w:szCs w:val="24"/>
          <w:shd w:fill="FFFFFF" w:val="clear"/>
        </w:rPr>
        <w:t xml:space="preserve"> </w:t>
      </w:r>
      <w:r>
        <w:rPr>
          <w:sz w:val="24"/>
          <w:szCs w:val="24"/>
          <w:shd w:fill="FFFFFF" w:val="clear"/>
        </w:rPr>
        <w:t>выплачиваются в течение 45 (сорока пяти) календарных дней / 7 (семи) рабочих дней</w:t>
      </w:r>
      <w:r>
        <w:rPr>
          <w:rStyle w:val="Style12"/>
          <w:sz w:val="24"/>
          <w:szCs w:val="24"/>
          <w:shd w:fill="FFFFFF" w:val="clear"/>
        </w:rPr>
        <w:footnoteReference w:id="7"/>
      </w:r>
      <w:r>
        <w:rPr>
          <w:sz w:val="24"/>
          <w:szCs w:val="24"/>
          <w:shd w:fill="FFFFFF" w:val="clear"/>
        </w:rPr>
        <w:t xml:space="preserve"> с даты подписания Сторонами документов, указанных в пункте 4.1 Договора, на основании счёта, выставленного Подрядчиком, и с учетом пунктов 3.5.5 Договора. </w:t>
      </w:r>
    </w:p>
    <w:p>
      <w:pPr>
        <w:pStyle w:val="ListParagraph"/>
        <w:numPr>
          <w:ilvl w:val="2"/>
          <w:numId w:val="1"/>
        </w:numPr>
        <w:shd w:val="clear" w:color="auto" w:fill="FFFFFF"/>
        <w:tabs>
          <w:tab w:val="left" w:pos="1418" w:leader="none"/>
        </w:tabs>
        <w:ind w:left="0" w:firstLine="709"/>
        <w:jc w:val="both"/>
        <w:rPr>
          <w:highlight w:val="white"/>
        </w:rPr>
      </w:pPr>
      <w:bookmarkStart w:id="18" w:name="_Ref361834178"/>
      <w:r>
        <w:rPr>
          <w:sz w:val="24"/>
          <w:szCs w:val="24"/>
          <w:shd w:fill="FFFFFF" w:val="clear"/>
        </w:rP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w:t>
      </w:r>
      <w:bookmarkEnd w:id="18"/>
      <w:r>
        <w:rPr>
          <w:sz w:val="24"/>
          <w:szCs w:val="24"/>
          <w:shd w:fill="FFFFFF" w:val="clear"/>
        </w:rPr>
        <w:t xml:space="preserve">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2"/>
          <w:numId w:val="1"/>
        </w:numPr>
        <w:shd w:val="clear" w:color="auto" w:fill="FFFFFF"/>
        <w:tabs>
          <w:tab w:val="left" w:pos="709" w:leader="none"/>
        </w:tabs>
        <w:ind w:left="0" w:firstLine="709"/>
        <w:jc w:val="both"/>
        <w:rPr>
          <w:highlight w:val="white"/>
        </w:rPr>
      </w:pPr>
      <w:r>
        <w:rPr>
          <w:bCs/>
          <w:sz w:val="24"/>
          <w:szCs w:val="24"/>
          <w:shd w:fill="FFFFFF" w:val="clear"/>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Подрядчик не предоставил финансового обеспечения исполнения обязательств, предусмотренного пунктом 3.5.1 Договора, в установленный срок и при этом не приступил к исполнению обязательств по Договору. </w:t>
      </w:r>
    </w:p>
    <w:p>
      <w:pPr>
        <w:pStyle w:val="ListParagraph"/>
        <w:numPr>
          <w:ilvl w:val="1"/>
          <w:numId w:val="1"/>
        </w:numPr>
        <w:shd w:val="clear" w:color="auto" w:fill="FFFFFF"/>
        <w:tabs>
          <w:tab w:val="left" w:pos="1134" w:leader="none"/>
        </w:tabs>
        <w:ind w:left="0" w:firstLine="709"/>
        <w:jc w:val="both"/>
        <w:rPr>
          <w:highlight w:val="white"/>
        </w:rPr>
      </w:pPr>
      <w:bookmarkStart w:id="19" w:name="_Ref361336647"/>
      <w:bookmarkEnd w:id="19"/>
      <w:r>
        <w:rPr>
          <w:bCs/>
          <w:sz w:val="24"/>
          <w:szCs w:val="24"/>
          <w:shd w:fill="FFFFFF" w:val="clea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 xml:space="preserve">За исключением случая, указанного в пункте 2.3.18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pPr>
        <w:pStyle w:val="Normal"/>
        <w:shd w:val="clear" w:color="auto" w:fill="FFFFFF"/>
        <w:tabs>
          <w:tab w:val="left" w:pos="1418" w:leader="none"/>
        </w:tabs>
        <w:spacing w:lineRule="auto" w:line="240"/>
        <w:ind w:firstLine="709"/>
        <w:rPr>
          <w:highlight w:val="white"/>
        </w:rPr>
      </w:pPr>
      <w:r>
        <w:rPr>
          <w:b/>
          <w:bCs/>
          <w:sz w:val="24"/>
          <w:szCs w:val="24"/>
          <w:shd w:fill="FFFFFF" w:val="clear"/>
        </w:rPr>
        <w:t>3.8.</w:t>
      </w:r>
      <w:r>
        <w:rPr>
          <w:sz w:val="24"/>
          <w:szCs w:val="24"/>
          <w:shd w:fill="FFFFFF" w:val="clear"/>
        </w:rPr>
        <w:t xml:space="preserve"> </w:t>
      </w:r>
      <w:r>
        <w:rPr>
          <w:bCs/>
          <w:sz w:val="24"/>
          <w:szCs w:val="24"/>
          <w:shd w:fill="FFFFFF" w:val="clear"/>
        </w:rPr>
        <w:t>Непредвиденные работы и затраты</w:t>
      </w:r>
      <w:r>
        <w:rPr>
          <w:rStyle w:val="Style12"/>
          <w:bCs/>
          <w:sz w:val="24"/>
          <w:szCs w:val="24"/>
          <w:shd w:fill="FFFFFF" w:val="clear"/>
        </w:rPr>
        <w:footnoteReference w:id="8"/>
      </w:r>
      <w:r>
        <w:rPr>
          <w:bCs/>
          <w:sz w:val="24"/>
          <w:szCs w:val="24"/>
          <w:shd w:fill="FFFFFF" w:val="clear"/>
        </w:rPr>
        <w:t xml:space="preserve"> оплачиваются за фактически выполненные работы. Объем работ, выполняемый Подрядчиком, должен быть предварительно согласован с Заказчиком и выполняться на основании утвержденных Заказчиком локальных смет в рамках Лимита на непредвиденные работы и затраты, предусмотренного утвержденной Сводной сметой с приложениями (Приложение № 3 к Договору). Приемка выполненного объема работ производится одновременно с Работами по Договору при подписании Сторонами Актов сдачи-приемки выполненных работ, предусмотренных пунктом 4.1 Договора. Оплата в размере 100 % (ста процентов) от стоимости непредвиденных работ и затрат производится Заказчиком в течение 45 (сорока пяти) календарных дней / 7 (семи) рабочих дней</w:t>
      </w:r>
      <w:r>
        <w:rPr>
          <w:rStyle w:val="Style12"/>
          <w:bCs/>
          <w:sz w:val="24"/>
          <w:szCs w:val="24"/>
          <w:shd w:fill="FFFFFF" w:val="clear"/>
        </w:rPr>
        <w:footnoteReference w:id="9"/>
      </w:r>
      <w:r>
        <w:rPr>
          <w:bCs/>
          <w:sz w:val="24"/>
          <w:szCs w:val="24"/>
          <w:shd w:fill="FFFFFF" w:val="clear"/>
        </w:rPr>
        <w:t xml:space="preserve"> с даты подписания Акта сдачи-приемки выполненных работ на основании счета, выставленного Подрядчиком, и с учетом пунктов 3.5.5, 3.5.6 Договора. Стоимость непредвиденных работ и затрат включается в общую сумму Акта сдачи-приемки выполненных работ, подписываемого Сторонами в соответствии с пунктом 4.1 Договора.</w:t>
      </w:r>
    </w:p>
    <w:p>
      <w:pPr>
        <w:pStyle w:val="Normal"/>
        <w:shd w:val="clear" w:color="auto" w:fill="FFFFFF"/>
        <w:tabs>
          <w:tab w:val="left" w:pos="1418" w:leader="none"/>
        </w:tabs>
        <w:spacing w:lineRule="auto" w:line="240"/>
        <w:ind w:firstLine="709"/>
        <w:rPr>
          <w:highlight w:val="white"/>
        </w:rPr>
      </w:pPr>
      <w:r>
        <w:rPr>
          <w:b/>
          <w:bCs/>
          <w:sz w:val="24"/>
          <w:szCs w:val="24"/>
          <w:shd w:fill="FFFFFF" w:val="clear"/>
        </w:rPr>
        <w:t>3.9.</w:t>
      </w:r>
      <w:r>
        <w:rPr>
          <w:sz w:val="24"/>
          <w:szCs w:val="24"/>
          <w:shd w:fill="FFFFFF" w:val="clear"/>
        </w:rPr>
        <w:t xml:space="preserve"> Командировочные расходы включаются в стоимость Этапов Работ в соответствии с расчетом, прилагаемым к Сводной смете </w:t>
      </w:r>
      <w:r>
        <w:rPr>
          <w:bCs/>
          <w:sz w:val="24"/>
          <w:szCs w:val="24"/>
          <w:shd w:fill="FFFFFF" w:val="clear"/>
        </w:rPr>
        <w:t>с приложениями</w:t>
      </w:r>
      <w:r>
        <w:rPr>
          <w:sz w:val="24"/>
          <w:szCs w:val="24"/>
          <w:shd w:fill="FFFFFF" w:val="clear"/>
        </w:rPr>
        <w:t xml:space="preserve">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порядке, установленном Договором для оплаты стоимости соответствующих Этапов Работ. 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за проживание в гостинице и авансовые отчеты</w:t>
      </w:r>
      <w:bookmarkStart w:id="20" w:name="_Ref361834251"/>
      <w:bookmarkEnd w:id="14"/>
      <w:r>
        <w:rPr>
          <w:sz w:val="24"/>
          <w:szCs w:val="24"/>
          <w:shd w:fill="FFFFFF" w:val="clear"/>
        </w:rPr>
        <w:t>.</w:t>
      </w:r>
    </w:p>
    <w:p>
      <w:pPr>
        <w:pStyle w:val="ListParagraph"/>
        <w:shd w:val="clear" w:color="auto" w:fill="FFFFFF"/>
        <w:tabs>
          <w:tab w:val="left" w:pos="1134" w:leader="none"/>
          <w:tab w:val="left" w:pos="1418" w:leader="none"/>
        </w:tabs>
        <w:ind w:left="0" w:firstLine="709"/>
        <w:jc w:val="both"/>
        <w:rPr>
          <w:highlight w:val="white"/>
        </w:rPr>
      </w:pPr>
      <w:bookmarkEnd w:id="20"/>
      <w:r>
        <w:rPr>
          <w:b/>
          <w:bCs/>
          <w:sz w:val="24"/>
          <w:szCs w:val="24"/>
          <w:shd w:fill="FFFFFF" w:val="clear"/>
        </w:rPr>
        <w:t xml:space="preserve">3.10. </w:t>
      </w:r>
      <w:r>
        <w:rPr>
          <w:bCs/>
          <w:sz w:val="24"/>
          <w:szCs w:val="24"/>
          <w:shd w:fill="FFFFFF" w:val="clear"/>
        </w:rPr>
        <w:t xml:space="preserve"> Индексация Цены Договора не допускается. </w:t>
      </w:r>
    </w:p>
    <w:p>
      <w:pPr>
        <w:pStyle w:val="Normal"/>
        <w:spacing w:lineRule="auto" w:line="240"/>
        <w:ind w:firstLine="709"/>
        <w:rPr>
          <w:highlight w:val="white"/>
        </w:rPr>
      </w:pPr>
      <w:r>
        <w:rPr>
          <w:b/>
          <w:bCs/>
          <w:sz w:val="24"/>
          <w:szCs w:val="24"/>
          <w:shd w:fill="FFFFFF" w:val="clear"/>
        </w:rPr>
        <w:t>3.11.</w:t>
      </w:r>
      <w:r>
        <w:rPr>
          <w:sz w:val="24"/>
          <w:szCs w:val="24"/>
          <w:shd w:fill="FFFFFF" w:val="clear"/>
        </w:rPr>
        <w:t xml:space="preserve"> 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выполненных Подрядчиком Работ.</w:t>
      </w:r>
    </w:p>
    <w:p>
      <w:pPr>
        <w:pStyle w:val="Normal"/>
        <w:spacing w:lineRule="auto" w:line="240"/>
        <w:ind w:firstLine="709"/>
        <w:rPr>
          <w:highlight w:val="white"/>
        </w:rPr>
      </w:pPr>
      <w:r>
        <w:rPr>
          <w:bCs/>
          <w:sz w:val="24"/>
          <w:szCs w:val="24"/>
          <w:shd w:fill="FFFFFF" w:val="clear"/>
        </w:rPr>
        <w:t>Заказчик направляет Подрядчику уведомление о проведении сальдо взаимных обязательств Сторон по Договору.</w:t>
      </w:r>
    </w:p>
    <w:p>
      <w:pPr>
        <w:pStyle w:val="ListParagraph"/>
        <w:shd w:val="clear" w:color="auto" w:fill="FFFFFF"/>
        <w:tabs>
          <w:tab w:val="left" w:pos="1134" w:leader="none"/>
        </w:tabs>
        <w:ind w:left="0" w:firstLine="567"/>
        <w:jc w:val="both"/>
        <w:rPr>
          <w:rFonts w:ascii="Times New Roman" w:hAnsi="Times New Roman"/>
          <w:bCs/>
          <w:sz w:val="24"/>
          <w:szCs w:val="24"/>
          <w:shd w:fill="FFFFFF" w:val="clear"/>
        </w:rPr>
      </w:pPr>
      <w:r>
        <w:rPr>
          <w:bCs/>
          <w:sz w:val="24"/>
          <w:szCs w:val="24"/>
          <w:shd w:fill="FFFFFF" w:val="clear"/>
        </w:rPr>
      </w:r>
    </w:p>
    <w:p>
      <w:pPr>
        <w:pStyle w:val="ListParagraph"/>
        <w:numPr>
          <w:ilvl w:val="0"/>
          <w:numId w:val="1"/>
        </w:numPr>
        <w:shd w:val="clear" w:color="auto" w:fill="FFFFFF"/>
        <w:tabs>
          <w:tab w:val="left" w:pos="284" w:leader="none"/>
        </w:tabs>
        <w:ind w:left="0" w:hanging="0"/>
        <w:jc w:val="center"/>
        <w:rPr>
          <w:highlight w:val="white"/>
        </w:rPr>
      </w:pPr>
      <w:r>
        <w:rPr>
          <w:b/>
          <w:bCs/>
          <w:sz w:val="24"/>
          <w:szCs w:val="24"/>
          <w:shd w:fill="FFFFFF" w:val="clear"/>
        </w:rPr>
        <w:t>Порядок сдачи-приемки Работ</w:t>
      </w:r>
    </w:p>
    <w:p>
      <w:pPr>
        <w:pStyle w:val="ListParagraph"/>
        <w:numPr>
          <w:ilvl w:val="1"/>
          <w:numId w:val="1"/>
        </w:numPr>
        <w:shd w:val="clear" w:color="auto" w:fill="FFFFFF"/>
        <w:tabs>
          <w:tab w:val="left" w:pos="0" w:leader="none"/>
          <w:tab w:val="left" w:pos="1134" w:leader="none"/>
        </w:tabs>
        <w:ind w:left="0" w:firstLine="709"/>
        <w:jc w:val="both"/>
        <w:rPr>
          <w:highlight w:val="white"/>
        </w:rPr>
      </w:pPr>
      <w:r>
        <w:rPr>
          <w:bCs/>
          <w:sz w:val="24"/>
          <w:szCs w:val="24"/>
          <w:shd w:fill="FFFFFF" w:val="clear"/>
        </w:rPr>
        <w:t>По завершении выполнения Работ по каждому Этапу Работ (</w:t>
      </w:r>
      <w:r>
        <w:rPr>
          <w:sz w:val="24"/>
          <w:szCs w:val="24"/>
          <w:shd w:fill="FFFFFF" w:val="clear"/>
        </w:rPr>
        <w:t>кроме Этапов Работ по выполнению Инженерных изысканий</w:t>
      </w:r>
      <w:r>
        <w:rPr>
          <w:bCs/>
          <w:sz w:val="24"/>
          <w:szCs w:val="24"/>
          <w:shd w:fill="FFFFFF" w:val="clear"/>
        </w:rPr>
        <w:t>), указанному в Календарном графике выполнения Работ (Приложение № 2 к Договору), Подрядчик представляет Заказчику подписанный со своей стороны в 2 (двух) экземплярах Акт сдачи-приемки выполненных работ по форме Приложения № 7 к Договору с приложением Результата работ по соответствующему Этапу Работ.</w:t>
      </w:r>
    </w:p>
    <w:p>
      <w:pPr>
        <w:pStyle w:val="ListParagraph"/>
        <w:shd w:val="clear" w:color="auto" w:fill="FFFFFF"/>
        <w:tabs>
          <w:tab w:val="left" w:pos="0" w:leader="none"/>
        </w:tabs>
        <w:ind w:left="0" w:firstLine="709"/>
        <w:jc w:val="both"/>
        <w:rPr>
          <w:highlight w:val="white"/>
        </w:rPr>
      </w:pPr>
      <w:r>
        <w:rPr>
          <w:bCs/>
          <w:sz w:val="24"/>
          <w:szCs w:val="24"/>
          <w:shd w:fill="FFFFFF" w:val="clear"/>
        </w:rPr>
        <w:t>Требования к отчетным документам (состав, количество, формат, носитель и т.д.), подлежащим передаче Подрядчиком Заказчику в составе Результата Работ по соответствующему Этапу Работ, устанавливаются Техническим заданием (Приложение № 1 к Договору).</w:t>
      </w:r>
    </w:p>
    <w:p>
      <w:pPr>
        <w:pStyle w:val="ListParagraph"/>
        <w:shd w:val="clear" w:color="auto" w:fill="FFFFFF"/>
        <w:tabs>
          <w:tab w:val="left" w:pos="0" w:leader="none"/>
        </w:tabs>
        <w:ind w:left="0" w:firstLine="709"/>
        <w:jc w:val="both"/>
        <w:rPr>
          <w:highlight w:val="white"/>
        </w:rPr>
      </w:pPr>
      <w:r>
        <w:rPr>
          <w:b w:val="false"/>
          <w:bCs w:val="false"/>
          <w:caps w:val="false"/>
          <w:smallCaps w:val="false"/>
          <w:sz w:val="24"/>
          <w:szCs w:val="24"/>
          <w:shd w:fill="FFFFFF" w:val="clear"/>
          <w:lang w:eastAsia="en-US"/>
        </w:rPr>
        <w:t xml:space="preserve">При использовании Сторонами электронного документооборота, Стороны по договору вместо </w:t>
      </w:r>
      <w:r>
        <w:rPr>
          <w:b w:val="false"/>
          <w:bCs/>
          <w:caps w:val="false"/>
          <w:smallCaps w:val="false"/>
          <w:sz w:val="24"/>
          <w:szCs w:val="24"/>
          <w:shd w:fill="FFFFFF" w:val="clear"/>
          <w:lang w:eastAsia="en-US"/>
        </w:rPr>
        <w:t>Акта сдачи-приемки выполненных работ по форме Приложения № 7</w:t>
      </w:r>
      <w:r>
        <w:rPr>
          <w:b w:val="false"/>
          <w:bCs w:val="false"/>
          <w:caps w:val="false"/>
          <w:smallCaps w:val="false"/>
          <w:sz w:val="24"/>
          <w:szCs w:val="24"/>
          <w:shd w:fill="FFFFFF" w:val="clear"/>
          <w:lang w:eastAsia="en-US"/>
        </w:rPr>
        <w:t xml:space="preserve">  оформляют УПД</w:t>
      </w:r>
      <w:r>
        <w:rPr>
          <w:rStyle w:val="Style12"/>
          <w:b w:val="false"/>
          <w:bCs w:val="false"/>
          <w:caps w:val="false"/>
          <w:smallCaps w:val="false"/>
          <w:sz w:val="24"/>
          <w:szCs w:val="24"/>
          <w:shd w:fill="FFFFFF" w:val="clear"/>
          <w:lang w:eastAsia="en-US"/>
        </w:rPr>
        <w:footnoteReference w:id="10"/>
      </w:r>
      <w:r>
        <w:rPr>
          <w:b w:val="false"/>
          <w:bCs w:val="false"/>
          <w:caps w:val="false"/>
          <w:smallCaps w:val="false"/>
          <w:sz w:val="24"/>
          <w:szCs w:val="24"/>
          <w:shd w:fill="FFFFFF" w:val="clear"/>
          <w:lang w:eastAsia="en-US"/>
        </w:rPr>
        <w:t xml:space="preserve">. В этом случае условия Договора в отношении </w:t>
      </w:r>
      <w:r>
        <w:rPr>
          <w:b w:val="false"/>
          <w:bCs/>
          <w:caps w:val="false"/>
          <w:smallCaps w:val="false"/>
          <w:sz w:val="24"/>
          <w:szCs w:val="24"/>
          <w:shd w:fill="FFFFFF" w:val="clear"/>
          <w:lang w:eastAsia="en-US"/>
        </w:rPr>
        <w:t>Акта сдачи-приемки выполненных работ</w:t>
      </w:r>
      <w:r>
        <w:rPr>
          <w:b w:val="false"/>
          <w:bCs w:val="false"/>
          <w:caps w:val="false"/>
          <w:smallCaps w:val="false"/>
          <w:sz w:val="24"/>
          <w:szCs w:val="24"/>
          <w:shd w:fill="FFFFFF" w:val="clear"/>
          <w:lang w:eastAsia="en-US"/>
        </w:rPr>
        <w:t xml:space="preserve"> применяются в равной степени к УПД.</w:t>
      </w:r>
    </w:p>
    <w:p>
      <w:pPr>
        <w:pStyle w:val="ListParagraph"/>
        <w:numPr>
          <w:ilvl w:val="1"/>
          <w:numId w:val="1"/>
        </w:numPr>
        <w:shd w:val="clear" w:color="auto" w:fill="FFFFFF"/>
        <w:tabs>
          <w:tab w:val="left" w:pos="0" w:leader="none"/>
          <w:tab w:val="left" w:pos="1134" w:leader="none"/>
        </w:tabs>
        <w:ind w:left="0" w:firstLine="709"/>
        <w:jc w:val="both"/>
        <w:rPr>
          <w:highlight w:val="white"/>
        </w:rPr>
      </w:pPr>
      <w:r>
        <w:rPr>
          <w:bCs/>
          <w:sz w:val="24"/>
          <w:szCs w:val="24"/>
          <w:shd w:fill="FFFFFF" w:val="clear"/>
        </w:rPr>
        <w:t>По завершении выполнения Работ по каждому Этапу Работ по выполнению Инженерных изысканий, указанному в Календарном графике выполнения Работ (Приложение № 2 к Договору), Подрядчик представляет Заказчику подписанные со своей стороны:</w:t>
      </w:r>
    </w:p>
    <w:p>
      <w:pPr>
        <w:pStyle w:val="ListParagraph"/>
        <w:numPr>
          <w:ilvl w:val="2"/>
          <w:numId w:val="17"/>
        </w:numPr>
        <w:shd w:val="clear" w:color="auto" w:fill="FFFFFF"/>
        <w:tabs>
          <w:tab w:val="left" w:pos="0" w:leader="none"/>
          <w:tab w:val="left" w:pos="1418" w:leader="none"/>
        </w:tabs>
        <w:ind w:left="0" w:firstLine="709"/>
        <w:jc w:val="both"/>
        <w:rPr>
          <w:highlight w:val="white"/>
        </w:rPr>
      </w:pPr>
      <w:r>
        <w:rPr>
          <w:bCs/>
          <w:sz w:val="24"/>
          <w:szCs w:val="24"/>
          <w:shd w:fill="FFFFFF" w:val="clear"/>
        </w:rPr>
        <w:t>Исполнительную смету в 2 (двух) экземплярах;</w:t>
      </w:r>
    </w:p>
    <w:p>
      <w:pPr>
        <w:pStyle w:val="ListParagraph"/>
        <w:numPr>
          <w:ilvl w:val="2"/>
          <w:numId w:val="17"/>
        </w:numPr>
        <w:shd w:val="clear" w:color="auto" w:fill="FFFFFF"/>
        <w:tabs>
          <w:tab w:val="left" w:pos="1418" w:leader="none"/>
        </w:tabs>
        <w:ind w:left="0" w:firstLine="709"/>
        <w:jc w:val="both"/>
        <w:rPr>
          <w:highlight w:val="white"/>
        </w:rPr>
      </w:pPr>
      <w:bookmarkStart w:id="21" w:name="_Ref361335138"/>
      <w:bookmarkStart w:id="22" w:name="_Ref361336754"/>
      <w:bookmarkStart w:id="23" w:name="_Ref373242517"/>
      <w:r>
        <w:rPr>
          <w:bCs/>
          <w:sz w:val="24"/>
          <w:szCs w:val="24"/>
          <w:shd w:fill="FFFFFF" w:val="clear"/>
        </w:rPr>
        <w:t>Акт сдачи-приемки выполненных работ по форме Приложения № 7 к Договору в 2 (двух) экземплярах с приложением Результата работ по соответствующему Этапу Работ</w:t>
      </w:r>
      <w:bookmarkEnd w:id="21"/>
      <w:bookmarkEnd w:id="22"/>
      <w:bookmarkEnd w:id="23"/>
      <w:r>
        <w:rPr>
          <w:sz w:val="24"/>
          <w:szCs w:val="24"/>
          <w:shd w:fill="FFFFFF" w:val="clear"/>
        </w:rPr>
        <w:t>.</w:t>
      </w:r>
    </w:p>
    <w:p>
      <w:pPr>
        <w:pStyle w:val="ListParagraph"/>
        <w:shd w:val="clear" w:color="auto" w:fill="FFFFFF"/>
        <w:tabs>
          <w:tab w:val="left" w:pos="1134" w:leader="none"/>
        </w:tabs>
        <w:ind w:left="0" w:firstLine="709"/>
        <w:jc w:val="both"/>
        <w:rPr>
          <w:highlight w:val="white"/>
        </w:rPr>
      </w:pPr>
      <w:r>
        <w:rPr>
          <w:bCs/>
          <w:sz w:val="24"/>
          <w:szCs w:val="24"/>
          <w:shd w:fill="FFFFFF" w:val="clear"/>
        </w:rPr>
        <w:t>Требования к отчетным документам (состав, количество, формат, носитель и т.д.), подлежащим передаче Подрядчиком Заказчику в составе Результата Работ по соответствующему Этапу Работ, устанавливаются Техническим заданием (Приложение № 1 к Договору).</w:t>
      </w:r>
    </w:p>
    <w:p>
      <w:pPr>
        <w:pStyle w:val="ListParagraph"/>
        <w:numPr>
          <w:ilvl w:val="1"/>
          <w:numId w:val="1"/>
        </w:numPr>
        <w:shd w:val="clear" w:color="auto" w:fill="FFFFFF"/>
        <w:tabs>
          <w:tab w:val="left" w:pos="568" w:leader="none"/>
          <w:tab w:val="left" w:pos="1134" w:leader="none"/>
        </w:tabs>
        <w:ind w:left="0" w:firstLine="709"/>
        <w:jc w:val="both"/>
        <w:rPr>
          <w:highlight w:val="white"/>
        </w:rPr>
      </w:pPr>
      <w:r>
        <w:rPr>
          <w:bCs/>
          <w:sz w:val="24"/>
          <w:szCs w:val="24"/>
          <w:shd w:fill="FFFFFF" w:val="clear"/>
        </w:rPr>
        <w:t>В течение 15 (пятнадцати) рабочих дней с даты получения полного комплекта документов, указанных в пунктах 4.1, 4.2 Договора, Заказчик подписывает и передает Подрядчику 1 (один) экземпляр Акта сдачи-приемки выполненных работ и Исполнительной сметы (если применимо), либо направляет Подрядчику письменный мотивированный отказ от приемки Работ (Этапа Работ) (далее – «Ведомость замечаний»), в котором отражает недостатки и / или несоответствия Результата Работ (Этапа Работ) и / или Исполнительной сметы (если применимо), а также срок на их устранение.</w:t>
      </w:r>
      <w:r>
        <w:rPr>
          <w:sz w:val="24"/>
          <w:szCs w:val="24"/>
          <w:shd w:fill="FFFFFF" w:val="clear"/>
        </w:rPr>
        <w:t xml:space="preserve"> </w:t>
      </w:r>
    </w:p>
    <w:p>
      <w:pPr>
        <w:pStyle w:val="ListParagraph"/>
        <w:numPr>
          <w:ilvl w:val="1"/>
          <w:numId w:val="1"/>
        </w:numPr>
        <w:shd w:val="clear" w:color="auto" w:fill="FFFFFF"/>
        <w:tabs>
          <w:tab w:val="left" w:pos="568" w:leader="none"/>
          <w:tab w:val="left" w:pos="1134" w:leader="none"/>
        </w:tabs>
        <w:ind w:left="0" w:firstLine="709"/>
        <w:jc w:val="both"/>
        <w:rPr>
          <w:highlight w:val="white"/>
        </w:rPr>
      </w:pPr>
      <w:r>
        <w:rPr>
          <w:bCs/>
          <w:sz w:val="24"/>
          <w:szCs w:val="24"/>
          <w:shd w:fill="FFFFFF" w:val="clear"/>
        </w:rPr>
        <w:t xml:space="preserve">Устранение указанных недостатков и / или несоответствий,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(Этапа Работ) и не исключает ответственности Подрядчика за его нарушение. </w:t>
      </w:r>
    </w:p>
    <w:p>
      <w:pPr>
        <w:pStyle w:val="Normal"/>
        <w:widowControl w:val="false"/>
        <w:numPr>
          <w:ilvl w:val="0"/>
          <w:numId w:val="0"/>
        </w:numPr>
        <w:bidi w:val="0"/>
        <w:spacing w:lineRule="auto" w:line="240" w:before="0" w:after="0"/>
        <w:ind w:left="2317" w:right="113" w:hanging="0"/>
        <w:jc w:val="both"/>
        <w:rPr/>
      </w:pPr>
      <w:r>
        <w:rPr>
          <w:rStyle w:val="Style28"/>
          <w:sz w:val="24"/>
          <w:szCs w:val="24"/>
          <w:shd w:fill="FFFFFF" w:val="clear"/>
        </w:rPr>
        <w:t xml:space="preserve"> </w:t>
      </w:r>
      <w:r>
        <w:rPr>
          <w:rStyle w:val="Style28"/>
          <w:sz w:val="24"/>
          <w:szCs w:val="24"/>
          <w:shd w:fill="FFFFFF" w:val="clear"/>
        </w:rPr>
        <w:tab/>
        <w:t>Устранение недостатков не считается надлежащим, если в скорректированной редакции документации (результате работ)  сохранены выявленные недостатки; выявлены повторные замечания; допущены новые недостатки, возникшие вследствие внесения изменений Подрядчиком.</w:t>
      </w:r>
    </w:p>
    <w:p>
      <w:pPr>
        <w:pStyle w:val="Normal"/>
        <w:widowControl w:val="false"/>
        <w:numPr>
          <w:ilvl w:val="0"/>
          <w:numId w:val="0"/>
        </w:numPr>
        <w:shd w:val="clear" w:color="auto" w:fill="FFFFFF"/>
        <w:tabs>
          <w:tab w:val="left" w:pos="568" w:leader="none"/>
          <w:tab w:val="left" w:pos="1134" w:leader="none"/>
        </w:tabs>
        <w:bidi w:val="0"/>
        <w:spacing w:lineRule="auto" w:line="240" w:before="0" w:after="0"/>
        <w:ind w:left="687" w:right="113" w:hanging="0"/>
        <w:jc w:val="both"/>
        <w:rPr/>
      </w:pPr>
      <w:r>
        <w:rPr>
          <w:rStyle w:val="Style28"/>
          <w:bCs/>
          <w:sz w:val="24"/>
          <w:szCs w:val="24"/>
          <w:shd w:fill="FFFFFF" w:val="clear"/>
        </w:rPr>
        <w:t>Повторные и вновь возникшие недостатки признаются неустраненными недостатками первоначального результата работ.</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Повторная приемка Заказчиком выполненных Работ после устранения недостатков, указанных в Ведомости замечаний, осуществляется в порядке, предусмотренном пунктами 4.1, 4.2 Договора.</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 xml:space="preserve">Если Подрядчик не устранит недостатки и / или несоответствия Результата Работ (Этапа Работ) в срок, установленный Заказчиком в соответствии с пунктом 4.3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Работ, с отнесением на Подрядчика соответствующих расходов. Подрядчик обязан возместить указанные расходы в течение 10 (десяти) рабочих дней с даты получения соответствующего письменного требования Заказчика. </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Досрочное исполнение Подрядчиком обязательств по Договору возможно только при условии предварительного письменного согласия Заказчика.</w:t>
      </w:r>
    </w:p>
    <w:p>
      <w:pPr>
        <w:pStyle w:val="ListParagraph"/>
        <w:numPr>
          <w:ilvl w:val="1"/>
          <w:numId w:val="1"/>
        </w:numPr>
        <w:shd w:val="clear" w:color="auto" w:fill="FFFFFF"/>
        <w:tabs>
          <w:tab w:val="left" w:pos="1134" w:leader="none"/>
        </w:tabs>
        <w:ind w:left="0" w:firstLine="709"/>
        <w:jc w:val="both"/>
        <w:rPr>
          <w:highlight w:val="white"/>
        </w:rPr>
      </w:pPr>
      <w:bookmarkStart w:id="24" w:name="_Ref361337635"/>
      <w:bookmarkEnd w:id="24"/>
      <w:r>
        <w:rPr>
          <w:bCs/>
          <w:sz w:val="24"/>
          <w:szCs w:val="24"/>
          <w:shd w:fill="FFFFFF" w:val="clear"/>
        </w:rPr>
        <w:t>Подрядчик обязан представить Заказчику счета-фактуры, 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счета-фактуры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p>
    <w:p>
      <w:pPr>
        <w:pStyle w:val="ListParagraph"/>
        <w:shd w:val="clear" w:color="auto" w:fill="FFFFFF"/>
        <w:tabs>
          <w:tab w:val="left" w:pos="1134" w:leader="none"/>
        </w:tabs>
        <w:ind w:left="567" w:hanging="0"/>
        <w:jc w:val="both"/>
        <w:rPr>
          <w:rFonts w:ascii="Times New Roman" w:hAnsi="Times New Roman"/>
          <w:bCs/>
          <w:sz w:val="24"/>
          <w:szCs w:val="24"/>
          <w:shd w:fill="FFFFFF" w:val="clear"/>
        </w:rPr>
      </w:pPr>
      <w:r>
        <w:rPr>
          <w:bCs/>
          <w:sz w:val="24"/>
          <w:szCs w:val="24"/>
          <w:shd w:fill="FFFFFF" w:val="clear"/>
        </w:rPr>
      </w:r>
    </w:p>
    <w:p>
      <w:pPr>
        <w:pStyle w:val="ListParagraph"/>
        <w:numPr>
          <w:ilvl w:val="0"/>
          <w:numId w:val="1"/>
        </w:numPr>
        <w:shd w:val="clear" w:color="auto" w:fill="FFFFFF"/>
        <w:tabs>
          <w:tab w:val="left" w:pos="284" w:leader="none"/>
        </w:tabs>
        <w:ind w:left="0" w:hanging="0"/>
        <w:jc w:val="center"/>
        <w:rPr>
          <w:highlight w:val="white"/>
        </w:rPr>
      </w:pPr>
      <w:r>
        <w:rPr>
          <w:b/>
          <w:bCs/>
          <w:sz w:val="24"/>
          <w:szCs w:val="24"/>
          <w:shd w:fill="FFFFFF" w:val="clear"/>
        </w:rPr>
        <w:t>Право собственности и переход рисков</w:t>
      </w:r>
    </w:p>
    <w:p>
      <w:pPr>
        <w:pStyle w:val="ListParagraph"/>
        <w:numPr>
          <w:ilvl w:val="1"/>
          <w:numId w:val="1"/>
        </w:numPr>
        <w:shd w:val="clear" w:color="auto" w:fill="FFFFFF"/>
        <w:tabs>
          <w:tab w:val="left" w:pos="1134" w:leader="none"/>
        </w:tabs>
        <w:ind w:left="0" w:firstLine="709"/>
        <w:jc w:val="both"/>
        <w:rPr>
          <w:highlight w:val="white"/>
        </w:rPr>
      </w:pPr>
      <w:bookmarkStart w:id="25" w:name="_Ref361405028"/>
      <w:bookmarkEnd w:id="25"/>
      <w:r>
        <w:rPr>
          <w:bCs/>
          <w:sz w:val="24"/>
          <w:szCs w:val="24"/>
          <w:shd w:fill="FFFFFF" w:val="clear"/>
        </w:rPr>
        <w:t>Право собственности, риск случайной гибели или повреждения Результата Работ переходит к Заказчику с момента подписания Сторонами Акта сдачи-приемки выполненных работ по форме Приложения № 7 к Договору по соответствующему Этапу Работ.</w:t>
      </w:r>
    </w:p>
    <w:p>
      <w:pPr>
        <w:pStyle w:val="ListParagraph"/>
        <w:numPr>
          <w:ilvl w:val="1"/>
          <w:numId w:val="1"/>
        </w:numPr>
        <w:shd w:val="clear" w:color="auto" w:fill="FFFFFF"/>
        <w:tabs>
          <w:tab w:val="left" w:pos="1134" w:leader="none"/>
        </w:tabs>
        <w:ind w:left="0" w:firstLine="709"/>
        <w:jc w:val="both"/>
        <w:rPr>
          <w:highlight w:val="white"/>
        </w:rPr>
      </w:pPr>
      <w:bookmarkStart w:id="26" w:name="_Ref361337777"/>
      <w:r>
        <w:rPr>
          <w:sz w:val="24"/>
          <w:szCs w:val="24"/>
          <w:shd w:fill="FFFFFF" w:val="clear"/>
        </w:rPr>
        <w:t>Гарантийный</w:t>
      </w:r>
      <w:r>
        <w:rPr>
          <w:bCs/>
          <w:sz w:val="24"/>
          <w:szCs w:val="24"/>
          <w:shd w:fill="FFFFFF" w:val="clear"/>
        </w:rPr>
        <w:t xml:space="preserve"> срок по Договору составляет 60</w:t>
      </w:r>
      <w:r>
        <w:rPr>
          <w:sz w:val="24"/>
          <w:szCs w:val="24"/>
          <w:shd w:fill="FFFFFF" w:val="clear"/>
        </w:rPr>
        <w:t xml:space="preserve"> </w:t>
      </w:r>
      <w:r>
        <w:rPr>
          <w:bCs/>
          <w:sz w:val="24"/>
          <w:szCs w:val="24"/>
          <w:shd w:fill="FFFFFF" w:val="clear"/>
        </w:rPr>
        <w:t>(шестьдесят)</w:t>
      </w:r>
      <w:r>
        <w:rPr>
          <w:sz w:val="24"/>
          <w:szCs w:val="24"/>
          <w:shd w:fill="FFFFFF" w:val="clear"/>
        </w:rPr>
        <w:t xml:space="preserve"> месяцев</w:t>
      </w:r>
      <w:r>
        <w:rPr>
          <w:bCs/>
          <w:sz w:val="24"/>
          <w:szCs w:val="24"/>
          <w:shd w:fill="FFFFFF" w:val="clear"/>
        </w:rPr>
        <w:t xml:space="preserve"> и начинает течь с даты подписания Сторонами Акта сдачи-приемки выполненных работ </w:t>
      </w:r>
      <w:bookmarkEnd w:id="26"/>
      <w:r>
        <w:rPr>
          <w:bCs/>
          <w:sz w:val="24"/>
          <w:szCs w:val="24"/>
          <w:shd w:fill="FFFFFF" w:val="clear"/>
        </w:rPr>
        <w:t xml:space="preserve">либо с даты прекращения (расторжения) Договора. Гарантийный срок может быть продлен в соответствии с условиями Договора. </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Гарантийные обязательства Подрядчика наступают с даты подписания Акта сдачи-приемки выполненных работ либо даты прекращения (расторжения) Договора (подписания Сторонами соглашения о расторжении Договора, получения любой из Сторон уведомления об отказе от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Подрядчиком Работам.</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 xml:space="preserve">В течение Гарантийного срока Подрядчик гарантирует возможность эксплуатации Результата Работ в соответствии с его целевым назначением, а также несет безусловную ответственность за обнаруженные Заказчиком недостатки, несоответствия и / или дефекты Результата Работ. </w:t>
      </w:r>
    </w:p>
    <w:p>
      <w:pPr>
        <w:pStyle w:val="ListParagraph"/>
        <w:numPr>
          <w:ilvl w:val="1"/>
          <w:numId w:val="1"/>
        </w:numPr>
        <w:shd w:val="clear" w:color="auto" w:fill="FFFFFF"/>
        <w:tabs>
          <w:tab w:val="left" w:pos="1134" w:leader="none"/>
        </w:tabs>
        <w:ind w:left="0" w:firstLine="709"/>
        <w:jc w:val="both"/>
        <w:rPr>
          <w:highlight w:val="white"/>
        </w:rPr>
      </w:pPr>
      <w:bookmarkStart w:id="27" w:name="_Ref361337764"/>
      <w:r>
        <w:rPr>
          <w:bCs/>
          <w:sz w:val="24"/>
          <w:szCs w:val="24"/>
          <w:shd w:fill="FFFFFF" w:val="clear"/>
        </w:rPr>
        <w:t>В случае обнаружения в период Гарантийного срока недостатков, несоответствий и / или дефектов Результата Работ, Заказчик направляет Подрядчику письменное уведомление с указанием выявленных недостатков.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w:t>
        <w:br/>
        <w:t>и сроков их устранения.</w:t>
      </w:r>
      <w:bookmarkEnd w:id="27"/>
      <w:r>
        <w:rPr>
          <w:bCs/>
          <w:sz w:val="24"/>
          <w:szCs w:val="24"/>
          <w:shd w:fill="FFFFFF" w:val="clear"/>
        </w:rPr>
        <w:t xml:space="preserve"> </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Наличие и полный перечень недостатков,</w:t>
      </w:r>
      <w:r>
        <w:rPr>
          <w:sz w:val="24"/>
          <w:szCs w:val="24"/>
          <w:shd w:fill="FFFFFF" w:val="clear"/>
        </w:rPr>
        <w:t xml:space="preserve"> </w:t>
      </w:r>
      <w:r>
        <w:rPr>
          <w:bCs/>
          <w:sz w:val="24"/>
          <w:szCs w:val="24"/>
          <w:shd w:fill="FFFFFF" w:val="clear"/>
        </w:rPr>
        <w:t>несоответствий и / или дефектов Результата Работ, а также разумные сроки их устранения, оформляются Актом</w:t>
        <w:br/>
        <w:t>о недостатках, составляемым Сторонами, а при отказе или уклонении Подрядчика 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в одностороннем порядке Акт о недостатках имеет для Подрядчика юридическую силу и является основанием для привлечения его к ответственности в порядке и размерах, установленных Договором.</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 xml:space="preserve">Подрядчик обязан в срок, указанный в </w:t>
      </w:r>
      <w:bookmarkStart w:id="28" w:name="OLE_LINK6_Копия_1"/>
      <w:bookmarkStart w:id="29" w:name="OLE_LINK5_Копия_1"/>
      <w:r>
        <w:rPr>
          <w:bCs/>
          <w:sz w:val="24"/>
          <w:szCs w:val="24"/>
          <w:shd w:fill="FFFFFF" w:val="clear"/>
        </w:rPr>
        <w:t>Акте о недостатках, составленном в порядке, установленном пунктом 5.6 Договора</w:t>
      </w:r>
      <w:bookmarkEnd w:id="28"/>
      <w:bookmarkEnd w:id="29"/>
      <w:r>
        <w:rPr>
          <w:bCs/>
          <w:sz w:val="24"/>
          <w:szCs w:val="24"/>
          <w:shd w:fill="FFFFFF" w:val="clear"/>
        </w:rPr>
        <w:t>, своими силами и за свой счет устранить недостатки,</w:t>
      </w:r>
      <w:r>
        <w:rPr>
          <w:sz w:val="24"/>
          <w:szCs w:val="24"/>
          <w:shd w:fill="FFFFFF" w:val="clear"/>
        </w:rPr>
        <w:t xml:space="preserve"> </w:t>
      </w:r>
      <w:r>
        <w:rPr>
          <w:bCs/>
          <w:sz w:val="24"/>
          <w:szCs w:val="24"/>
          <w:shd w:fill="FFFFFF" w:val="clear"/>
        </w:rPr>
        <w:t>несоответствия и / или дефекты, обнаруженные Заказчиком в течение Гарантийного срока.</w:t>
      </w:r>
      <w:r>
        <w:rPr>
          <w:sz w:val="24"/>
          <w:szCs w:val="24"/>
          <w:shd w:fill="FFFFFF" w:val="clear"/>
        </w:rPr>
        <w:t xml:space="preserve"> </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 xml:space="preserve">Если Подрядчик не устранит недостатки в установленный срок, Заказчик вправе собственными силами и / или силами третьих лиц выполнить необходимые работы </w:t>
        <w:br/>
        <w:t xml:space="preserve">по устранению недостатков Результата Работ,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 или дефектов Результата Работ в течение 10 (десяти) рабочих дней с даты получения соответствующего письменного требования Заказчика. </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 xml:space="preserve">Гарантийный срок на Результат Работ увеличивается на тот период времени, в течение которого Заказчик не мог использовать Результат Работ в целом или его часть вследствие указанных в настоящем разделе недостатков. </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Устранение недостатков, несоответствий и / или дефектов Результата Работ, в том числе в рамках срока, установленного в соответствии с пунктом 5.2 Договора,</w:t>
        <w:br/>
        <w:t>не освобождает Подрядчика от обязанности возмещения убытков, причиненных Заказчику вследствие наличия таких недостатков.</w:t>
      </w:r>
    </w:p>
    <w:p>
      <w:pPr>
        <w:pStyle w:val="ListParagraph"/>
        <w:shd w:val="clear" w:color="auto" w:fill="FFFFFF"/>
        <w:tabs>
          <w:tab w:val="left" w:pos="0" w:leader="none"/>
          <w:tab w:val="left" w:pos="1134" w:leader="none"/>
        </w:tabs>
        <w:ind w:left="0" w:firstLine="709"/>
        <w:jc w:val="both"/>
        <w:rPr>
          <w:rFonts w:ascii="Times New Roman" w:hAnsi="Times New Roman"/>
          <w:bCs/>
          <w:sz w:val="24"/>
          <w:szCs w:val="24"/>
          <w:shd w:fill="FFFFFF" w:val="clear"/>
        </w:rPr>
      </w:pPr>
      <w:r>
        <w:rPr>
          <w:bCs/>
          <w:sz w:val="24"/>
          <w:szCs w:val="24"/>
          <w:shd w:fill="FFFFFF" w:val="clear"/>
        </w:rPr>
      </w:r>
    </w:p>
    <w:p>
      <w:pPr>
        <w:pStyle w:val="ListParagraph"/>
        <w:widowControl/>
        <w:numPr>
          <w:ilvl w:val="0"/>
          <w:numId w:val="1"/>
        </w:numPr>
        <w:shd w:val="clear" w:color="auto" w:fill="FFFFFF"/>
        <w:tabs>
          <w:tab w:val="left" w:pos="284" w:leader="none"/>
        </w:tabs>
        <w:suppressAutoHyphens w:val="true"/>
        <w:bidi w:val="0"/>
        <w:spacing w:lineRule="auto" w:line="240" w:before="0" w:after="0"/>
        <w:ind w:left="340" w:right="0" w:hanging="340"/>
        <w:contextualSpacing/>
        <w:jc w:val="center"/>
        <w:rPr>
          <w:highlight w:val="white"/>
        </w:rPr>
      </w:pPr>
      <w:r>
        <w:rPr>
          <w:b/>
          <w:bCs/>
          <w:color w:val="00000A"/>
          <w:sz w:val="24"/>
          <w:szCs w:val="24"/>
          <w:shd w:fill="FFFFFF" w:val="clear"/>
        </w:rPr>
        <w:t>Банковские гарантии</w:t>
      </w:r>
    </w:p>
    <w:p>
      <w:pPr>
        <w:pStyle w:val="ListParagraph"/>
        <w:numPr>
          <w:ilvl w:val="1"/>
          <w:numId w:val="1"/>
        </w:numPr>
        <w:tabs>
          <w:tab w:val="left" w:pos="1134" w:leader="none"/>
        </w:tabs>
        <w:ind w:left="0" w:firstLine="709"/>
        <w:jc w:val="both"/>
        <w:rPr>
          <w:highlight w:val="white"/>
        </w:rPr>
      </w:pPr>
      <w:r>
        <w:rPr>
          <w:bCs/>
          <w:color w:val="00000A"/>
          <w:sz w:val="24"/>
          <w:szCs w:val="24"/>
          <w:shd w:fill="FFFFFF" w:val="clear"/>
        </w:rPr>
        <w:t>Банковская гарантия, предоставляемая Подрядчиком Заказчику по Договору, должна соответствовать следующим требованиям:</w:t>
      </w:r>
    </w:p>
    <w:p>
      <w:pPr>
        <w:pStyle w:val="ListParagraph"/>
        <w:numPr>
          <w:ilvl w:val="0"/>
          <w:numId w:val="0"/>
        </w:numPr>
        <w:shd w:val="clear" w:fill="FFFFFF"/>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r>
      <w:r>
        <w:rPr>
          <w:b/>
          <w:bCs/>
          <w:color w:val="00000A"/>
          <w:sz w:val="24"/>
          <w:szCs w:val="24"/>
          <w:shd w:fill="FFFFFF" w:val="clear"/>
        </w:rPr>
        <w:t>6.1.1.</w:t>
      </w:r>
      <w:r>
        <w:rPr>
          <w:bCs/>
          <w:color w:val="00000A"/>
          <w:sz w:val="24"/>
          <w:szCs w:val="24"/>
          <w:shd w:fill="FFFFFF" w:val="clear"/>
        </w:rPr>
        <w:t xml:space="preserve"> Банковская гарантия должна быть безотзывной и безусловной (гарантия по первому требованию);</w:t>
      </w:r>
    </w:p>
    <w:p>
      <w:pPr>
        <w:pStyle w:val="ListParagraph"/>
        <w:numPr>
          <w:ilvl w:val="0"/>
          <w:numId w:val="0"/>
        </w:numPr>
        <w:shd w:val="clear" w:fill="FFFFFF"/>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r>
      <w:r>
        <w:rPr>
          <w:b/>
          <w:bCs/>
          <w:color w:val="00000A"/>
          <w:sz w:val="24"/>
          <w:szCs w:val="24"/>
          <w:shd w:fill="FFFFFF" w:val="clear"/>
        </w:rPr>
        <w:t>6.1.2.</w:t>
      </w:r>
      <w:r>
        <w:rPr>
          <w:bCs/>
          <w:color w:val="00000A"/>
          <w:sz w:val="24"/>
          <w:szCs w:val="24"/>
          <w:shd w:fill="FFFFFF" w:val="clear"/>
        </w:rPr>
        <w:t xml:space="preserve"> Бенефициар по Банковской гарантии – Заказчик, принципал – Подрядчик;</w:t>
      </w:r>
    </w:p>
    <w:p>
      <w:pPr>
        <w:pStyle w:val="ListParagraph"/>
        <w:numPr>
          <w:ilvl w:val="0"/>
          <w:numId w:val="0"/>
        </w:numPr>
        <w:shd w:val="clear" w:fill="FFFFFF"/>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r>
      <w:r>
        <w:rPr>
          <w:b/>
          <w:bCs/>
          <w:color w:val="00000A"/>
          <w:sz w:val="24"/>
          <w:szCs w:val="24"/>
          <w:shd w:fill="FFFFFF" w:val="clear"/>
        </w:rPr>
        <w:t xml:space="preserve">6.1.3. </w:t>
      </w:r>
      <w:r>
        <w:rPr>
          <w:bCs/>
          <w:color w:val="00000A"/>
          <w:sz w:val="24"/>
          <w:szCs w:val="24"/>
          <w:shd w:fill="FFFFFF" w:val="clear"/>
        </w:rPr>
        <w:t>Сумма Банковской гарантии должна быть выражена в валюте расчетов по Договору;</w:t>
      </w:r>
    </w:p>
    <w:p>
      <w:pPr>
        <w:pStyle w:val="ListParagraph"/>
        <w:numPr>
          <w:ilvl w:val="0"/>
          <w:numId w:val="0"/>
        </w:numPr>
        <w:shd w:val="clear" w:fill="FFFFFF"/>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r>
      <w:r>
        <w:rPr>
          <w:b/>
          <w:bCs/>
          <w:color w:val="00000A"/>
          <w:sz w:val="24"/>
          <w:szCs w:val="24"/>
          <w:shd w:fill="FFFFFF" w:val="clear"/>
        </w:rPr>
        <w:t xml:space="preserve">6.1.4. </w:t>
      </w:r>
      <w:r>
        <w:rPr>
          <w:bCs/>
          <w:color w:val="00000A"/>
          <w:sz w:val="24"/>
          <w:szCs w:val="24"/>
          <w:shd w:fill="FFFFFF" w:val="clear"/>
        </w:rPr>
        <w:t xml:space="preserve">Сумма Банковской гарантии возврата авансового платежа – не менее 100 (ста) процентов от размера уплачиваемой по Договору предварительной оплаты (аванса) </w:t>
        <w:br/>
        <w:t xml:space="preserve">в совокупной сумме с учетом ранее выплаченных Подрядчику и неотработанных авансовых платежей; </w:t>
      </w:r>
    </w:p>
    <w:p>
      <w:pPr>
        <w:pStyle w:val="ListParagraph"/>
        <w:numPr>
          <w:ilvl w:val="0"/>
          <w:numId w:val="0"/>
        </w:numPr>
        <w:shd w:val="clear" w:fill="FFFFFF"/>
        <w:spacing w:lineRule="auto" w:line="240"/>
        <w:ind w:left="0" w:right="0" w:hanging="0"/>
        <w:jc w:val="both"/>
        <w:rPr>
          <w:highlight w:val="white"/>
        </w:rPr>
      </w:pPr>
      <w:r>
        <w:rPr>
          <w:b/>
          <w:bCs/>
          <w:color w:val="00000A"/>
          <w:sz w:val="24"/>
          <w:szCs w:val="24"/>
          <w:shd w:fill="FFFFFF" w:val="clear"/>
        </w:rPr>
        <w:tab/>
        <w:t>6.1.5.</w:t>
      </w:r>
      <w:r>
        <w:rPr>
          <w:bCs/>
          <w:color w:val="00000A"/>
          <w:sz w:val="24"/>
          <w:szCs w:val="24"/>
          <w:shd w:fill="FFFFFF" w:val="clear"/>
        </w:rPr>
        <w:t xml:space="preserve"> Сумма Банковской гарантии надлежащего исполнения обязательств по Договору в отношении каждого Объекта</w:t>
      </w:r>
    </w:p>
    <w:p>
      <w:pPr>
        <w:pStyle w:val="ListParagraph"/>
        <w:numPr>
          <w:ilvl w:val="0"/>
          <w:numId w:val="0"/>
        </w:numPr>
        <w:shd w:val="clear" w:fill="FFFFFF"/>
        <w:spacing w:lineRule="auto" w:line="240"/>
        <w:ind w:left="0" w:right="0" w:hanging="0"/>
        <w:jc w:val="both"/>
        <w:rPr>
          <w:highlight w:val="white"/>
        </w:rPr>
      </w:pPr>
      <w:r>
        <w:rPr>
          <w:bCs/>
          <w:color w:val="00000A"/>
          <w:sz w:val="24"/>
          <w:szCs w:val="24"/>
          <w:shd w:fill="FFFFFF" w:val="clear"/>
        </w:rPr>
        <w:tab/>
        <w:t>– не менее 10% (десяти процентов) от Цены Договора / соответствующего Объекта;</w:t>
      </w:r>
    </w:p>
    <w:p>
      <w:pPr>
        <w:pStyle w:val="ListParagraph"/>
        <w:numPr>
          <w:ilvl w:val="0"/>
          <w:numId w:val="0"/>
        </w:numPr>
        <w:shd w:val="clear" w:fill="FFFFFF"/>
        <w:spacing w:lineRule="auto" w:line="240"/>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r>
      <w:r>
        <w:rPr>
          <w:b/>
          <w:bCs/>
          <w:color w:val="00000A"/>
          <w:sz w:val="24"/>
          <w:szCs w:val="24"/>
          <w:shd w:fill="FFFFFF" w:val="clear"/>
        </w:rPr>
        <w:t xml:space="preserve">6.1.6. </w:t>
      </w:r>
      <w:r>
        <w:rPr>
          <w:bCs/>
          <w:color w:val="00000A"/>
          <w:sz w:val="24"/>
          <w:szCs w:val="24"/>
          <w:shd w:fill="FFFFFF" w:val="clear"/>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rPr>
          <w:color w:val="00000A"/>
          <w:sz w:val="24"/>
          <w:szCs w:val="24"/>
          <w:shd w:fill="FFFFFF" w:val="clear"/>
        </w:rPr>
        <w:t xml:space="preserve"> </w:t>
      </w:r>
      <w:r>
        <w:rPr>
          <w:bCs/>
          <w:color w:val="00000A"/>
          <w:sz w:val="24"/>
          <w:szCs w:val="24"/>
          <w:shd w:fill="FFFFFF" w:val="clear"/>
        </w:rPr>
        <w:t>как полностью, так и частично, с указанием на существо допущенных Подрядчиком нарушений, в том числе в случаях:</w:t>
      </w:r>
    </w:p>
    <w:p>
      <w:pPr>
        <w:pStyle w:val="Normal"/>
        <w:numPr>
          <w:ilvl w:val="0"/>
          <w:numId w:val="0"/>
        </w:numPr>
        <w:tabs>
          <w:tab w:val="left" w:pos="1418" w:leader="none"/>
        </w:tabs>
        <w:spacing w:lineRule="auto" w:line="240"/>
        <w:ind w:left="0" w:right="0" w:hanging="0"/>
        <w:rPr>
          <w:highlight w:val="white"/>
        </w:rPr>
      </w:pPr>
      <w:r>
        <w:rPr>
          <w:bCs/>
          <w:color w:val="00000A"/>
          <w:sz w:val="24"/>
          <w:szCs w:val="24"/>
          <w:shd w:fill="FFFFFF" w:val="clear"/>
        </w:rPr>
        <w:t xml:space="preserve"> </w:t>
      </w:r>
      <w:r>
        <w:rPr>
          <w:bCs/>
          <w:color w:val="00000A"/>
          <w:sz w:val="24"/>
          <w:szCs w:val="24"/>
          <w:shd w:fill="FFFFFF" w:val="clear"/>
        </w:rPr>
        <w:t>- отказа Подрядчика от исполнения обязательств по Договору, в том числе одностороннего отказа от Договора;</w:t>
      </w:r>
    </w:p>
    <w:p>
      <w:pPr>
        <w:pStyle w:val="Normal"/>
        <w:numPr>
          <w:ilvl w:val="0"/>
          <w:numId w:val="0"/>
        </w:numPr>
        <w:tabs>
          <w:tab w:val="left" w:pos="1418" w:leader="none"/>
        </w:tabs>
        <w:spacing w:lineRule="auto" w:line="240"/>
        <w:ind w:left="0" w:right="0" w:hanging="0"/>
        <w:rPr>
          <w:highlight w:val="white"/>
        </w:rPr>
      </w:pPr>
      <w:r>
        <w:rPr>
          <w:bCs/>
          <w:color w:val="00000A"/>
          <w:sz w:val="24"/>
          <w:szCs w:val="24"/>
          <w:shd w:fill="FFFFFF" w:val="clear"/>
        </w:rPr>
        <w:t xml:space="preserve"> </w:t>
      </w:r>
      <w:r>
        <w:rPr>
          <w:bCs/>
          <w:color w:val="00000A"/>
          <w:sz w:val="24"/>
          <w:szCs w:val="24"/>
          <w:shd w:fill="FFFFFF" w:val="clear"/>
        </w:rPr>
        <w:t>- отказа Подрядчика от возврата неотработанного аванса при досрочном прекращении Договора/признании Договора недействительным;</w:t>
      </w:r>
    </w:p>
    <w:p>
      <w:pPr>
        <w:pStyle w:val="Normal"/>
        <w:numPr>
          <w:ilvl w:val="0"/>
          <w:numId w:val="0"/>
        </w:numPr>
        <w:tabs>
          <w:tab w:val="left" w:pos="1418" w:leader="none"/>
        </w:tabs>
        <w:spacing w:lineRule="auto" w:line="240"/>
        <w:ind w:left="0" w:right="0" w:hanging="0"/>
        <w:rPr>
          <w:highlight w:val="white"/>
        </w:rPr>
      </w:pPr>
      <w:r>
        <w:rPr>
          <w:bCs/>
          <w:color w:val="00000A"/>
          <w:sz w:val="24"/>
          <w:szCs w:val="24"/>
          <w:shd w:fill="FFFFFF" w:val="clear"/>
        </w:rPr>
        <w:t xml:space="preserve"> </w:t>
      </w:r>
      <w:r>
        <w:rPr>
          <w:bCs/>
          <w:color w:val="00000A"/>
          <w:sz w:val="24"/>
          <w:szCs w:val="24"/>
          <w:shd w:fill="FFFFFF" w:val="clear"/>
        </w:rPr>
        <w:t>- нарушения Подрядчиком сроков</w:t>
      </w:r>
      <w:r>
        <w:rPr>
          <w:color w:val="00000A"/>
          <w:sz w:val="24"/>
          <w:szCs w:val="24"/>
          <w:shd w:fill="FFFFFF" w:val="clear"/>
        </w:rPr>
        <w:t xml:space="preserve"> </w:t>
      </w:r>
      <w:r>
        <w:rPr>
          <w:bCs/>
          <w:color w:val="00000A"/>
          <w:sz w:val="24"/>
          <w:szCs w:val="24"/>
          <w:shd w:fill="FFFFFF" w:val="clear"/>
        </w:rPr>
        <w:t>выполнения Работ, установленных Календарным графиком выполнения Работ (Приложение № 3 к Договору) более, чем на 60 (шестьдесят) календарных дней;</w:t>
      </w:r>
    </w:p>
    <w:p>
      <w:pPr>
        <w:pStyle w:val="Normal"/>
        <w:numPr>
          <w:ilvl w:val="0"/>
          <w:numId w:val="0"/>
        </w:numPr>
        <w:tabs>
          <w:tab w:val="left" w:pos="1418" w:leader="none"/>
        </w:tabs>
        <w:spacing w:lineRule="auto" w:line="240"/>
        <w:ind w:left="0" w:right="0" w:hanging="0"/>
        <w:rPr>
          <w:highlight w:val="white"/>
        </w:rPr>
      </w:pPr>
      <w:r>
        <w:rPr>
          <w:bCs/>
          <w:color w:val="00000A"/>
          <w:sz w:val="24"/>
          <w:szCs w:val="24"/>
          <w:shd w:fill="FFFFFF" w:val="clear"/>
        </w:rPr>
        <w:t xml:space="preserve"> </w:t>
      </w:r>
      <w:r>
        <w:rPr>
          <w:bCs/>
          <w:color w:val="00000A"/>
          <w:sz w:val="24"/>
          <w:szCs w:val="24"/>
          <w:shd w:fill="FFFFFF" w:val="clear"/>
        </w:rPr>
        <w:t>- утраты Подрядчиком специальных разрешений (в том числе отзыв, прекращение (приостановление) действия допусков, разрешений и / или лицензий, предоставляющих Подрядчику возможность надлежащего исполнения обязательств по Договору;</w:t>
      </w:r>
    </w:p>
    <w:p>
      <w:pPr>
        <w:pStyle w:val="Normal"/>
        <w:numPr>
          <w:ilvl w:val="0"/>
          <w:numId w:val="0"/>
        </w:numPr>
        <w:tabs>
          <w:tab w:val="left" w:pos="1418" w:leader="none"/>
        </w:tabs>
        <w:spacing w:lineRule="auto" w:line="240"/>
        <w:ind w:left="0" w:right="0" w:hanging="0"/>
        <w:rPr>
          <w:highlight w:val="white"/>
        </w:rPr>
      </w:pPr>
      <w:r>
        <w:rPr>
          <w:bCs/>
          <w:color w:val="00000A"/>
          <w:sz w:val="24"/>
          <w:szCs w:val="24"/>
          <w:shd w:fill="FFFFFF" w:val="clear"/>
        </w:rPr>
        <w:t xml:space="preserve"> </w:t>
      </w:r>
      <w:r>
        <w:rPr>
          <w:bCs/>
          <w:color w:val="00000A"/>
          <w:sz w:val="24"/>
          <w:szCs w:val="24"/>
          <w:shd w:fill="FFFFFF" w:val="clear"/>
        </w:rPr>
        <w:t>- прекращения членства в СРО, основанной на членстве лиц, осуществляющих выполняющих подготовку проектной документации или / осуществляющих строительство;</w:t>
      </w:r>
    </w:p>
    <w:p>
      <w:pPr>
        <w:pStyle w:val="Normal"/>
        <w:numPr>
          <w:ilvl w:val="0"/>
          <w:numId w:val="0"/>
        </w:numPr>
        <w:tabs>
          <w:tab w:val="left" w:pos="1418" w:leader="none"/>
        </w:tabs>
        <w:spacing w:lineRule="auto" w:line="240"/>
        <w:ind w:left="0" w:right="0" w:hanging="0"/>
        <w:rPr>
          <w:highlight w:val="white"/>
        </w:rPr>
      </w:pPr>
      <w:r>
        <w:rPr>
          <w:bCs/>
          <w:color w:val="00000A"/>
          <w:sz w:val="24"/>
          <w:szCs w:val="24"/>
          <w:shd w:fill="FFFFFF" w:val="clear"/>
        </w:rPr>
        <w:t xml:space="preserve"> </w:t>
      </w:r>
      <w:r>
        <w:rPr>
          <w:bCs/>
          <w:color w:val="00000A"/>
          <w:sz w:val="24"/>
          <w:szCs w:val="24"/>
          <w:shd w:fill="FFFFFF" w:val="clear"/>
        </w:rPr>
        <w:t>- введения арбитражным судом процедуры несостоятельности (банкротства)</w:t>
      </w:r>
      <w:r>
        <w:rPr>
          <w:color w:val="00000A"/>
          <w:sz w:val="24"/>
          <w:szCs w:val="24"/>
          <w:shd w:fill="FFFFFF" w:val="clear"/>
        </w:rPr>
        <w:t xml:space="preserve"> </w:t>
      </w:r>
      <w:r>
        <w:rPr>
          <w:bCs/>
          <w:color w:val="00000A"/>
          <w:sz w:val="24"/>
          <w:szCs w:val="24"/>
          <w:shd w:fill="FFFFFF" w:val="clear"/>
        </w:rPr>
        <w:t>в отношении Подрядчика;</w:t>
      </w:r>
    </w:p>
    <w:p>
      <w:pPr>
        <w:pStyle w:val="Normal"/>
        <w:numPr>
          <w:ilvl w:val="0"/>
          <w:numId w:val="0"/>
        </w:numPr>
        <w:tabs>
          <w:tab w:val="left" w:pos="1418" w:leader="none"/>
        </w:tabs>
        <w:spacing w:lineRule="auto" w:line="240"/>
        <w:ind w:left="0" w:right="0" w:hanging="0"/>
        <w:rPr>
          <w:highlight w:val="white"/>
        </w:rPr>
      </w:pPr>
      <w:r>
        <w:rPr>
          <w:bCs/>
          <w:color w:val="00000A"/>
          <w:sz w:val="24"/>
          <w:szCs w:val="24"/>
          <w:shd w:fill="FFFFFF" w:val="clear"/>
        </w:rPr>
        <w:t xml:space="preserve"> </w:t>
      </w:r>
      <w:r>
        <w:rPr>
          <w:bCs/>
          <w:color w:val="00000A"/>
          <w:sz w:val="24"/>
          <w:szCs w:val="24"/>
          <w:shd w:fill="FFFFFF" w:val="clear"/>
        </w:rPr>
        <w:t>- не предоставления Подрядчиком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Подрядчиком по Договору превышает срок действия Банковской гарантии либо срок исполнения обязательств продлен;</w:t>
      </w:r>
    </w:p>
    <w:p>
      <w:pPr>
        <w:pStyle w:val="Normal"/>
        <w:numPr>
          <w:ilvl w:val="0"/>
          <w:numId w:val="0"/>
        </w:numPr>
        <w:tabs>
          <w:tab w:val="left" w:pos="1418" w:leader="none"/>
        </w:tabs>
        <w:spacing w:lineRule="auto" w:line="240"/>
        <w:ind w:left="0" w:right="0" w:hanging="0"/>
        <w:rPr>
          <w:highlight w:val="white"/>
        </w:rPr>
      </w:pPr>
      <w:r>
        <w:rPr>
          <w:color w:val="00000A"/>
          <w:sz w:val="24"/>
          <w:szCs w:val="24"/>
          <w:shd w:fill="FFFFFF" w:val="clear"/>
        </w:rPr>
        <w:t xml:space="preserve"> </w:t>
      </w:r>
      <w:r>
        <w:rPr>
          <w:color w:val="00000A"/>
          <w:sz w:val="24"/>
          <w:szCs w:val="24"/>
          <w:shd w:fill="FFFFFF" w:val="clear"/>
        </w:rPr>
        <w:t>- признания Договора недействительным по причинам отсутствия необходимых корпоративных одобрений у Подрядчика;</w:t>
      </w:r>
    </w:p>
    <w:p>
      <w:pPr>
        <w:pStyle w:val="Normal"/>
        <w:numPr>
          <w:ilvl w:val="0"/>
          <w:numId w:val="0"/>
        </w:numPr>
        <w:tabs>
          <w:tab w:val="left" w:pos="1418" w:leader="none"/>
        </w:tabs>
        <w:spacing w:lineRule="auto" w:line="240"/>
        <w:ind w:left="0" w:right="0" w:hanging="0"/>
        <w:rPr>
          <w:highlight w:val="white"/>
        </w:rPr>
      </w:pPr>
      <w:r>
        <w:rPr>
          <w:bCs/>
          <w:color w:val="00000A"/>
          <w:sz w:val="24"/>
          <w:szCs w:val="24"/>
          <w:shd w:fill="FFFFFF" w:val="clear"/>
        </w:rPr>
        <w:t xml:space="preserve"> </w:t>
      </w:r>
      <w:r>
        <w:rPr>
          <w:bCs/>
          <w:color w:val="00000A"/>
          <w:sz w:val="24"/>
          <w:szCs w:val="24"/>
          <w:shd w:fill="FFFFFF" w:val="clear"/>
        </w:rPr>
        <w:t>- установления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14 Договора, и имеющих существенное значение для его заключения и исполнения.</w:t>
      </w:r>
    </w:p>
    <w:p>
      <w:pPr>
        <w:pStyle w:val="ListParagraph"/>
        <w:numPr>
          <w:ilvl w:val="0"/>
          <w:numId w:val="0"/>
        </w:numPr>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t>Вместе с требованием о предъявлении суммы обеспечения к оплате Заказчик направляет Банку-Гаранту копию Банковской гарантии.</w:t>
      </w:r>
    </w:p>
    <w:p>
      <w:pPr>
        <w:pStyle w:val="ListParagraph"/>
        <w:numPr>
          <w:ilvl w:val="0"/>
          <w:numId w:val="0"/>
        </w:numPr>
        <w:shd w:val="clear" w:fill="FFFFFF"/>
        <w:spacing w:lineRule="auto" w:line="240"/>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заверенного банком и подтверждающего факт осуществления Заказчиком авансового платежа;</w:t>
      </w:r>
    </w:p>
    <w:p>
      <w:pPr>
        <w:pStyle w:val="Normal"/>
        <w:widowControl w:val="false"/>
        <w:spacing w:lineRule="auto" w:line="240" w:before="0" w:after="0"/>
        <w:ind w:left="0" w:right="0" w:firstLine="709"/>
        <w:jc w:val="both"/>
        <w:rPr>
          <w:highlight w:val="white"/>
        </w:rPr>
      </w:pPr>
      <w:r>
        <w:rPr>
          <w:bCs/>
          <w:sz w:val="24"/>
          <w:szCs w:val="24"/>
          <w:shd w:fill="FFFFFF" w:val="clear"/>
        </w:rPr>
        <w:t>Банковской гарантией возврата предварительной оплаты (аванса) / надлежащего исполнения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pPr>
        <w:pStyle w:val="Normal"/>
        <w:widowControl w:val="false"/>
        <w:spacing w:lineRule="auto" w:line="240" w:before="0" w:after="0"/>
        <w:ind w:left="0" w:right="0" w:firstLine="709"/>
        <w:jc w:val="both"/>
        <w:rPr>
          <w:highlight w:val="white"/>
        </w:rPr>
      </w:pPr>
      <w:r>
        <w:rPr>
          <w:bCs/>
          <w:color w:val="00000A"/>
          <w:sz w:val="24"/>
          <w:szCs w:val="24"/>
          <w:shd w:fill="FFFFFF" w:val="clear"/>
        </w:rPr>
        <w:t>Выбор формы направления такого требования осуществляется Бенефициаром самостоятельно.</w:t>
      </w:r>
    </w:p>
    <w:p>
      <w:pPr>
        <w:pStyle w:val="ListParagraph"/>
        <w:numPr>
          <w:ilvl w:val="0"/>
          <w:numId w:val="0"/>
        </w:numPr>
        <w:shd w:val="clear" w:fill="FFFFFF"/>
        <w:spacing w:lineRule="auto" w:line="240"/>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r>
      <w:r>
        <w:rPr>
          <w:b/>
          <w:bCs/>
          <w:color w:val="00000A"/>
          <w:sz w:val="24"/>
          <w:szCs w:val="24"/>
          <w:shd w:fill="FFFFFF" w:val="clear"/>
        </w:rPr>
        <w:t>6.1.7.</w:t>
      </w:r>
      <w:r>
        <w:rPr>
          <w:bCs/>
          <w:color w:val="00000A"/>
          <w:sz w:val="24"/>
          <w:szCs w:val="24"/>
          <w:shd w:fill="FFFFFF" w:val="clear"/>
        </w:rPr>
        <w:t xml:space="preserve"> Платеж по Банковской гарантии – осуществляется Банком-Гарантом в течение 10 (десяти) рабочих дней после обращения Заказчика;</w:t>
      </w:r>
    </w:p>
    <w:p>
      <w:pPr>
        <w:pStyle w:val="ListParagraph"/>
        <w:numPr>
          <w:ilvl w:val="0"/>
          <w:numId w:val="0"/>
        </w:numPr>
        <w:shd w:val="clear" w:fill="FFFFFF"/>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r>
      <w:r>
        <w:rPr>
          <w:b/>
          <w:bCs/>
          <w:color w:val="00000A"/>
          <w:sz w:val="24"/>
          <w:szCs w:val="24"/>
          <w:shd w:fill="FFFFFF" w:val="clear"/>
        </w:rPr>
        <w:t xml:space="preserve">6.1.8. </w:t>
      </w:r>
      <w:r>
        <w:rPr>
          <w:bCs/>
          <w:color w:val="00000A"/>
          <w:sz w:val="24"/>
          <w:szCs w:val="24"/>
          <w:shd w:fill="FFFFFF" w:val="clear"/>
        </w:rPr>
        <w:t>Срок действия Банковской гарантии – не ранее 70 (семидесяти) календарных дней после наступления даты завершения Работ по Договору в целом, установленной Договором;</w:t>
      </w:r>
    </w:p>
    <w:p>
      <w:pPr>
        <w:pStyle w:val="ListParagraph"/>
        <w:numPr>
          <w:ilvl w:val="0"/>
          <w:numId w:val="0"/>
        </w:numPr>
        <w:shd w:val="clear" w:fill="FFFFFF"/>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r>
      <w:r>
        <w:rPr>
          <w:b/>
          <w:bCs/>
          <w:color w:val="00000A"/>
          <w:sz w:val="24"/>
          <w:szCs w:val="24"/>
          <w:shd w:fill="FFFFFF" w:val="clear"/>
        </w:rPr>
        <w:t>6.1.9.</w:t>
      </w:r>
      <w:r>
        <w:rPr>
          <w:bCs/>
          <w:color w:val="00000A"/>
          <w:sz w:val="24"/>
          <w:szCs w:val="24"/>
          <w:shd w:fill="FFFFFF" w:val="clear"/>
        </w:rPr>
        <w:t xml:space="preserve"> 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pPr>
        <w:pStyle w:val="Normal"/>
        <w:widowControl w:val="false"/>
        <w:numPr>
          <w:ilvl w:val="0"/>
          <w:numId w:val="0"/>
        </w:numPr>
        <w:spacing w:lineRule="auto" w:line="240"/>
        <w:ind w:left="0" w:right="0" w:hanging="0"/>
        <w:rPr>
          <w:highlight w:val="white"/>
        </w:rPr>
      </w:pPr>
      <w:r>
        <w:rPr>
          <w:color w:val="00000A"/>
          <w:sz w:val="24"/>
          <w:szCs w:val="24"/>
          <w:shd w:fill="FFFFFF" w:val="clear"/>
        </w:rPr>
        <w:t xml:space="preserve"> </w:t>
      </w:r>
      <w:r>
        <w:rPr>
          <w:color w:val="00000A"/>
          <w:sz w:val="24"/>
          <w:szCs w:val="24"/>
          <w:shd w:fill="FFFFFF" w:val="clear"/>
        </w:rPr>
        <w:tab/>
        <w:t>Принадлежащее Бенефициару по Гарантии право требования к Гаранту может быть передано новому бенефициару - компании, входящей в Группу РусГидро, с последующим письменным уведомлением Бенефициаром Гаранта о смене Бенефициара по Гарантии.</w:t>
      </w:r>
    </w:p>
    <w:p>
      <w:pPr>
        <w:pStyle w:val="ListParagraph"/>
        <w:numPr>
          <w:ilvl w:val="0"/>
          <w:numId w:val="0"/>
        </w:numPr>
        <w:shd w:val="clear" w:fill="FFFFFF"/>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r>
      <w:r>
        <w:rPr>
          <w:b/>
          <w:bCs/>
          <w:color w:val="00000A"/>
          <w:sz w:val="24"/>
          <w:szCs w:val="24"/>
          <w:shd w:fill="FFFFFF" w:val="clear"/>
        </w:rPr>
        <w:t>6.1.10.</w:t>
      </w:r>
      <w:r>
        <w:rPr>
          <w:bCs/>
          <w:color w:val="00000A"/>
          <w:sz w:val="24"/>
          <w:szCs w:val="24"/>
          <w:shd w:fill="FFFFFF" w:val="clear"/>
        </w:rPr>
        <w:t xml:space="preserve"> Банковская гарантия должна быть подчинена материальному праву Российской Федерации и предусматривать Арбитражный суд Амурской области в качестве органа, компетентного разрешать споры из Банковской гарантии;</w:t>
      </w:r>
    </w:p>
    <w:p>
      <w:pPr>
        <w:pStyle w:val="ListParagraph"/>
        <w:numPr>
          <w:ilvl w:val="0"/>
          <w:numId w:val="0"/>
        </w:numPr>
        <w:shd w:val="clear" w:fill="FFFFFF"/>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r>
      <w:r>
        <w:rPr>
          <w:b/>
          <w:bCs/>
          <w:color w:val="00000A"/>
          <w:sz w:val="24"/>
          <w:szCs w:val="24"/>
          <w:shd w:fill="FFFFFF" w:val="clear"/>
        </w:rPr>
        <w:t>6.1.11.</w:t>
      </w:r>
      <w:r>
        <w:rPr>
          <w:bCs/>
          <w:color w:val="00000A"/>
          <w:sz w:val="24"/>
          <w:szCs w:val="24"/>
          <w:shd w:fill="FFFFFF" w:val="clear"/>
        </w:rPr>
        <w:t xml:space="preserve"> Банковская гарантия не должна содержать условий или требований, противоречащих требованиям, указанным в пунктах 6.1.1-6.1.10 Договора, или делающих такие требования неисполнимыми.</w:t>
      </w:r>
    </w:p>
    <w:p>
      <w:pPr>
        <w:pStyle w:val="Normal"/>
        <w:numPr>
          <w:ilvl w:val="0"/>
          <w:numId w:val="0"/>
        </w:numPr>
        <w:spacing w:lineRule="auto" w:line="240"/>
        <w:ind w:left="0" w:right="0" w:hanging="0"/>
        <w:rPr>
          <w:highlight w:val="white"/>
        </w:rPr>
      </w:pPr>
      <w:r>
        <w:rPr>
          <w:bCs/>
          <w:color w:val="00000A"/>
          <w:sz w:val="24"/>
          <w:szCs w:val="24"/>
          <w:shd w:fill="FFFFFF" w:val="clear"/>
        </w:rPr>
        <w:t xml:space="preserve"> </w:t>
      </w:r>
      <w:r>
        <w:rPr>
          <w:bCs/>
          <w:color w:val="00000A"/>
          <w:sz w:val="24"/>
          <w:szCs w:val="24"/>
          <w:shd w:fill="FFFFFF" w:val="clear"/>
        </w:rPr>
        <w:tab/>
      </w:r>
      <w:r>
        <w:rPr>
          <w:b/>
          <w:bCs/>
          <w:color w:val="00000A"/>
          <w:sz w:val="24"/>
          <w:szCs w:val="24"/>
          <w:shd w:fill="FFFFFF" w:val="clear"/>
        </w:rPr>
        <w:t xml:space="preserve">6.2. </w:t>
      </w:r>
      <w:r>
        <w:rPr>
          <w:bCs/>
          <w:color w:val="00000A"/>
          <w:sz w:val="24"/>
          <w:szCs w:val="24"/>
          <w:shd w:fill="FFFFFF" w:val="clear"/>
        </w:rPr>
        <w:t>Банк, выдавший Банковскую гарантию, должен соответствовать критериям, указанным в Приложении № 8 к Договору.</w:t>
      </w:r>
    </w:p>
    <w:p>
      <w:pPr>
        <w:pStyle w:val="Normal"/>
        <w:numPr>
          <w:ilvl w:val="0"/>
          <w:numId w:val="0"/>
        </w:numPr>
        <w:spacing w:lineRule="auto" w:line="240"/>
        <w:ind w:left="0" w:right="0" w:hanging="0"/>
        <w:rPr>
          <w:highlight w:val="white"/>
        </w:rPr>
      </w:pPr>
      <w:r>
        <w:rPr>
          <w:bCs/>
          <w:color w:val="00000A"/>
          <w:sz w:val="24"/>
          <w:szCs w:val="24"/>
          <w:shd w:fill="FFFFFF" w:val="clear"/>
        </w:rPr>
        <w:t xml:space="preserve"> </w:t>
      </w:r>
      <w:r>
        <w:rPr>
          <w:bCs/>
          <w:color w:val="00000A"/>
          <w:sz w:val="24"/>
          <w:szCs w:val="24"/>
          <w:shd w:fill="FFFFFF" w:val="clear"/>
        </w:rPr>
        <w:tab/>
      </w:r>
      <w:r>
        <w:rPr>
          <w:b/>
          <w:bCs/>
          <w:color w:val="00000A"/>
          <w:sz w:val="24"/>
          <w:szCs w:val="24"/>
          <w:shd w:fill="FFFFFF" w:val="clear"/>
        </w:rPr>
        <w:t>6.3.</w:t>
      </w:r>
      <w:r>
        <w:rPr>
          <w:bCs/>
          <w:color w:val="00000A"/>
          <w:sz w:val="24"/>
          <w:szCs w:val="24"/>
          <w:shd w:fill="FFFFFF" w:val="clear"/>
        </w:rPr>
        <w:t xml:space="preserve"> Банковская гарантия возвращается Банку-Гаранту или Подрядчику после прекращения ее действия в течение 10 (десяти) рабочих дней с даты получения Заказчиком соответствующего письменного уведомления.</w:t>
      </w:r>
    </w:p>
    <w:p>
      <w:pPr>
        <w:pStyle w:val="ListParagraph"/>
        <w:numPr>
          <w:ilvl w:val="0"/>
          <w:numId w:val="0"/>
        </w:numPr>
        <w:shd w:val="clear" w:fill="FFFFFF"/>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r>
      <w:r>
        <w:rPr>
          <w:b/>
          <w:bCs/>
          <w:color w:val="00000A"/>
          <w:sz w:val="24"/>
          <w:szCs w:val="24"/>
          <w:shd w:fill="FFFFFF" w:val="clear"/>
        </w:rPr>
        <w:t xml:space="preserve">6.4. </w:t>
      </w:r>
      <w:r>
        <w:rPr>
          <w:bCs/>
          <w:color w:val="00000A"/>
          <w:sz w:val="24"/>
          <w:szCs w:val="24"/>
          <w:shd w:fill="FFFFFF" w:val="clear"/>
        </w:rPr>
        <w:t>Сумма Банковской гарантии возврата авансового платежа по согласованию с Заказчиком может быть уменьшена пропорционально сумме выполненных Подрядчиком обязательств по Договору (соответствующего Этапа Работ / Этапа Проектных работ) при условии подтверждения их выполнения.</w:t>
      </w:r>
    </w:p>
    <w:p>
      <w:pPr>
        <w:pStyle w:val="ListParagraph"/>
        <w:numPr>
          <w:ilvl w:val="0"/>
          <w:numId w:val="0"/>
        </w:numPr>
        <w:shd w:val="clear" w:fill="FFFFFF"/>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r>
      <w:r>
        <w:rPr>
          <w:b/>
          <w:bCs/>
          <w:color w:val="00000A"/>
          <w:sz w:val="24"/>
          <w:szCs w:val="24"/>
          <w:shd w:fill="FFFFFF" w:val="clear"/>
        </w:rPr>
        <w:t>6.5.</w:t>
      </w:r>
      <w:r>
        <w:rPr>
          <w:bCs/>
          <w:color w:val="00000A"/>
          <w:sz w:val="24"/>
          <w:szCs w:val="24"/>
          <w:shd w:fill="FFFFFF" w:val="clear"/>
        </w:rPr>
        <w:t xml:space="preserve"> В случае увеличения Цены Договора или продления срока выполнения Подрядчиком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numPr>
          <w:ilvl w:val="0"/>
          <w:numId w:val="0"/>
        </w:numPr>
        <w:shd w:val="clear" w:fill="FFFFFF"/>
        <w:tabs>
          <w:tab w:val="left" w:pos="738" w:leader="none"/>
        </w:tabs>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r>
      <w:r>
        <w:rPr>
          <w:b/>
          <w:bCs/>
          <w:color w:val="00000A"/>
          <w:sz w:val="24"/>
          <w:szCs w:val="24"/>
          <w:shd w:fill="FFFFFF" w:val="clear"/>
        </w:rPr>
        <w:t xml:space="preserve">6.6. </w:t>
      </w:r>
      <w:r>
        <w:rPr>
          <w:bCs/>
          <w:color w:val="00000A"/>
          <w:sz w:val="24"/>
          <w:szCs w:val="24"/>
          <w:shd w:fill="FFFFFF" w:val="clear"/>
        </w:rPr>
        <w:t>В случаях</w:t>
      </w:r>
      <w:r>
        <w:rPr>
          <w:bCs/>
          <w:color w:val="00000A"/>
          <w:sz w:val="24"/>
          <w:szCs w:val="24"/>
          <w:shd w:fill="FFFFFF" w:val="clear"/>
          <w:lang w:val="en-US"/>
        </w:rPr>
        <w:t>:</w:t>
      </w:r>
      <w:r>
        <w:rPr>
          <w:bCs/>
          <w:color w:val="00000A"/>
          <w:sz w:val="24"/>
          <w:szCs w:val="24"/>
          <w:shd w:fill="FFFFFF" w:val="clear"/>
        </w:rPr>
        <w:t xml:space="preserve"> </w:t>
      </w:r>
    </w:p>
    <w:p>
      <w:pPr>
        <w:pStyle w:val="ListParagraph"/>
        <w:numPr>
          <w:ilvl w:val="0"/>
          <w:numId w:val="0"/>
        </w:numPr>
        <w:shd w:val="clear" w:fill="FFFFFF"/>
        <w:tabs>
          <w:tab w:val="left" w:pos="1134" w:leader="none"/>
        </w:tabs>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t>- 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numPr>
          <w:ilvl w:val="0"/>
          <w:numId w:val="0"/>
        </w:numPr>
        <w:shd w:val="clear" w:fill="FFFFFF"/>
        <w:tabs>
          <w:tab w:val="left" w:pos="1134" w:leader="none"/>
        </w:tabs>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t>- 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w:t>
      </w:r>
    </w:p>
    <w:p>
      <w:pPr>
        <w:pStyle w:val="ListParagraph"/>
        <w:numPr>
          <w:ilvl w:val="0"/>
          <w:numId w:val="0"/>
        </w:numPr>
        <w:shd w:val="clear" w:fill="FFFFFF"/>
        <w:tabs>
          <w:tab w:val="left" w:pos="788" w:leader="none"/>
        </w:tabs>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t>Подрядчик обязан предоставить Заказчику новую Банковскую гарантию</w:t>
      </w:r>
      <w:r>
        <w:rPr>
          <w:color w:val="00000A"/>
          <w:sz w:val="24"/>
          <w:szCs w:val="24"/>
          <w:shd w:fill="FFFFFF" w:val="clear"/>
        </w:rPr>
        <w:t xml:space="preserve"> </w:t>
      </w:r>
      <w:r>
        <w:rPr>
          <w:bCs/>
          <w:color w:val="00000A"/>
          <w:sz w:val="24"/>
          <w:szCs w:val="24"/>
          <w:shd w:fill="FFFFFF" w:val="clear"/>
        </w:rPr>
        <w:t>другого 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Банковской гарантии.</w:t>
      </w:r>
    </w:p>
    <w:p>
      <w:pPr>
        <w:pStyle w:val="ListParagraph"/>
        <w:numPr>
          <w:ilvl w:val="0"/>
          <w:numId w:val="0"/>
        </w:numPr>
        <w:shd w:val="clear" w:fill="FFFFFF"/>
        <w:ind w:left="0" w:right="0" w:hanging="0"/>
        <w:jc w:val="both"/>
        <w:rPr>
          <w:highlight w:val="white"/>
        </w:rPr>
      </w:pPr>
      <w:r>
        <w:rPr>
          <w:bCs/>
          <w:color w:val="00000A"/>
          <w:sz w:val="24"/>
          <w:szCs w:val="24"/>
          <w:shd w:fill="FFFFFF" w:val="clear"/>
        </w:rPr>
        <w:t xml:space="preserve"> </w:t>
      </w:r>
      <w:r>
        <w:rPr>
          <w:bCs/>
          <w:color w:val="00000A"/>
          <w:sz w:val="24"/>
          <w:szCs w:val="24"/>
          <w:shd w:fill="FFFFFF" w:val="clear"/>
        </w:rPr>
        <w:tab/>
        <w:t xml:space="preserve">В случае непредставления Подрядчиком в установленный срок новой Банковской гарантии Заказчик вправе удерживать сумму неотработанного аванса при выплате каждого платежа, причитающегося Подрядчику, до полного зачета неотработанного аванса </w:t>
      </w:r>
      <w:r>
        <w:rPr>
          <w:color w:val="00000A"/>
          <w:sz w:val="24"/>
          <w:szCs w:val="24"/>
          <w:shd w:fill="FFFFFF" w:val="clear"/>
        </w:rPr>
        <w:t>и / или сумму ранее выплаченного Обеспечительного платежа при выплате каждого платежа, причитающегося Подрядчику.</w:t>
      </w:r>
    </w:p>
    <w:p>
      <w:pPr>
        <w:pStyle w:val="ListParagraph"/>
        <w:numPr>
          <w:ilvl w:val="0"/>
          <w:numId w:val="0"/>
        </w:numPr>
        <w:shd w:val="clear" w:fill="FFFFFF"/>
        <w:spacing w:lineRule="auto" w:line="240"/>
        <w:ind w:left="0" w:right="0" w:hanging="0"/>
        <w:jc w:val="both"/>
        <w:rPr>
          <w:highlight w:val="white"/>
        </w:rPr>
      </w:pPr>
      <w:r>
        <w:rPr>
          <w:b/>
          <w:bCs/>
          <w:color w:val="00000A"/>
          <w:sz w:val="24"/>
          <w:szCs w:val="24"/>
          <w:shd w:fill="FFFFFF" w:val="clear"/>
        </w:rPr>
        <w:t xml:space="preserve">      </w:t>
      </w:r>
      <w:r>
        <w:rPr>
          <w:b/>
          <w:bCs/>
          <w:color w:val="00000A"/>
          <w:sz w:val="24"/>
          <w:szCs w:val="24"/>
          <w:shd w:fill="FFFFFF" w:val="clear"/>
        </w:rPr>
        <w:t xml:space="preserve">6.7. </w:t>
      </w:r>
      <w:r>
        <w:rPr>
          <w:bCs/>
          <w:color w:val="00000A"/>
          <w:sz w:val="24"/>
          <w:szCs w:val="24"/>
          <w:shd w:fill="FFFFFF" w:val="clear"/>
        </w:rPr>
        <w:t>Во всех случаях, предусмотренных Договором, Подрядчик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pPr>
        <w:pStyle w:val="ListParagraph"/>
        <w:numPr>
          <w:ilvl w:val="0"/>
          <w:numId w:val="0"/>
        </w:numPr>
        <w:shd w:val="clear" w:fill="FFFFFF"/>
        <w:spacing w:lineRule="auto" w:line="240"/>
        <w:ind w:left="0" w:right="0" w:hanging="0"/>
        <w:jc w:val="both"/>
        <w:rPr>
          <w:highlight w:val="white"/>
        </w:rPr>
      </w:pPr>
      <w:r>
        <w:rPr>
          <w:b/>
          <w:bCs/>
          <w:color w:val="00000A"/>
          <w:sz w:val="24"/>
          <w:szCs w:val="24"/>
          <w:shd w:fill="FFFFFF" w:val="clear"/>
        </w:rPr>
        <w:t xml:space="preserve">      </w:t>
      </w:r>
      <w:r>
        <w:rPr>
          <w:b/>
          <w:bCs/>
          <w:color w:val="00000A"/>
          <w:sz w:val="24"/>
          <w:szCs w:val="24"/>
          <w:shd w:fill="FFFFFF" w:val="clear"/>
        </w:rPr>
        <w:t>6.8</w:t>
      </w:r>
      <w:r>
        <w:rPr>
          <w:bCs/>
          <w:color w:val="00000A"/>
          <w:sz w:val="24"/>
          <w:szCs w:val="24"/>
          <w:shd w:fill="FFFFFF" w:val="clear"/>
        </w:rPr>
        <w:t xml:space="preserve">. </w:t>
      </w:r>
      <w:r>
        <w:rPr>
          <w:bCs/>
          <w:color w:val="000000"/>
          <w:sz w:val="24"/>
          <w:szCs w:val="24"/>
          <w:shd w:fill="FFFFFF" w:val="clear"/>
        </w:rPr>
        <w:t xml:space="preserve">Банковской гарантией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r>
        <w:rPr>
          <w:bCs/>
          <w:color w:val="000000"/>
          <w:sz w:val="24"/>
          <w:szCs w:val="24"/>
          <w:shd w:fill="FFFFFF" w:val="clear"/>
          <w:lang w:val="ru-RU"/>
        </w:rPr>
        <w:t>Выбор формы направления такого требования осуществляется Бенефициаром самостоятельно.</w:t>
      </w:r>
    </w:p>
    <w:p>
      <w:pPr>
        <w:pStyle w:val="Normal"/>
        <w:widowControl w:val="false"/>
        <w:spacing w:lineRule="auto" w:line="240" w:before="0" w:after="0"/>
        <w:ind w:left="0" w:right="0" w:firstLine="709"/>
        <w:jc w:val="both"/>
        <w:rPr>
          <w:highlight w:val="white"/>
        </w:rPr>
      </w:pPr>
      <w:r>
        <w:rPr>
          <w:rFonts w:eastAsia="Times New Roman" w:cs="Times New Roman"/>
          <w:b/>
          <w:bCs/>
          <w:color w:val="000000"/>
          <w:sz w:val="24"/>
          <w:szCs w:val="24"/>
          <w:shd w:fill="FFFFFF" w:val="clear"/>
          <w:lang w:val="ru-RU" w:eastAsia="ru-RU" w:bidi="ar-SA"/>
        </w:rPr>
        <w:t>6.9.</w:t>
      </w:r>
      <w:r>
        <w:rPr>
          <w:rFonts w:eastAsia="Times New Roman" w:cs="Times New Roman"/>
          <w:color w:val="000000"/>
          <w:sz w:val="24"/>
          <w:szCs w:val="24"/>
          <w:shd w:fill="FFFFFF" w:val="clear"/>
          <w:lang w:val="ru-RU" w:eastAsia="ru-RU" w:bidi="ar-SA"/>
        </w:rPr>
        <w:t xml:space="preserve"> Гарантии предоставляются:</w:t>
      </w:r>
    </w:p>
    <w:p>
      <w:pPr>
        <w:pStyle w:val="Normal"/>
        <w:widowControl w:val="false"/>
        <w:spacing w:lineRule="auto" w:line="240" w:before="0" w:after="0"/>
        <w:ind w:left="0" w:right="0" w:firstLine="709"/>
        <w:jc w:val="both"/>
        <w:rPr>
          <w:highlight w:val="white"/>
        </w:rPr>
      </w:pPr>
      <w:r>
        <w:rPr>
          <w:rFonts w:eastAsia="Times New Roman" w:cs="Times New Roman"/>
          <w:color w:val="000000"/>
          <w:sz w:val="24"/>
          <w:szCs w:val="24"/>
          <w:shd w:fill="FFFFFF" w:val="clear"/>
          <w:lang w:val="ru-RU" w:eastAsia="ru-RU" w:bidi="ar-SA"/>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w:t>
      </w:r>
    </w:p>
    <w:p>
      <w:pPr>
        <w:pStyle w:val="Normal"/>
        <w:widowControl w:val="false"/>
        <w:spacing w:lineRule="auto" w:line="240" w:before="0" w:after="0"/>
        <w:ind w:left="0" w:right="0" w:firstLine="709"/>
        <w:jc w:val="both"/>
        <w:rPr>
          <w:highlight w:val="white"/>
        </w:rPr>
      </w:pPr>
      <w:r>
        <w:rPr>
          <w:rFonts w:eastAsia="Times New Roman" w:cs="Times New Roman"/>
          <w:color w:val="000000"/>
          <w:sz w:val="24"/>
          <w:szCs w:val="24"/>
          <w:shd w:fill="FFFFFF" w:val="clear"/>
          <w:lang w:val="ru-RU" w:eastAsia="ru-RU" w:bidi="ar-SA"/>
        </w:rPr>
        <w:t>либо</w:t>
      </w:r>
    </w:p>
    <w:p>
      <w:pPr>
        <w:pStyle w:val="Normal"/>
        <w:widowControl w:val="false"/>
        <w:spacing w:lineRule="auto" w:line="240" w:before="0" w:after="0"/>
        <w:ind w:left="0" w:right="0" w:firstLine="709"/>
        <w:jc w:val="both"/>
        <w:rPr>
          <w:highlight w:val="white"/>
        </w:rPr>
      </w:pPr>
      <w:r>
        <w:rPr>
          <w:rFonts w:eastAsia="Times New Roman" w:cs="Times New Roman"/>
          <w:bCs/>
          <w:color w:val="000000"/>
          <w:sz w:val="24"/>
          <w:szCs w:val="24"/>
          <w:shd w:fill="FFFFFF" w:val="clear"/>
          <w:lang w:val="ru-RU" w:eastAsia="ru-RU" w:bidi="ar-SA"/>
        </w:rPr>
        <w:t>- в оригинале на бумажном носителе.</w:t>
      </w:r>
    </w:p>
    <w:p>
      <w:pPr>
        <w:pStyle w:val="ListParagraph"/>
        <w:numPr>
          <w:ilvl w:val="0"/>
          <w:numId w:val="0"/>
        </w:numPr>
        <w:tabs>
          <w:tab w:val="left" w:pos="1134" w:leader="none"/>
        </w:tabs>
        <w:ind w:left="0" w:hanging="0"/>
        <w:jc w:val="both"/>
        <w:rPr>
          <w:rFonts w:ascii="Times New Roman" w:hAnsi="Times New Roman"/>
          <w:sz w:val="24"/>
          <w:szCs w:val="24"/>
          <w:shd w:fill="FFFFFF" w:val="clear"/>
        </w:rPr>
      </w:pPr>
      <w:r>
        <w:rPr>
          <w:sz w:val="24"/>
          <w:szCs w:val="24"/>
          <w:shd w:fill="FFFFFF" w:val="clear"/>
        </w:rPr>
      </w:r>
    </w:p>
    <w:p>
      <w:pPr>
        <w:pStyle w:val="ListParagraph"/>
        <w:numPr>
          <w:ilvl w:val="0"/>
          <w:numId w:val="1"/>
        </w:numPr>
        <w:shd w:val="clear" w:color="auto" w:fill="FFFFFF"/>
        <w:tabs>
          <w:tab w:val="left" w:pos="284" w:leader="none"/>
        </w:tabs>
        <w:ind w:left="0" w:hanging="0"/>
        <w:jc w:val="center"/>
        <w:rPr>
          <w:highlight w:val="white"/>
        </w:rPr>
      </w:pPr>
      <w:r>
        <w:rPr>
          <w:b/>
          <w:bCs/>
          <w:sz w:val="24"/>
          <w:szCs w:val="24"/>
          <w:shd w:fill="FFFFFF" w:val="clear"/>
        </w:rPr>
        <w:t>Ответственность Сторон</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Договором прямо не предусмотрено иное. </w:t>
      </w:r>
    </w:p>
    <w:p>
      <w:pPr>
        <w:pStyle w:val="Normal"/>
        <w:numPr>
          <w:ilvl w:val="1"/>
          <w:numId w:val="1"/>
        </w:numPr>
        <w:tabs>
          <w:tab w:val="left" w:pos="1134" w:leader="none"/>
        </w:tabs>
        <w:spacing w:lineRule="auto" w:line="240"/>
        <w:ind w:left="0" w:firstLine="709"/>
        <w:rPr>
          <w:highlight w:val="white"/>
        </w:rPr>
      </w:pPr>
      <w:r>
        <w:rPr>
          <w:bCs/>
          <w:sz w:val="24"/>
          <w:szCs w:val="24"/>
          <w:shd w:fill="FFFFFF" w:val="clear"/>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pPr>
        <w:pStyle w:val="Normal"/>
        <w:numPr>
          <w:ilvl w:val="1"/>
          <w:numId w:val="1"/>
        </w:numPr>
        <w:tabs>
          <w:tab w:val="left" w:pos="1134" w:leader="none"/>
        </w:tabs>
        <w:spacing w:lineRule="auto" w:line="240"/>
        <w:ind w:left="0" w:firstLine="709"/>
        <w:rPr>
          <w:highlight w:val="white"/>
        </w:rPr>
      </w:pPr>
      <w:r>
        <w:rPr>
          <w:bCs/>
          <w:sz w:val="24"/>
          <w:szCs w:val="24"/>
          <w:shd w:fill="FFFFFF" w:val="clear"/>
        </w:rPr>
        <w:t xml:space="preserve">В случае нарушения Заказчиком сроков оплаты, установленных разделом 3 Договора (за исключением срока оплаты авансовых платежей), Подрядчик вправе </w:t>
      </w:r>
      <w:r>
        <w:rPr>
          <w:sz w:val="24"/>
          <w:szCs w:val="24"/>
          <w:shd w:fill="FFFFFF" w:val="clear"/>
        </w:rPr>
        <w:t xml:space="preserve">потребовать уплаты Заказчиком исключительной неустойки в размере 0,01 (ноль целых и одна сотая) процента от несвоевременно оплаченной суммы за каждый день просрочки, </w:t>
      </w:r>
      <w:r>
        <w:rPr>
          <w:rFonts w:eastAsia="Times New Roman"/>
          <w:sz w:val="24"/>
          <w:szCs w:val="24"/>
          <w:shd w:fill="FFFFFF" w:val="clear"/>
        </w:rPr>
        <w:t>но не более 5 % от Цены Договора</w:t>
      </w:r>
      <w:r>
        <w:rPr>
          <w:sz w:val="24"/>
          <w:szCs w:val="24"/>
          <w:shd w:fill="FFFFFF" w:val="clear"/>
        </w:rPr>
        <w:t>.</w:t>
      </w:r>
      <w:r>
        <w:rPr>
          <w:bCs/>
          <w:sz w:val="24"/>
          <w:szCs w:val="24"/>
          <w:shd w:fill="FFFFFF" w:val="clear"/>
        </w:rPr>
        <w:t xml:space="preserve"> </w:t>
      </w:r>
    </w:p>
    <w:p>
      <w:pPr>
        <w:pStyle w:val="Normal"/>
        <w:numPr>
          <w:ilvl w:val="1"/>
          <w:numId w:val="1"/>
        </w:numPr>
        <w:tabs>
          <w:tab w:val="left" w:pos="1134" w:leader="none"/>
        </w:tabs>
        <w:spacing w:lineRule="auto" w:line="240"/>
        <w:ind w:left="0" w:firstLine="709"/>
        <w:rPr>
          <w:highlight w:val="white"/>
        </w:rPr>
      </w:pPr>
      <w:r>
        <w:rPr>
          <w:bCs/>
          <w:sz w:val="24"/>
          <w:szCs w:val="24"/>
          <w:shd w:fill="FFFFFF" w:val="clear"/>
        </w:rPr>
        <w:t xml:space="preserve">В случае </w:t>
      </w:r>
      <w:r>
        <w:rPr>
          <w:sz w:val="24"/>
          <w:szCs w:val="24"/>
          <w:shd w:fill="FFFFFF" w:val="clear"/>
        </w:rPr>
        <w:t>нарушения Подрядчиком обязательств по выполнению Работ, в том числе сроков выполнения Работ, установленных Календарным графиком выполнения Работ (Приложение № 2 к Договору), а также в случае несвоевременного устранения выявленных недостатков Результатов Работ, Заказчик вправе потребовать уплаты Подрядчиком:</w:t>
      </w:r>
    </w:p>
    <w:p>
      <w:pPr>
        <w:pStyle w:val="ListParagraph"/>
        <w:numPr>
          <w:ilvl w:val="2"/>
          <w:numId w:val="1"/>
        </w:numPr>
        <w:shd w:val="clear" w:color="auto" w:fill="FFFFFF"/>
        <w:tabs>
          <w:tab w:val="left" w:pos="0" w:leader="none"/>
          <w:tab w:val="left" w:pos="709" w:leader="none"/>
          <w:tab w:val="left" w:pos="1276" w:leader="none"/>
          <w:tab w:val="left" w:pos="1418" w:leader="none"/>
        </w:tabs>
        <w:ind w:left="0" w:firstLine="709"/>
        <w:jc w:val="both"/>
        <w:rPr>
          <w:highlight w:val="white"/>
        </w:rPr>
      </w:pPr>
      <w:r>
        <w:rPr>
          <w:sz w:val="24"/>
          <w:szCs w:val="24"/>
          <w:shd w:fill="FFFFFF" w:val="clear"/>
        </w:rPr>
        <w:t>Неустойки в размере 0,1 (ноль целых и одна десятая) процента от стоимости Этапа Работ за каждый день просрочки</w:t>
      </w:r>
      <w:r>
        <w:rPr>
          <w:rFonts w:eastAsia="Calibri"/>
          <w:bCs/>
          <w:sz w:val="24"/>
          <w:szCs w:val="24"/>
          <w:shd w:fill="FFFFFF" w:val="clear"/>
        </w:rPr>
        <w:t>;</w:t>
      </w:r>
    </w:p>
    <w:p>
      <w:pPr>
        <w:pStyle w:val="ListParagraph"/>
        <w:numPr>
          <w:ilvl w:val="2"/>
          <w:numId w:val="1"/>
        </w:numPr>
        <w:shd w:val="clear" w:color="auto" w:fill="FFFFFF"/>
        <w:tabs>
          <w:tab w:val="left" w:pos="0" w:leader="none"/>
          <w:tab w:val="left" w:pos="709" w:leader="none"/>
          <w:tab w:val="left" w:pos="1276" w:leader="none"/>
          <w:tab w:val="left" w:pos="1418" w:leader="none"/>
        </w:tabs>
        <w:ind w:left="0" w:firstLine="709"/>
        <w:jc w:val="both"/>
        <w:rPr>
          <w:highlight w:val="white"/>
        </w:rPr>
      </w:pPr>
      <w:r>
        <w:rPr>
          <w:rFonts w:eastAsia="Calibri"/>
          <w:bCs/>
          <w:sz w:val="24"/>
          <w:szCs w:val="24"/>
          <w:shd w:fill="FFFFFF" w:val="clear"/>
        </w:rPr>
        <w:t xml:space="preserve">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Результата Работ </w:t>
      </w:r>
      <w:r>
        <w:rPr>
          <w:bCs/>
          <w:sz w:val="24"/>
          <w:szCs w:val="24"/>
          <w:shd w:fill="FFFFFF" w:val="clear"/>
        </w:rPr>
        <w:t xml:space="preserve">в целом </w:t>
      </w:r>
      <w:r>
        <w:rPr>
          <w:rFonts w:eastAsia="Calibri"/>
          <w:bCs/>
          <w:sz w:val="24"/>
          <w:szCs w:val="24"/>
          <w:shd w:fill="FFFFFF" w:val="clear"/>
        </w:rPr>
        <w:t xml:space="preserve">по Договору; </w:t>
      </w:r>
    </w:p>
    <w:p>
      <w:pPr>
        <w:pStyle w:val="ListParagraph"/>
        <w:numPr>
          <w:ilvl w:val="2"/>
          <w:numId w:val="1"/>
        </w:numPr>
        <w:shd w:val="clear" w:color="auto" w:fill="FFFFFF"/>
        <w:tabs>
          <w:tab w:val="left" w:pos="0" w:leader="none"/>
          <w:tab w:val="left" w:pos="709" w:leader="none"/>
          <w:tab w:val="left" w:pos="1276" w:leader="none"/>
          <w:tab w:val="left" w:pos="1418" w:leader="none"/>
        </w:tabs>
        <w:spacing w:lineRule="auto" w:line="247" w:before="0" w:after="5"/>
        <w:ind w:left="0" w:firstLine="709"/>
        <w:contextualSpacing/>
        <w:jc w:val="both"/>
        <w:rPr>
          <w:highlight w:val="white"/>
        </w:rPr>
      </w:pPr>
      <w:r>
        <w:rPr>
          <w:rFonts w:eastAsia="Calibri"/>
          <w:bCs/>
          <w:sz w:val="24"/>
          <w:szCs w:val="24"/>
          <w:shd w:fill="FFFFFF" w:val="clear"/>
        </w:rPr>
        <w:t xml:space="preserve">Неустойки в размере 0,1 (ноль целых и одна десятая) процента от стоимости Этапа Работ за каждый день просрочки – в случае несвоевременного устранения недостатков, не влияющих на возможность эксплуатации (использования) Результата Работ </w:t>
      </w:r>
      <w:r>
        <w:rPr>
          <w:bCs/>
          <w:sz w:val="24"/>
          <w:szCs w:val="24"/>
          <w:shd w:fill="FFFFFF" w:val="clear"/>
        </w:rPr>
        <w:t xml:space="preserve">в целом </w:t>
      </w:r>
      <w:r>
        <w:rPr>
          <w:rFonts w:eastAsia="Calibri"/>
          <w:bCs/>
          <w:sz w:val="24"/>
          <w:szCs w:val="24"/>
          <w:shd w:fill="FFFFFF" w:val="clear"/>
        </w:rPr>
        <w:t>по Договору.</w:t>
      </w:r>
    </w:p>
    <w:p>
      <w:pPr>
        <w:pStyle w:val="Normal"/>
        <w:widowControl w:val="false"/>
        <w:numPr>
          <w:ilvl w:val="1"/>
          <w:numId w:val="1"/>
        </w:numPr>
        <w:shd w:val="clear" w:color="auto" w:fill="FFFFFF"/>
        <w:tabs>
          <w:tab w:val="left" w:pos="1134" w:leader="none"/>
        </w:tabs>
        <w:spacing w:lineRule="auto" w:line="240"/>
        <w:ind w:left="0" w:firstLine="709"/>
        <w:rPr>
          <w:highlight w:val="white"/>
        </w:rPr>
      </w:pPr>
      <w:r>
        <w:rPr>
          <w:sz w:val="24"/>
          <w:szCs w:val="24"/>
          <w:shd w:fill="FFFFFF" w:val="clear"/>
        </w:rPr>
        <w:t xml:space="preserve">В случае несвоевременного возврата аванса </w:t>
      </w:r>
      <w:r>
        <w:rPr>
          <w:bCs/>
          <w:sz w:val="24"/>
          <w:szCs w:val="24"/>
          <w:shd w:fill="FFFFFF" w:val="clear"/>
        </w:rPr>
        <w:t xml:space="preserve">Заказчик вправе требовать уплаты Подрядчиком неустойки в размере </w:t>
      </w:r>
      <w:r>
        <w:rPr>
          <w:sz w:val="24"/>
          <w:szCs w:val="24"/>
          <w:shd w:fill="FFFFFF" w:val="clear"/>
        </w:rPr>
        <w:t>в размере 0,1 (ноль целых и одна десятая) процента от размера невозвращенного аванса за каждый день просрочки начиная с даты, установленной для возврата аванса.</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 xml:space="preserve">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и промышленной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6 к Договору. </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Если в результате составления и выставления Подрядчиком счетов-фактур, 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 установленных пунктом 4.9 Договора, Заказчик имеет право требования от Подрядчика уплаты штрафа в размере 50 000 (пятидесяти тысяч) рублей за каждый случай нарушения.</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За не предоставление либо несвоевременное предоставление / переоформление Подрядчиком Банковских гарантий, предусмотренных Договором, в порядке и сроки, установленные разделом 6 Договора, Заказчик вправе требовать уплаты Подрядчиком неустойки в размере 0,03 (ноль целых три сотых) % от цены Договора за каждый день просрочки</w:t>
      </w:r>
      <w:r>
        <w:rPr>
          <w:rStyle w:val="Style12"/>
          <w:bCs/>
          <w:sz w:val="24"/>
          <w:szCs w:val="24"/>
          <w:shd w:fill="FFFFFF" w:val="clear"/>
        </w:rPr>
        <w:footnoteReference w:id="11"/>
      </w:r>
      <w:r>
        <w:rPr>
          <w:bCs/>
          <w:sz w:val="24"/>
          <w:szCs w:val="24"/>
          <w:shd w:fill="FFFFFF" w:val="clear"/>
        </w:rPr>
        <w:t>.</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Подрядчик несет ответственность перед Заказчиком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pPr>
        <w:pStyle w:val="Normal"/>
        <w:widowControl/>
        <w:numPr>
          <w:ilvl w:val="0"/>
          <w:numId w:val="0"/>
        </w:numPr>
        <w:tabs>
          <w:tab w:val="left" w:pos="619" w:leader="none"/>
        </w:tabs>
        <w:bidi w:val="0"/>
        <w:spacing w:lineRule="auto" w:line="240" w:before="0" w:after="0"/>
        <w:ind w:left="617" w:right="113" w:hanging="0"/>
        <w:jc w:val="both"/>
        <w:rPr/>
      </w:pPr>
      <w:r>
        <w:rPr>
          <w:rStyle w:val="Style28"/>
          <w:sz w:val="24"/>
          <w:szCs w:val="24"/>
          <w:shd w:fill="FFFFFF" w:val="clear"/>
        </w:rPr>
        <w:t xml:space="preserve"> </w:t>
      </w:r>
      <w:r>
        <w:rPr>
          <w:rStyle w:val="Style28"/>
          <w:sz w:val="24"/>
          <w:szCs w:val="24"/>
          <w:shd w:fill="FFFFFF" w:val="clear"/>
        </w:rPr>
        <w:tab/>
        <w:t>Подрядчик обязан возместить Заказчику в полном объёме убытки, вызванные недостатками Проектной документации, Результатов инженерных изысканий и/или Рабочей документации, включая:</w:t>
      </w:r>
    </w:p>
    <w:p>
      <w:pPr>
        <w:pStyle w:val="Style30"/>
        <w:widowControl/>
        <w:numPr>
          <w:ilvl w:val="0"/>
          <w:numId w:val="0"/>
        </w:numPr>
        <w:tabs>
          <w:tab w:val="left" w:pos="619" w:leader="none"/>
        </w:tabs>
        <w:bidi w:val="0"/>
        <w:spacing w:lineRule="auto" w:line="240" w:before="0" w:after="0"/>
        <w:ind w:left="2317" w:right="113" w:hanging="0"/>
        <w:jc w:val="both"/>
        <w:rPr>
          <w:highlight w:val="white"/>
        </w:rPr>
      </w:pPr>
      <w:r>
        <w:rPr>
          <w:sz w:val="24"/>
          <w:szCs w:val="24"/>
          <w:shd w:fill="FFFFFF" w:val="clear"/>
        </w:rPr>
        <w:t xml:space="preserve"> </w:t>
      </w:r>
      <w:r>
        <w:rPr>
          <w:sz w:val="24"/>
          <w:szCs w:val="24"/>
          <w:shd w:fill="FFFFFF" w:val="clear"/>
        </w:rPr>
        <w:tab/>
        <w:t>- расходы на повторную экспертизу;</w:t>
      </w:r>
    </w:p>
    <w:p>
      <w:pPr>
        <w:pStyle w:val="Style30"/>
        <w:widowControl/>
        <w:numPr>
          <w:ilvl w:val="0"/>
          <w:numId w:val="0"/>
        </w:numPr>
        <w:tabs>
          <w:tab w:val="left" w:pos="619" w:leader="none"/>
        </w:tabs>
        <w:bidi w:val="0"/>
        <w:spacing w:lineRule="auto" w:line="240" w:before="0" w:after="0"/>
        <w:ind w:left="2317" w:right="113" w:hanging="0"/>
        <w:jc w:val="both"/>
        <w:rPr>
          <w:highlight w:val="white"/>
        </w:rPr>
      </w:pPr>
      <w:r>
        <w:rPr>
          <w:sz w:val="24"/>
          <w:szCs w:val="24"/>
          <w:shd w:fill="FFFFFF" w:val="clear"/>
        </w:rPr>
        <w:t xml:space="preserve"> </w:t>
      </w:r>
      <w:r>
        <w:rPr>
          <w:sz w:val="24"/>
          <w:szCs w:val="24"/>
          <w:shd w:fill="FFFFFF" w:val="clear"/>
        </w:rPr>
        <w:tab/>
        <w:t>- затраты на корректировку документации;</w:t>
      </w:r>
    </w:p>
    <w:p>
      <w:pPr>
        <w:pStyle w:val="Style30"/>
        <w:widowControl/>
        <w:numPr>
          <w:ilvl w:val="0"/>
          <w:numId w:val="0"/>
        </w:numPr>
        <w:tabs>
          <w:tab w:val="left" w:pos="619" w:leader="none"/>
        </w:tabs>
        <w:bidi w:val="0"/>
        <w:spacing w:lineRule="auto" w:line="240" w:before="0" w:after="0"/>
        <w:ind w:left="2317" w:right="113" w:hanging="0"/>
        <w:jc w:val="both"/>
        <w:rPr>
          <w:highlight w:val="white"/>
        </w:rPr>
      </w:pPr>
      <w:r>
        <w:rPr>
          <w:sz w:val="24"/>
          <w:szCs w:val="24"/>
          <w:shd w:fill="FFFFFF" w:val="clear"/>
        </w:rPr>
        <w:t xml:space="preserve"> </w:t>
      </w:r>
      <w:r>
        <w:rPr>
          <w:sz w:val="24"/>
          <w:szCs w:val="24"/>
          <w:shd w:fill="FFFFFF" w:val="clear"/>
        </w:rPr>
        <w:tab/>
        <w:t>- убытки, связанные с задержкой строительства или эксплуатации Объекта;</w:t>
      </w:r>
    </w:p>
    <w:p>
      <w:pPr>
        <w:pStyle w:val="Style30"/>
        <w:widowControl/>
        <w:numPr>
          <w:ilvl w:val="0"/>
          <w:numId w:val="0"/>
        </w:numPr>
        <w:tabs>
          <w:tab w:val="left" w:pos="619" w:leader="none"/>
        </w:tabs>
        <w:bidi w:val="0"/>
        <w:spacing w:lineRule="auto" w:line="240" w:before="0" w:after="0"/>
        <w:ind w:left="2317" w:right="113" w:hanging="0"/>
        <w:jc w:val="both"/>
        <w:rPr>
          <w:highlight w:val="white"/>
        </w:rPr>
      </w:pPr>
      <w:r>
        <w:rPr>
          <w:sz w:val="24"/>
          <w:szCs w:val="24"/>
          <w:shd w:fill="FFFFFF" w:val="clear"/>
        </w:rPr>
        <w:t xml:space="preserve"> </w:t>
      </w:r>
      <w:r>
        <w:rPr>
          <w:sz w:val="24"/>
          <w:szCs w:val="24"/>
          <w:shd w:fill="FFFFFF" w:val="clear"/>
        </w:rPr>
        <w:tab/>
        <w:t>- оплату услуг третьих лиц, привлечённых для устранения недостатков;</w:t>
      </w:r>
    </w:p>
    <w:p>
      <w:pPr>
        <w:pStyle w:val="Style30"/>
        <w:widowControl/>
        <w:numPr>
          <w:ilvl w:val="0"/>
          <w:numId w:val="0"/>
        </w:numPr>
        <w:tabs>
          <w:tab w:val="left" w:pos="619" w:leader="none"/>
        </w:tabs>
        <w:bidi w:val="0"/>
        <w:spacing w:lineRule="auto" w:line="240" w:before="0" w:after="0"/>
        <w:ind w:left="2317" w:right="113" w:hanging="0"/>
        <w:jc w:val="both"/>
        <w:rPr>
          <w:highlight w:val="white"/>
        </w:rPr>
      </w:pPr>
      <w:r>
        <w:rPr>
          <w:sz w:val="24"/>
          <w:szCs w:val="24"/>
          <w:shd w:fill="FFFFFF" w:val="clear"/>
        </w:rPr>
        <w:t xml:space="preserve"> </w:t>
      </w:r>
      <w:r>
        <w:rPr>
          <w:sz w:val="24"/>
          <w:szCs w:val="24"/>
          <w:shd w:fill="FFFFFF" w:val="clear"/>
        </w:rPr>
        <w:tab/>
        <w:t>- штрафные санкции, предъявленные Заказчику третьими лицами вследствие недостатков работ Подрядчика;</w:t>
      </w:r>
    </w:p>
    <w:p>
      <w:pPr>
        <w:pStyle w:val="Style30"/>
        <w:widowControl/>
        <w:numPr>
          <w:ilvl w:val="0"/>
          <w:numId w:val="0"/>
        </w:numPr>
        <w:shd w:val="clear" w:color="auto" w:fill="FFFFFF"/>
        <w:tabs>
          <w:tab w:val="left" w:pos="619" w:leader="none"/>
        </w:tabs>
        <w:bidi w:val="0"/>
        <w:spacing w:lineRule="auto" w:line="240" w:before="0" w:after="0"/>
        <w:ind w:left="687" w:right="113" w:hanging="0"/>
        <w:jc w:val="both"/>
        <w:rPr/>
      </w:pPr>
      <w:r>
        <w:rPr>
          <w:rStyle w:val="Style28"/>
          <w:rFonts w:cs="Times New Roman"/>
          <w:bCs/>
          <w:color w:val="000000"/>
          <w:sz w:val="24"/>
          <w:szCs w:val="24"/>
          <w:shd w:fill="FFFFFF" w:val="clear"/>
        </w:rPr>
        <w:t xml:space="preserve"> </w:t>
      </w:r>
      <w:r>
        <w:rPr>
          <w:rStyle w:val="Style28"/>
          <w:rFonts w:cs="Times New Roman"/>
          <w:bCs/>
          <w:color w:val="000000"/>
          <w:sz w:val="24"/>
          <w:szCs w:val="24"/>
          <w:shd w:fill="FFFFFF" w:val="clear"/>
        </w:rPr>
        <w:tab/>
        <w:t>- иные документально подтверждённые расходы, непосредственно вызванные недостатками работ Подрядчика.</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pPr>
        <w:pStyle w:val="ListParagraph"/>
        <w:widowControl w:val="false"/>
        <w:numPr>
          <w:ilvl w:val="1"/>
          <w:numId w:val="1"/>
        </w:numPr>
        <w:shd w:val="clear" w:color="auto" w:fill="FFFFFF"/>
        <w:tabs>
          <w:tab w:val="left" w:pos="0" w:leader="none"/>
          <w:tab w:val="left" w:pos="1134" w:leader="none"/>
          <w:tab w:val="left" w:pos="1276" w:leader="none"/>
        </w:tabs>
        <w:ind w:left="0" w:firstLine="709"/>
        <w:jc w:val="both"/>
        <w:rPr>
          <w:highlight w:val="white"/>
        </w:rPr>
      </w:pPr>
      <w:r>
        <w:rPr>
          <w:sz w:val="24"/>
          <w:szCs w:val="24"/>
          <w:shd w:fill="FFFFFF" w:val="clear"/>
        </w:rPr>
        <w:t>Удержание пени, штрафов и денежных средств, подлежащих уплате Подрядчиком по Договору, может быть произведено, по усмотрению Заказчика, путем вычета указанных суммы из стоимости выполненных Подрядчиком и принятых Заказчиком работ. Уплата (удержание) неустойки не освобождает стороны от исполнения своего обязательства в натуре.</w:t>
      </w:r>
    </w:p>
    <w:p>
      <w:pPr>
        <w:pStyle w:val="ListParagraph"/>
        <w:numPr>
          <w:ilvl w:val="1"/>
          <w:numId w:val="1"/>
        </w:numPr>
        <w:shd w:val="clear" w:color="auto" w:fill="FFFFFF"/>
        <w:tabs>
          <w:tab w:val="left" w:pos="1134" w:leader="none"/>
        </w:tabs>
        <w:ind w:left="0" w:firstLine="709"/>
        <w:jc w:val="both"/>
        <w:rPr>
          <w:highlight w:val="white"/>
        </w:rPr>
      </w:pPr>
      <w:r>
        <w:rPr>
          <w:rFonts w:eastAsia="Times New Roman"/>
          <w:b w:val="false"/>
          <w:bCs w:val="false"/>
          <w:i w:val="false"/>
          <w:iCs w:val="false"/>
          <w:caps w:val="false"/>
          <w:smallCaps w:val="false"/>
          <w:color w:val="000000"/>
          <w:sz w:val="24"/>
          <w:szCs w:val="24"/>
          <w:shd w:fill="FFFFFF" w:val="clear"/>
        </w:rPr>
        <w:t>В случае нарушения Подрядчиком требований Технического задания (Приложение №1) о наличии у него необходимых для выполнения работ кадровых ресурсов (персонала), техники и материально-технических ресурсов, а также в случае предоставления Подрядчиком недостоверных сведений или неполной информации о наличии у него необходимых для выполнения работ персонала, техники и материально-технических ресурсов, либо отказа в предоставлении указанной информации полностью или частично, Заказчик вправе потребовать уплаты Подрядчиком штрафа в размере 5% (пяти процентов) от Цены Договора за каждый случай нарушения.</w:t>
      </w:r>
    </w:p>
    <w:p>
      <w:pPr>
        <w:pStyle w:val="ListParagraph"/>
        <w:numPr>
          <w:ilvl w:val="1"/>
          <w:numId w:val="1"/>
        </w:numPr>
        <w:shd w:val="clear" w:color="auto" w:fill="FFFFFF"/>
        <w:tabs>
          <w:tab w:val="left" w:pos="1134" w:leader="none"/>
        </w:tabs>
        <w:ind w:left="0" w:firstLine="709"/>
        <w:jc w:val="both"/>
        <w:rPr>
          <w:highlight w:val="white"/>
        </w:rPr>
      </w:pPr>
      <w:r>
        <w:rPr>
          <w:rFonts w:eastAsia="Times New Roman"/>
          <w:bCs/>
          <w:iCs w:val="false"/>
          <w:caps w:val="false"/>
          <w:smallCaps w:val="false"/>
          <w:sz w:val="24"/>
          <w:szCs w:val="24"/>
          <w:shd w:fill="FFFFFF" w:val="clear"/>
        </w:rPr>
        <w:t>Наряду с неустойкой за неисполнение или ненадлежащее исполнение обязательств Подрядчиком, предусмотренных Договором, и независимо от такой неустойки, Заказчик вправе взыскать с Подрядчика проценты за пользование чужими денежными средствами на основании ст. 395 Гражданского кодекса РФ за соответствующие неисполнение или ненадлежащее исполнение обязательств Подрядчика. Допускается начисление Заказчиком процентов на проценты (сложные проценты).</w:t>
      </w:r>
    </w:p>
    <w:p>
      <w:pPr>
        <w:pStyle w:val="ListParagraph"/>
        <w:numPr>
          <w:ilvl w:val="1"/>
          <w:numId w:val="1"/>
        </w:numPr>
        <w:shd w:val="clear" w:color="auto" w:fill="FFFFFF"/>
        <w:tabs>
          <w:tab w:val="left" w:pos="1134" w:leader="none"/>
        </w:tabs>
        <w:ind w:left="0" w:firstLine="709"/>
        <w:jc w:val="both"/>
        <w:rPr>
          <w:highlight w:val="white"/>
        </w:rPr>
      </w:pPr>
      <w:r>
        <w:rPr>
          <w:sz w:val="24"/>
          <w:szCs w:val="24"/>
          <w:shd w:fill="FFFFFF" w:val="clear"/>
        </w:rPr>
        <w:t>За каждый случай повторного выявления Заказчиком замечаний, ранее направленных Подрядчику, а также за выявление новых недостатков, возникших вследствие корректировки документации, Подрядчик уплачивает Заказчику штраф в размере 1% от Цены Договора.</w:t>
      </w:r>
    </w:p>
    <w:p>
      <w:pPr>
        <w:pStyle w:val="ListParagraph"/>
        <w:numPr>
          <w:ilvl w:val="0"/>
          <w:numId w:val="0"/>
        </w:numPr>
        <w:shd w:val="clear" w:color="auto" w:fill="FFFFFF"/>
        <w:tabs>
          <w:tab w:val="left" w:pos="1134" w:leader="none"/>
        </w:tabs>
        <w:ind w:left="574" w:hanging="0"/>
        <w:jc w:val="both"/>
        <w:rPr>
          <w:highlight w:val="white"/>
        </w:rPr>
      </w:pPr>
      <w:r>
        <w:rPr>
          <w:sz w:val="24"/>
          <w:szCs w:val="24"/>
          <w:shd w:fill="FFFFFF" w:val="clear"/>
        </w:rPr>
        <w:t xml:space="preserve"> </w:t>
      </w:r>
      <w:r>
        <w:rPr>
          <w:sz w:val="24"/>
          <w:szCs w:val="24"/>
          <w:shd w:fill="FFFFFF" w:val="clear"/>
        </w:rPr>
        <w:tab/>
        <w:t>Начиная с третьего цикла устранения замечаний, размер штрафных санкций, предусмотренный настоящим пунктом увеличивается в два раза.</w:t>
      </w:r>
    </w:p>
    <w:p>
      <w:pPr>
        <w:pStyle w:val="ListParagraph"/>
        <w:numPr>
          <w:ilvl w:val="0"/>
          <w:numId w:val="0"/>
        </w:numPr>
        <w:shd w:val="clear" w:color="auto" w:fill="FFFFFF"/>
        <w:tabs>
          <w:tab w:val="left" w:pos="1134" w:leader="none"/>
        </w:tabs>
        <w:ind w:left="574" w:hanging="0"/>
        <w:jc w:val="both"/>
        <w:rPr>
          <w:rFonts w:ascii="Times New Roman" w:hAnsi="Times New Roman" w:eastAsia="Times New Roman"/>
          <w:b w:val="false"/>
          <w:b w:val="false"/>
          <w:bCs/>
          <w:i w:val="false"/>
          <w:i w:val="false"/>
          <w:iCs w:val="false"/>
          <w:caps w:val="false"/>
          <w:smallCaps w:val="false"/>
          <w:sz w:val="24"/>
          <w:szCs w:val="24"/>
          <w:shd w:fill="FFFFFF" w:val="clear"/>
        </w:rPr>
      </w:pPr>
      <w:r>
        <w:rPr>
          <w:rFonts w:eastAsia="Times New Roman"/>
          <w:b w:val="false"/>
          <w:bCs/>
          <w:i w:val="false"/>
          <w:iCs w:val="false"/>
          <w:caps w:val="false"/>
          <w:smallCaps w:val="false"/>
          <w:sz w:val="24"/>
          <w:szCs w:val="24"/>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z w:val="24"/>
          <w:szCs w:val="24"/>
          <w:shd w:fill="FFFFFF" w:val="clear"/>
        </w:rPr>
        <w:t>Исключительные права и патенты</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Подрядчик гарантирует, что выполнение Работ, предусмотренных Договором, а также передача Заказчику Результата работ не нарушит исключительных и иных интеллектуальных прав третьих лиц</w:t>
      </w:r>
      <w:r>
        <w:rPr>
          <w:sz w:val="24"/>
          <w:szCs w:val="24"/>
          <w:shd w:fill="FFFFFF" w:val="clear"/>
        </w:rPr>
        <w:t xml:space="preserve"> </w:t>
      </w:r>
      <w:r>
        <w:rPr>
          <w:bCs/>
          <w:sz w:val="24"/>
          <w:szCs w:val="24"/>
          <w:shd w:fill="FFFFFF" w:val="clear"/>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 xml:space="preserve">В состав Результата работ по Договору считаются включенными все разрешения (лицензии), необходимые для использования Заказчиком Результата работ. </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pPr>
        <w:pStyle w:val="ListParagraph"/>
        <w:shd w:val="clear" w:color="auto" w:fill="FFFFFF"/>
        <w:tabs>
          <w:tab w:val="left" w:pos="1134" w:leader="none"/>
        </w:tabs>
        <w:ind w:left="0" w:firstLine="709"/>
        <w:jc w:val="both"/>
        <w:rPr>
          <w:highlight w:val="white"/>
        </w:rPr>
      </w:pPr>
      <w:r>
        <w:rPr>
          <w:bCs/>
          <w:sz w:val="24"/>
          <w:szCs w:val="24"/>
          <w:shd w:fill="FFFFFF" w:val="clear"/>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право использования такого результата</w:t>
      </w:r>
      <w:r>
        <w:rPr>
          <w:sz w:val="24"/>
          <w:szCs w:val="24"/>
          <w:shd w:fill="FFFFFF" w:val="clear"/>
        </w:rPr>
        <w:t xml:space="preserve"> </w:t>
      </w:r>
      <w:r>
        <w:rPr>
          <w:bCs/>
          <w:sz w:val="24"/>
          <w:szCs w:val="24"/>
          <w:shd w:fill="FFFFFF" w:val="clear"/>
        </w:rPr>
        <w:t xml:space="preserve">интеллектуальной деятельности на срок и в том объеме (пределах), которые требуются для эксплуатации. При этом Стороны признают, что плата за использование прав на результаты интеллектуальной деятельности входит в Цену Договора. </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В случае появления в рамках исполнения Договора или в составе Результата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сдачи-приемки выполненных работ.</w:t>
      </w:r>
    </w:p>
    <w:p>
      <w:pPr>
        <w:pStyle w:val="ListParagraph"/>
        <w:shd w:val="clear" w:color="auto" w:fill="FFFFFF"/>
        <w:tabs>
          <w:tab w:val="left" w:pos="1134" w:leader="none"/>
        </w:tabs>
        <w:ind w:left="709" w:hanging="0"/>
        <w:jc w:val="both"/>
        <w:rPr>
          <w:rFonts w:ascii="Times New Roman" w:hAnsi="Times New Roman"/>
          <w:bCs/>
          <w:sz w:val="24"/>
          <w:szCs w:val="24"/>
          <w:shd w:fill="FFFFFF" w:val="clear"/>
        </w:rPr>
      </w:pPr>
      <w:r>
        <w:rPr>
          <w:bCs/>
          <w:sz w:val="24"/>
          <w:szCs w:val="24"/>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z w:val="24"/>
          <w:szCs w:val="24"/>
          <w:shd w:fill="FFFFFF" w:val="clear"/>
        </w:rPr>
        <w:t>Конфиденциальность</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2"/>
        </w:numPr>
        <w:tabs>
          <w:tab w:val="left" w:pos="709" w:leader="none"/>
          <w:tab w:val="left" w:pos="1418" w:leader="none"/>
        </w:tabs>
        <w:spacing w:lineRule="auto" w:line="240"/>
        <w:ind w:left="0" w:firstLine="709"/>
        <w:rPr>
          <w:highlight w:val="white"/>
        </w:rPr>
      </w:pPr>
      <w:r>
        <w:rPr>
          <w:bCs/>
          <w:sz w:val="24"/>
          <w:szCs w:val="24"/>
          <w:shd w:fill="FFFFFF" w:val="clear"/>
        </w:rPr>
        <w:t>данная Информация имеет действительную или потенциальную коммерческую ценность для Заказчика в силу неизвестности ее третьим лица</w:t>
      </w:r>
      <w:r>
        <w:rPr>
          <w:sz w:val="24"/>
          <w:szCs w:val="24"/>
          <w:shd w:fill="FFFFFF" w:val="clear"/>
        </w:rPr>
        <w:t xml:space="preserve">м, в том числе по причине </w:t>
      </w:r>
      <w:r>
        <w:rPr>
          <w:bCs/>
          <w:sz w:val="24"/>
          <w:szCs w:val="24"/>
          <w:shd w:fill="FFFFFF" w:val="clear"/>
        </w:rPr>
        <w:t>введения в отношении нее режима Коммерческой тайны;</w:t>
      </w:r>
    </w:p>
    <w:p>
      <w:pPr>
        <w:pStyle w:val="Normal"/>
        <w:numPr>
          <w:ilvl w:val="0"/>
          <w:numId w:val="2"/>
        </w:numPr>
        <w:tabs>
          <w:tab w:val="left" w:pos="709" w:leader="none"/>
          <w:tab w:val="left" w:pos="1418" w:leader="none"/>
        </w:tabs>
        <w:spacing w:lineRule="auto" w:line="240"/>
        <w:ind w:left="0" w:firstLine="709"/>
        <w:rPr>
          <w:highlight w:val="white"/>
        </w:rPr>
      </w:pPr>
      <w:r>
        <w:rPr>
          <w:bCs/>
          <w:sz w:val="24"/>
          <w:szCs w:val="24"/>
          <w:shd w:fill="FFFFFF" w:val="clear"/>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Информация может включать в себя, в том числе, но не ограничиваясь:</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 xml:space="preserve">финансовую </w:t>
      </w:r>
      <w:r>
        <w:rPr>
          <w:bCs/>
          <w:sz w:val="24"/>
          <w:szCs w:val="24"/>
          <w:shd w:fill="FFFFFF" w:val="clear"/>
          <w:lang w:val="en-US"/>
        </w:rPr>
        <w:t>(</w:t>
      </w:r>
      <w:r>
        <w:rPr>
          <w:bCs/>
          <w:sz w:val="24"/>
          <w:szCs w:val="24"/>
          <w:shd w:fill="FFFFFF" w:val="clear"/>
        </w:rPr>
        <w:t>бухгалтерскую) отчетность;</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учетные регистры бухгалтерского учета;</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бизнес-планы;</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сведения о финансовых, правовых, организационных и других взаимоотношениях между Заказчиком и третьими лицами;</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сведения о подрядчиках, поставщиках оборудования и материалов, а также о покупателях продукции Заказчика и их аффилированных лицах;</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сведения об объемах производства и / или реализации продукции и услуг Заказчика или его аффилированных лиц;</w:t>
      </w:r>
    </w:p>
    <w:p>
      <w:pPr>
        <w:pStyle w:val="Normal"/>
        <w:numPr>
          <w:ilvl w:val="0"/>
          <w:numId w:val="2"/>
        </w:numPr>
        <w:tabs>
          <w:tab w:val="left" w:pos="1418" w:leader="none"/>
        </w:tabs>
        <w:spacing w:lineRule="auto" w:line="240"/>
        <w:ind w:left="0" w:firstLine="709"/>
        <w:rPr>
          <w:highlight w:val="white"/>
        </w:rPr>
      </w:pPr>
      <w:r>
        <w:rPr>
          <w:bCs/>
          <w:sz w:val="24"/>
          <w:szCs w:val="24"/>
          <w:shd w:fill="FFFFFF" w:val="clear"/>
        </w:rPr>
        <w:t>материалы обобщения, анализа, оценки, иных действий по обработке вышеуказанной Информации и документов.</w:t>
      </w:r>
    </w:p>
    <w:p>
      <w:pPr>
        <w:pStyle w:val="ListParagraph"/>
        <w:numPr>
          <w:ilvl w:val="1"/>
          <w:numId w:val="1"/>
        </w:numPr>
        <w:shd w:val="clear" w:color="auto" w:fill="FFFFFF"/>
        <w:tabs>
          <w:tab w:val="left" w:pos="1134" w:leader="none"/>
        </w:tabs>
        <w:ind w:left="0" w:firstLine="709"/>
        <w:jc w:val="both"/>
        <w:rPr>
          <w:highlight w:val="white"/>
        </w:rPr>
      </w:pPr>
      <w:bookmarkStart w:id="30" w:name="_Ref361337849"/>
      <w:r>
        <w:rPr>
          <w:bCs/>
          <w:sz w:val="24"/>
          <w:szCs w:val="24"/>
          <w:shd w:fill="FFFFFF" w:val="clear"/>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shd w:fill="FFFFFF" w:val="clear"/>
        </w:rPr>
        <w:t xml:space="preserve"> </w:t>
      </w:r>
      <w:r>
        <w:rPr>
          <w:bCs/>
          <w:sz w:val="24"/>
          <w:szCs w:val="24"/>
          <w:shd w:fill="FFFFFF" w:val="clear"/>
        </w:rPr>
        <w:t>(расторжения) или исполнения, в том числе:</w:t>
      </w:r>
      <w:bookmarkEnd w:id="30"/>
      <w:r>
        <w:rPr>
          <w:bCs/>
          <w:sz w:val="24"/>
          <w:szCs w:val="24"/>
          <w:shd w:fill="FFFFFF" w:val="clear"/>
        </w:rPr>
        <w:t xml:space="preserve"> </w:t>
      </w:r>
    </w:p>
    <w:p>
      <w:pPr>
        <w:pStyle w:val="ListParagraph"/>
        <w:numPr>
          <w:ilvl w:val="2"/>
          <w:numId w:val="1"/>
        </w:numPr>
        <w:shd w:val="clear" w:color="auto" w:fill="FFFFFF"/>
        <w:tabs>
          <w:tab w:val="left" w:pos="1701" w:leader="none"/>
        </w:tabs>
        <w:ind w:left="0" w:firstLine="709"/>
        <w:jc w:val="both"/>
        <w:rPr>
          <w:highlight w:val="white"/>
        </w:rPr>
      </w:pPr>
      <w:r>
        <w:rPr>
          <w:bCs/>
          <w:sz w:val="24"/>
          <w:szCs w:val="24"/>
          <w:shd w:fill="FFFFFF" w:val="clear"/>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9.6.7 Договора;</w:t>
      </w:r>
    </w:p>
    <w:p>
      <w:pPr>
        <w:pStyle w:val="ListParagraph"/>
        <w:numPr>
          <w:ilvl w:val="2"/>
          <w:numId w:val="1"/>
        </w:numPr>
        <w:shd w:val="clear" w:color="auto" w:fill="FFFFFF"/>
        <w:tabs>
          <w:tab w:val="left" w:pos="1701" w:leader="none"/>
        </w:tabs>
        <w:ind w:left="0" w:firstLine="709"/>
        <w:jc w:val="both"/>
        <w:rPr>
          <w:highlight w:val="white"/>
        </w:rPr>
      </w:pPr>
      <w:r>
        <w:rPr>
          <w:bCs/>
          <w:sz w:val="24"/>
          <w:szCs w:val="24"/>
          <w:shd w:fill="FFFFFF" w:val="clear"/>
        </w:rPr>
        <w:t>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Информации, обычно используемые им меры защиты;</w:t>
      </w:r>
    </w:p>
    <w:p>
      <w:pPr>
        <w:pStyle w:val="ListParagraph"/>
        <w:numPr>
          <w:ilvl w:val="2"/>
          <w:numId w:val="1"/>
        </w:numPr>
        <w:shd w:val="clear" w:color="auto" w:fill="FFFFFF"/>
        <w:tabs>
          <w:tab w:val="left" w:pos="1701" w:leader="none"/>
        </w:tabs>
        <w:ind w:left="0" w:firstLine="709"/>
        <w:jc w:val="both"/>
        <w:rPr>
          <w:highlight w:val="white"/>
        </w:rPr>
      </w:pPr>
      <w:r>
        <w:rPr>
          <w:bCs/>
          <w:sz w:val="24"/>
          <w:szCs w:val="24"/>
          <w:shd w:fill="FFFFFF" w:val="clear"/>
        </w:rPr>
        <w:t xml:space="preserve">использовать Информацию исключительно для целей, для которых она была предоставлена; </w:t>
      </w:r>
    </w:p>
    <w:p>
      <w:pPr>
        <w:pStyle w:val="ListParagraph"/>
        <w:numPr>
          <w:ilvl w:val="2"/>
          <w:numId w:val="1"/>
        </w:numPr>
        <w:shd w:val="clear" w:color="auto" w:fill="FFFFFF"/>
        <w:tabs>
          <w:tab w:val="left" w:pos="1701" w:leader="none"/>
        </w:tabs>
        <w:ind w:left="0" w:firstLine="709"/>
        <w:jc w:val="both"/>
        <w:rPr>
          <w:highlight w:val="white"/>
        </w:rPr>
      </w:pPr>
      <w:r>
        <w:rPr>
          <w:bCs/>
          <w:sz w:val="24"/>
          <w:szCs w:val="24"/>
          <w:shd w:fill="FFFFFF" w:val="clear"/>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
        </w:numPr>
        <w:shd w:val="clear" w:color="auto" w:fill="FFFFFF"/>
        <w:tabs>
          <w:tab w:val="left" w:pos="1701" w:leader="none"/>
        </w:tabs>
        <w:ind w:left="0" w:firstLine="709"/>
        <w:jc w:val="both"/>
        <w:rPr>
          <w:highlight w:val="white"/>
        </w:rPr>
      </w:pPr>
      <w:r>
        <w:rPr>
          <w:bCs/>
          <w:sz w:val="24"/>
          <w:szCs w:val="24"/>
          <w:shd w:fill="FFFFFF" w:val="clear"/>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
        </w:numPr>
        <w:shd w:val="clear" w:color="auto" w:fill="FFFFFF"/>
        <w:tabs>
          <w:tab w:val="left" w:pos="1701" w:leader="none"/>
        </w:tabs>
        <w:ind w:left="0" w:firstLine="709"/>
        <w:jc w:val="both"/>
        <w:rPr>
          <w:highlight w:val="white"/>
        </w:rPr>
      </w:pPr>
      <w:r>
        <w:rPr>
          <w:bCs/>
          <w:sz w:val="24"/>
          <w:szCs w:val="24"/>
          <w:shd w:fill="FFFFFF" w:val="clear"/>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
        </w:numPr>
        <w:shd w:val="clear" w:color="auto" w:fill="FFFFFF"/>
        <w:tabs>
          <w:tab w:val="left" w:pos="1701" w:leader="none"/>
        </w:tabs>
        <w:ind w:left="0" w:firstLine="709"/>
        <w:jc w:val="both"/>
        <w:rPr>
          <w:highlight w:val="white"/>
        </w:rPr>
      </w:pPr>
      <w:bookmarkStart w:id="31" w:name="_Ref361337832"/>
      <w:bookmarkEnd w:id="31"/>
      <w:r>
        <w:rPr>
          <w:bCs/>
          <w:sz w:val="24"/>
          <w:szCs w:val="24"/>
          <w:shd w:fill="FFFFFF" w:val="clear"/>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ListParagraph"/>
        <w:numPr>
          <w:ilvl w:val="2"/>
          <w:numId w:val="1"/>
        </w:numPr>
        <w:shd w:val="clear" w:color="auto" w:fill="FFFFFF"/>
        <w:tabs>
          <w:tab w:val="left" w:pos="1701" w:leader="none"/>
        </w:tabs>
        <w:ind w:left="0" w:firstLine="709"/>
        <w:jc w:val="both"/>
        <w:rPr>
          <w:highlight w:val="white"/>
        </w:rPr>
      </w:pPr>
      <w:r>
        <w:rPr>
          <w:bCs/>
          <w:sz w:val="24"/>
          <w:szCs w:val="24"/>
          <w:shd w:fill="FFFFFF" w:val="clear"/>
        </w:rPr>
        <w:t>не разглашать третьим лицам факты передачи или получения Информации.</w:t>
      </w:r>
    </w:p>
    <w:p>
      <w:pPr>
        <w:pStyle w:val="ListParagraph"/>
        <w:numPr>
          <w:ilvl w:val="1"/>
          <w:numId w:val="1"/>
        </w:numPr>
        <w:shd w:val="clear" w:color="auto" w:fill="FFFFFF"/>
        <w:tabs>
          <w:tab w:val="left" w:pos="1134" w:leader="none"/>
        </w:tabs>
        <w:ind w:left="0" w:firstLine="709"/>
        <w:jc w:val="both"/>
        <w:rPr>
          <w:highlight w:val="white"/>
        </w:rPr>
      </w:pPr>
      <w:bookmarkStart w:id="32" w:name="_Ref361337863"/>
      <w:bookmarkEnd w:id="32"/>
      <w:r>
        <w:rPr>
          <w:bCs/>
          <w:sz w:val="24"/>
          <w:szCs w:val="24"/>
          <w:shd w:fill="FFFFFF" w:val="clear"/>
        </w:rPr>
        <w:t>Подрядчик,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Подрядчик обязуется обеспечить повторение условий Договора в части соблюдения режима конфиденциальности Информации в договорах, заключаемых с Субподрядчиками.</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pPr>
        <w:pStyle w:val="ListParagraph"/>
        <w:shd w:val="clear" w:color="auto" w:fill="FFFFFF"/>
        <w:tabs>
          <w:tab w:val="left" w:pos="284" w:leader="none"/>
        </w:tabs>
        <w:ind w:left="0" w:hanging="0"/>
        <w:rPr>
          <w:rFonts w:ascii="Times New Roman" w:hAnsi="Times New Roman"/>
          <w:b/>
          <w:b/>
          <w:bCs/>
          <w:sz w:val="24"/>
          <w:szCs w:val="24"/>
          <w:shd w:fill="FFFFFF" w:val="clear"/>
        </w:rPr>
      </w:pPr>
      <w:r>
        <w:rPr>
          <w:b/>
          <w:bCs/>
          <w:sz w:val="24"/>
          <w:szCs w:val="24"/>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z w:val="24"/>
          <w:szCs w:val="24"/>
          <w:shd w:fill="FFFFFF" w:val="clear"/>
        </w:rPr>
        <w:t>Антикоррупционная оговорка</w:t>
      </w:r>
    </w:p>
    <w:p>
      <w:pPr>
        <w:pStyle w:val="ListParagraph"/>
        <w:numPr>
          <w:ilvl w:val="1"/>
          <w:numId w:val="1"/>
        </w:numPr>
        <w:shd w:val="clear" w:color="auto" w:fill="FFFFFF"/>
        <w:tabs>
          <w:tab w:val="left" w:pos="1418" w:leader="none"/>
        </w:tabs>
        <w:ind w:left="0" w:firstLine="709"/>
        <w:jc w:val="both"/>
        <w:rPr>
          <w:highlight w:val="white"/>
        </w:rPr>
      </w:pPr>
      <w:r>
        <w:rPr>
          <w:color w:val="000000"/>
          <w:sz w:val="24"/>
          <w:szCs w:val="24"/>
          <w:shd w:fill="FFFFFF" w:val="clear"/>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shd w:fill="FFFFFF" w:val="clear"/>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1"/>
        </w:numPr>
        <w:shd w:val="clear" w:color="auto" w:fill="FFFFFF"/>
        <w:tabs>
          <w:tab w:val="left" w:pos="1418" w:leader="none"/>
        </w:tabs>
        <w:ind w:left="0" w:firstLine="709"/>
        <w:jc w:val="both"/>
        <w:rPr>
          <w:highlight w:val="white"/>
        </w:rPr>
      </w:pPr>
      <w:r>
        <w:rPr>
          <w:bCs/>
          <w:color w:val="000000"/>
          <w:sz w:val="24"/>
          <w:szCs w:val="24"/>
          <w:shd w:fill="FFFFFF" w:val="clear"/>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1"/>
        </w:numPr>
        <w:shd w:val="clear" w:color="auto" w:fill="FFFFFF"/>
        <w:tabs>
          <w:tab w:val="left" w:pos="1418" w:leader="none"/>
        </w:tabs>
        <w:ind w:left="0" w:firstLine="709"/>
        <w:jc w:val="both"/>
        <w:rPr>
          <w:highlight w:val="white"/>
        </w:rPr>
      </w:pPr>
      <w:r>
        <w:rPr>
          <w:bCs/>
          <w:color w:val="000000"/>
          <w:sz w:val="24"/>
          <w:szCs w:val="24"/>
          <w:shd w:fill="FFFFFF" w:val="clear"/>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1"/>
        </w:numPr>
        <w:shd w:val="clear" w:color="auto" w:fill="FFFFFF"/>
        <w:tabs>
          <w:tab w:val="left" w:pos="1418" w:leader="none"/>
        </w:tabs>
        <w:ind w:left="0" w:firstLine="709"/>
        <w:jc w:val="both"/>
        <w:rPr>
          <w:highlight w:val="white"/>
        </w:rPr>
      </w:pPr>
      <w:r>
        <w:rPr>
          <w:bCs/>
          <w:color w:val="000000"/>
          <w:sz w:val="24"/>
          <w:szCs w:val="24"/>
          <w:shd w:fill="FFFFFF" w:val="clear"/>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1"/>
        </w:numPr>
        <w:shd w:val="clear" w:color="auto" w:fill="FFFFFF"/>
        <w:tabs>
          <w:tab w:val="left" w:pos="1418" w:leader="none"/>
        </w:tabs>
        <w:ind w:left="0" w:firstLine="709"/>
        <w:jc w:val="both"/>
        <w:rPr>
          <w:highlight w:val="white"/>
        </w:rPr>
      </w:pPr>
      <w:r>
        <w:rPr>
          <w:bCs/>
          <w:color w:val="000000"/>
          <w:sz w:val="24"/>
          <w:szCs w:val="24"/>
          <w:shd w:fill="FFFFFF" w:val="clear"/>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1"/>
        </w:numPr>
        <w:shd w:val="clear" w:color="auto" w:fill="FFFFFF"/>
        <w:tabs>
          <w:tab w:val="left" w:pos="1418" w:leader="none"/>
        </w:tabs>
        <w:ind w:left="0" w:firstLine="709"/>
        <w:jc w:val="both"/>
        <w:rPr>
          <w:highlight w:val="white"/>
        </w:rPr>
      </w:pPr>
      <w:r>
        <w:rPr>
          <w:bCs/>
          <w:color w:val="000000"/>
          <w:sz w:val="24"/>
          <w:szCs w:val="24"/>
          <w:shd w:fill="FFFFFF" w:val="clear"/>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1"/>
        </w:numPr>
        <w:shd w:val="clear" w:color="auto" w:fill="FFFFFF"/>
        <w:tabs>
          <w:tab w:val="left" w:pos="567" w:leader="none"/>
          <w:tab w:val="left" w:pos="1418" w:leader="none"/>
        </w:tabs>
        <w:ind w:left="0" w:firstLine="709"/>
        <w:jc w:val="both"/>
        <w:rPr>
          <w:highlight w:val="white"/>
        </w:rPr>
      </w:pPr>
      <w:r>
        <w:rPr>
          <w:color w:val="000000"/>
          <w:sz w:val="24"/>
          <w:szCs w:val="24"/>
          <w:shd w:fill="FFFFFF" w:val="clear"/>
        </w:rPr>
        <w:t xml:space="preserve">Каналы связи Линия доверия Группы РусГидро: </w:t>
      </w:r>
    </w:p>
    <w:p>
      <w:pPr>
        <w:pStyle w:val="ListParagraph"/>
        <w:widowControl w:val="false"/>
        <w:numPr>
          <w:ilvl w:val="2"/>
          <w:numId w:val="1"/>
        </w:numPr>
        <w:shd w:val="clear" w:color="auto" w:fill="FFFFFF"/>
        <w:tabs>
          <w:tab w:val="left" w:pos="567" w:leader="none"/>
          <w:tab w:val="left" w:pos="1418" w:leader="none"/>
        </w:tabs>
        <w:ind w:left="0" w:firstLine="709"/>
        <w:jc w:val="both"/>
        <w:rPr>
          <w:highlight w:val="white"/>
        </w:rPr>
      </w:pPr>
      <w:r>
        <w:rPr>
          <w:sz w:val="24"/>
          <w:szCs w:val="24"/>
          <w:shd w:fill="FFFFFF" w:val="clear"/>
        </w:rPr>
        <w:t>Электронная почта: ld@rushydro.ru.</w:t>
      </w:r>
    </w:p>
    <w:p>
      <w:pPr>
        <w:pStyle w:val="ListParagraph"/>
        <w:widowControl w:val="false"/>
        <w:numPr>
          <w:ilvl w:val="2"/>
          <w:numId w:val="1"/>
        </w:numPr>
        <w:shd w:val="clear" w:color="auto" w:fill="FFFFFF"/>
        <w:tabs>
          <w:tab w:val="left" w:pos="567" w:leader="none"/>
          <w:tab w:val="left" w:pos="1418" w:leader="none"/>
        </w:tabs>
        <w:ind w:left="0" w:firstLine="709"/>
        <w:jc w:val="both"/>
        <w:rPr>
          <w:highlight w:val="white"/>
        </w:rPr>
      </w:pPr>
      <w:r>
        <w:rPr>
          <w:sz w:val="24"/>
          <w:szCs w:val="24"/>
          <w:shd w:fill="FFFFFF" w:val="clear"/>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numPr>
          <w:ilvl w:val="2"/>
          <w:numId w:val="1"/>
        </w:numPr>
        <w:tabs>
          <w:tab w:val="left" w:pos="1418" w:leader="none"/>
        </w:tabs>
        <w:spacing w:lineRule="auto" w:line="259" w:before="0" w:after="160"/>
        <w:ind w:left="0" w:firstLine="709"/>
        <w:contextualSpacing/>
        <w:jc w:val="both"/>
        <w:rPr>
          <w:highlight w:val="white"/>
        </w:rPr>
      </w:pPr>
      <w:r>
        <w:rPr>
          <w:sz w:val="24"/>
          <w:szCs w:val="24"/>
          <w:shd w:fill="FFFFFF" w:val="clear"/>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spacing w:lineRule="auto" w:line="240"/>
        <w:ind w:hanging="0"/>
        <w:rPr>
          <w:rFonts w:ascii="Times New Roman" w:hAnsi="Times New Roman"/>
          <w:b/>
          <w:b/>
          <w:sz w:val="24"/>
          <w:szCs w:val="24"/>
          <w:shd w:fill="FFFFFF" w:val="clear"/>
        </w:rPr>
      </w:pPr>
      <w:r>
        <w:rPr>
          <w:b/>
          <w:sz w:val="24"/>
          <w:szCs w:val="24"/>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z w:val="24"/>
          <w:szCs w:val="24"/>
          <w:shd w:fill="FFFFFF" w:val="clear"/>
        </w:rPr>
        <w:t>Обстоятельства непреодолимой силы (форс-мажор)</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
        </w:numPr>
        <w:shd w:val="clear" w:color="auto" w:fill="FFFFFF"/>
        <w:tabs>
          <w:tab w:val="left" w:pos="1134" w:leader="none"/>
        </w:tabs>
        <w:ind w:left="0" w:firstLine="709"/>
        <w:jc w:val="both"/>
        <w:rPr>
          <w:highlight w:val="white"/>
        </w:rPr>
      </w:pPr>
      <w:r>
        <w:rPr>
          <w:sz w:val="24"/>
          <w:szCs w:val="24"/>
          <w:shd w:fill="FFFFFF" w:val="clea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r>
        <w:rPr>
          <w:bCs/>
          <w:sz w:val="24"/>
          <w:szCs w:val="24"/>
          <w:shd w:fill="FFFFFF" w:val="clear"/>
        </w:rPr>
        <w:t>.</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
        </w:numPr>
        <w:shd w:val="clear" w:color="auto" w:fill="FFFFFF"/>
        <w:tabs>
          <w:tab w:val="left" w:pos="568" w:leader="none"/>
        </w:tabs>
        <w:ind w:left="0" w:firstLine="709"/>
        <w:jc w:val="both"/>
        <w:rPr>
          <w:highlight w:val="white"/>
        </w:rPr>
      </w:pPr>
      <w:r>
        <w:rPr>
          <w:bCs/>
          <w:sz w:val="24"/>
          <w:szCs w:val="24"/>
          <w:shd w:fill="FFFFFF" w:val="clear"/>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left" w:pos="568" w:leader="none"/>
        </w:tabs>
        <w:ind w:left="0" w:firstLine="709"/>
        <w:jc w:val="both"/>
        <w:rPr>
          <w:highlight w:val="white"/>
        </w:rPr>
      </w:pPr>
      <w:r>
        <w:rPr>
          <w:bCs/>
          <w:sz w:val="24"/>
          <w:szCs w:val="24"/>
          <w:shd w:fill="FFFFFF" w:val="clear"/>
        </w:rPr>
        <w:t>При этом любая из Сторон вправе отказаться от исполнения Договора в одностороннем внесудебном порядке.</w:t>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z w:val="24"/>
          <w:szCs w:val="24"/>
          <w:shd w:fill="FFFFFF" w:val="clear"/>
        </w:rPr>
        <w:t>Особые положения</w:t>
      </w:r>
    </w:p>
    <w:p>
      <w:pPr>
        <w:pStyle w:val="ListParagraph"/>
        <w:numPr>
          <w:ilvl w:val="1"/>
          <w:numId w:val="1"/>
        </w:numPr>
        <w:shd w:val="clear" w:color="auto" w:fill="FFFFFF"/>
        <w:tabs>
          <w:tab w:val="left" w:pos="1134" w:leader="none"/>
        </w:tabs>
        <w:ind w:left="0" w:firstLine="709"/>
        <w:jc w:val="both"/>
        <w:rPr>
          <w:highlight w:val="white"/>
        </w:rPr>
      </w:pPr>
      <w:bookmarkStart w:id="33" w:name="_Ref361337900"/>
      <w:r>
        <w:rPr>
          <w:bCs/>
          <w:sz w:val="24"/>
          <w:szCs w:val="24"/>
          <w:shd w:fill="FFFFFF" w:val="clear"/>
        </w:rPr>
        <w:t>Подрядчик обязуется не привлекать и не допускать привлечения к исполнению обязательств по Договору организации:</w:t>
      </w:r>
    </w:p>
    <w:p>
      <w:pPr>
        <w:pStyle w:val="ListParagraph"/>
        <w:numPr>
          <w:ilvl w:val="1"/>
          <w:numId w:val="9"/>
        </w:numPr>
        <w:shd w:val="clear" w:color="auto" w:fill="FFFFFF"/>
        <w:tabs>
          <w:tab w:val="left" w:pos="1134" w:leader="none"/>
        </w:tabs>
        <w:ind w:left="0" w:firstLine="709"/>
        <w:jc w:val="both"/>
        <w:rPr/>
      </w:pPr>
      <w:r>
        <w:rPr>
          <w:bCs/>
          <w:sz w:val="24"/>
          <w:szCs w:val="24"/>
          <w:shd w:fill="FFFFFF" w:val="clear"/>
        </w:rPr>
        <w:t xml:space="preserve"> </w:t>
      </w:r>
      <w:r>
        <w:rPr>
          <w:bCs/>
          <w:sz w:val="24"/>
          <w:szCs w:val="24"/>
          <w:shd w:fill="FFFFFF" w:val="clear"/>
        </w:rPr>
        <w:t>имею</w:t>
      </w:r>
      <w:r>
        <w:rPr>
          <w:bCs/>
          <w:color w:val="000000"/>
          <w:sz w:val="24"/>
          <w:szCs w:val="24"/>
          <w:u w:val="none"/>
          <w:shd w:fill="FFFFFF" w:val="clear"/>
        </w:rPr>
        <w:t xml:space="preserve">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Style w:val="Style20"/>
            <w:bCs/>
            <w:color w:val="000000"/>
            <w:sz w:val="24"/>
            <w:szCs w:val="24"/>
            <w:highlight w:val="white"/>
            <w:u w:val="none"/>
          </w:rPr>
          <w:t>№ 18162/09</w:t>
        </w:r>
      </w:hyperlink>
      <w:r>
        <w:rPr>
          <w:bCs/>
          <w:color w:val="000000"/>
          <w:sz w:val="24"/>
          <w:szCs w:val="24"/>
          <w:u w:val="none"/>
          <w:shd w:fill="FFFFFF" w:val="clear"/>
        </w:rPr>
        <w:t xml:space="preserve"> и от 25.05.2010 </w:t>
      </w:r>
      <w:hyperlink r:id="rId3">
        <w:r>
          <w:rPr>
            <w:rStyle w:val="Style20"/>
            <w:bCs/>
            <w:color w:val="000000"/>
            <w:sz w:val="24"/>
            <w:szCs w:val="24"/>
            <w:highlight w:val="white"/>
            <w:u w:val="none"/>
          </w:rPr>
          <w:t>№ 15658/09</w:t>
        </w:r>
      </w:hyperlink>
      <w:r>
        <w:rPr>
          <w:bCs/>
          <w:color w:val="000000"/>
          <w:sz w:val="24"/>
          <w:szCs w:val="24"/>
          <w:u w:val="none"/>
          <w:shd w:fill="FFFFFF" w:val="clear"/>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9"/>
        </w:numPr>
        <w:shd w:val="clear" w:color="auto" w:fill="FFFFFF"/>
        <w:tabs>
          <w:tab w:val="left" w:pos="1134" w:leader="none"/>
        </w:tabs>
        <w:ind w:left="0" w:firstLine="709"/>
        <w:jc w:val="both"/>
        <w:rPr/>
      </w:pPr>
      <w:r>
        <w:rPr>
          <w:bCs/>
          <w:color w:val="000000"/>
          <w:sz w:val="24"/>
          <w:szCs w:val="24"/>
          <w:u w:val="none"/>
          <w:shd w:fill="FFFFFF" w:val="clear"/>
        </w:rPr>
        <w:t xml:space="preserve">соответствующие </w:t>
      </w:r>
      <w:hyperlink r:id="rId4">
        <w:r>
          <w:rPr>
            <w:rStyle w:val="Style20"/>
            <w:bCs/>
            <w:color w:val="000000"/>
            <w:sz w:val="24"/>
            <w:szCs w:val="24"/>
            <w:highlight w:val="white"/>
            <w:u w:val="none"/>
          </w:rPr>
          <w:t>Критери</w:t>
        </w:r>
      </w:hyperlink>
      <w:bookmarkEnd w:id="33"/>
      <w:r>
        <w:rPr>
          <w:bCs/>
          <w:color w:val="000000"/>
          <w:sz w:val="24"/>
          <w:szCs w:val="24"/>
          <w:u w:val="none"/>
          <w:shd w:fill="FFFFFF" w:val="clear"/>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1"/>
        </w:numPr>
        <w:shd w:val="clear" w:color="auto" w:fill="FFFFFF"/>
        <w:tabs>
          <w:tab w:val="left" w:pos="1134" w:leader="none"/>
        </w:tabs>
        <w:ind w:left="0" w:firstLine="709"/>
        <w:jc w:val="both"/>
        <w:rPr>
          <w:highlight w:val="white"/>
        </w:rPr>
      </w:pPr>
      <w:bookmarkStart w:id="34" w:name="_Ref361337921"/>
      <w:bookmarkEnd w:id="34"/>
      <w:r>
        <w:rPr>
          <w:bCs/>
          <w:color w:val="000000"/>
          <w:sz w:val="24"/>
          <w:szCs w:val="24"/>
          <w:u w:val="none"/>
          <w:shd w:fill="FFFFFF" w:val="clear"/>
        </w:rPr>
        <w:t>Подрядчик обязуется незамедлительно уведомить Заказчика о появлении в ходе исполнения Договора у привлеченных Подрядчиком Субподрядчиков признаков недобросовестности, указанных в пункте 12.1 Договора, а так</w:t>
      </w:r>
      <w:r>
        <w:rPr>
          <w:bCs/>
          <w:sz w:val="24"/>
          <w:szCs w:val="24"/>
          <w:shd w:fill="FFFFFF" w:val="clear"/>
        </w:rPr>
        <w:t>же обеспечить прекращение участия таких организаций в исполнении Договора.</w:t>
      </w:r>
    </w:p>
    <w:p>
      <w:pPr>
        <w:pStyle w:val="ListParagraph"/>
        <w:numPr>
          <w:ilvl w:val="1"/>
          <w:numId w:val="1"/>
        </w:numPr>
        <w:shd w:val="clear" w:color="auto" w:fill="FFFFFF"/>
        <w:tabs>
          <w:tab w:val="left" w:pos="1134" w:leader="none"/>
        </w:tabs>
        <w:ind w:left="0" w:firstLine="709"/>
        <w:jc w:val="both"/>
        <w:rPr>
          <w:highlight w:val="white"/>
        </w:rPr>
      </w:pPr>
      <w:bookmarkStart w:id="35" w:name="_Ref361337948"/>
      <w:bookmarkEnd w:id="35"/>
      <w:r>
        <w:rPr>
          <w:bCs/>
          <w:sz w:val="24"/>
          <w:szCs w:val="24"/>
          <w:shd w:fill="FFFFFF" w:val="clear"/>
        </w:rPr>
        <w:t>В случае нарушения Подрядчиком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p>
    <w:p>
      <w:pPr>
        <w:pStyle w:val="ListParagraph"/>
        <w:numPr>
          <w:ilvl w:val="1"/>
          <w:numId w:val="1"/>
        </w:numPr>
        <w:shd w:val="clear" w:color="auto" w:fill="FFFFFF"/>
        <w:tabs>
          <w:tab w:val="left" w:pos="1134" w:leader="none"/>
        </w:tabs>
        <w:ind w:left="0" w:firstLine="709"/>
        <w:jc w:val="both"/>
        <w:rPr>
          <w:highlight w:val="white"/>
        </w:rPr>
      </w:pPr>
      <w:bookmarkStart w:id="36" w:name="_Ref361337980"/>
      <w:bookmarkEnd w:id="36"/>
      <w:r>
        <w:rPr>
          <w:bCs/>
          <w:sz w:val="24"/>
          <w:szCs w:val="24"/>
          <w:shd w:fill="FFFFFF" w:val="clear"/>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1"/>
        </w:numPr>
        <w:shd w:val="clear" w:color="auto" w:fill="FFFFFF"/>
        <w:tabs>
          <w:tab w:val="left" w:pos="1134" w:leader="none"/>
        </w:tabs>
        <w:ind w:left="0" w:firstLine="709"/>
        <w:jc w:val="both"/>
        <w:rPr>
          <w:highlight w:val="white"/>
        </w:rPr>
      </w:pPr>
      <w:bookmarkStart w:id="37" w:name="_Ref373243071"/>
      <w:bookmarkEnd w:id="37"/>
      <w:r>
        <w:rPr>
          <w:bCs/>
          <w:sz w:val="24"/>
          <w:szCs w:val="24"/>
          <w:shd w:fill="FFFFFF" w:val="clear"/>
        </w:rPr>
        <w:t>Штраф, предусмотренный пунктом 12.4 Договора, оплачивается Подрядчиком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p>
    <w:p>
      <w:pPr>
        <w:pStyle w:val="ListParagraph"/>
        <w:numPr>
          <w:ilvl w:val="1"/>
          <w:numId w:val="1"/>
        </w:numPr>
        <w:shd w:val="clear" w:color="auto" w:fill="FFFFFF"/>
        <w:tabs>
          <w:tab w:val="left" w:pos="1134" w:leader="none"/>
        </w:tabs>
        <w:ind w:left="0" w:firstLine="709"/>
        <w:jc w:val="both"/>
        <w:rPr>
          <w:highlight w:val="white"/>
        </w:rPr>
      </w:pPr>
      <w:bookmarkStart w:id="38" w:name="_Ref361337992"/>
      <w:bookmarkEnd w:id="38"/>
      <w:r>
        <w:rPr>
          <w:bCs/>
          <w:sz w:val="24"/>
          <w:szCs w:val="24"/>
          <w:shd w:fill="FFFFFF" w:val="clear"/>
        </w:rPr>
        <w:t>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1"/>
        </w:numPr>
        <w:shd w:val="clear" w:color="auto" w:fill="FFFFFF"/>
        <w:tabs>
          <w:tab w:val="left" w:pos="1134" w:leader="none"/>
        </w:tabs>
        <w:ind w:left="0" w:firstLine="709"/>
        <w:jc w:val="both"/>
        <w:rPr>
          <w:highlight w:val="white"/>
        </w:rPr>
      </w:pPr>
      <w:r>
        <w:rPr>
          <w:bCs/>
          <w:sz w:val="24"/>
          <w:szCs w:val="24"/>
          <w:shd w:fill="FFFFFF" w:val="clear"/>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left" w:pos="567" w:leader="none"/>
        </w:tabs>
        <w:ind w:left="0" w:hanging="0"/>
        <w:jc w:val="both"/>
        <w:rPr>
          <w:rFonts w:ascii="Times New Roman" w:hAnsi="Times New Roman"/>
          <w:bCs/>
          <w:sz w:val="24"/>
          <w:szCs w:val="24"/>
          <w:shd w:fill="FFFFFF" w:val="clear"/>
        </w:rPr>
      </w:pPr>
      <w:r>
        <w:rPr>
          <w:bCs/>
          <w:sz w:val="24"/>
          <w:szCs w:val="24"/>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z w:val="24"/>
          <w:szCs w:val="24"/>
          <w:shd w:fill="FFFFFF" w:val="clear"/>
        </w:rPr>
        <w:t>Заверения</w:t>
      </w:r>
      <w:r>
        <w:rPr>
          <w:b/>
          <w:sz w:val="24"/>
          <w:szCs w:val="24"/>
          <w:shd w:fill="FFFFFF" w:val="clear"/>
        </w:rPr>
        <w:t xml:space="preserve"> Сторон</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bCs/>
          <w:sz w:val="24"/>
          <w:szCs w:val="24"/>
          <w:shd w:fill="FFFFFF" w:val="clear"/>
        </w:rPr>
        <w:t>Каждая</w:t>
      </w:r>
      <w:r>
        <w:rPr>
          <w:sz w:val="24"/>
          <w:szCs w:val="24"/>
          <w:shd w:fill="FFFFFF" w:val="clear"/>
        </w:rPr>
        <w:t xml:space="preserve"> из Сторон заявляет и подтверждает другой Стороне, что: </w:t>
      </w:r>
    </w:p>
    <w:p>
      <w:pPr>
        <w:pStyle w:val="ListParagraph"/>
        <w:numPr>
          <w:ilvl w:val="0"/>
          <w:numId w:val="6"/>
        </w:numPr>
        <w:shd w:val="clear" w:color="auto" w:fill="FFFFFF"/>
        <w:tabs>
          <w:tab w:val="left" w:pos="709" w:leader="none"/>
          <w:tab w:val="left" w:pos="1418" w:leader="none"/>
        </w:tabs>
        <w:ind w:left="0" w:firstLine="709"/>
        <w:jc w:val="both"/>
        <w:rPr>
          <w:highlight w:val="white"/>
        </w:rPr>
      </w:pPr>
      <w:r>
        <w:rPr>
          <w:sz w:val="24"/>
          <w:szCs w:val="24"/>
          <w:shd w:fill="FFFFFF" w:val="clea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6"/>
        </w:numPr>
        <w:shd w:val="clear" w:color="auto" w:fill="FFFFFF"/>
        <w:tabs>
          <w:tab w:val="left" w:pos="709" w:leader="none"/>
          <w:tab w:val="left" w:pos="1418" w:leader="none"/>
        </w:tabs>
        <w:ind w:left="0" w:firstLine="709"/>
        <w:jc w:val="both"/>
        <w:rPr>
          <w:highlight w:val="white"/>
        </w:rPr>
      </w:pPr>
      <w:r>
        <w:rPr>
          <w:sz w:val="24"/>
          <w:szCs w:val="24"/>
          <w:shd w:fill="FFFFFF" w:val="clea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6"/>
        </w:numPr>
        <w:shd w:val="clear" w:color="auto" w:fill="FFFFFF"/>
        <w:tabs>
          <w:tab w:val="left" w:pos="709" w:leader="none"/>
          <w:tab w:val="left" w:pos="1418" w:leader="none"/>
        </w:tabs>
        <w:ind w:left="0" w:firstLine="709"/>
        <w:jc w:val="both"/>
        <w:rPr>
          <w:highlight w:val="white"/>
        </w:rPr>
      </w:pPr>
      <w:r>
        <w:rPr>
          <w:sz w:val="24"/>
          <w:szCs w:val="24"/>
          <w:shd w:fill="FFFFFF" w:val="clea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6"/>
        </w:numPr>
        <w:shd w:val="clear" w:color="auto" w:fill="FFFFFF"/>
        <w:tabs>
          <w:tab w:val="left" w:pos="709" w:leader="none"/>
          <w:tab w:val="left" w:pos="1418" w:leader="none"/>
        </w:tabs>
        <w:ind w:left="0" w:firstLine="709"/>
        <w:jc w:val="both"/>
        <w:rPr>
          <w:highlight w:val="white"/>
        </w:rPr>
      </w:pPr>
      <w:r>
        <w:rPr>
          <w:sz w:val="24"/>
          <w:szCs w:val="24"/>
          <w:shd w:fill="FFFFFF" w:val="clear"/>
        </w:rPr>
        <w:t>лица, подписывающие от имени Сторон Договор, надлежащим образом уполномочены на его подписание;</w:t>
      </w:r>
    </w:p>
    <w:p>
      <w:pPr>
        <w:pStyle w:val="ListParagraph"/>
        <w:numPr>
          <w:ilvl w:val="0"/>
          <w:numId w:val="6"/>
        </w:numPr>
        <w:shd w:val="clear" w:color="auto" w:fill="FFFFFF"/>
        <w:tabs>
          <w:tab w:val="left" w:pos="709" w:leader="none"/>
          <w:tab w:val="left" w:pos="1418" w:leader="none"/>
        </w:tabs>
        <w:ind w:left="0" w:firstLine="709"/>
        <w:jc w:val="both"/>
        <w:rPr>
          <w:highlight w:val="white"/>
        </w:rPr>
      </w:pPr>
      <w:r>
        <w:rPr>
          <w:sz w:val="24"/>
          <w:szCs w:val="24"/>
          <w:shd w:fill="FFFFFF" w:val="clea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sz w:val="24"/>
          <w:szCs w:val="24"/>
          <w:shd w:fill="FFFFFF" w:val="clear"/>
        </w:rPr>
        <w:t>Подрядчик заявляет и заверяет Заказчика в том, что на момент заключения Договора:</w:t>
      </w:r>
    </w:p>
    <w:p>
      <w:pPr>
        <w:pStyle w:val="ListParagraph"/>
        <w:numPr>
          <w:ilvl w:val="0"/>
          <w:numId w:val="8"/>
        </w:numPr>
        <w:shd w:val="clear" w:color="auto" w:fill="FFFFFF"/>
        <w:tabs>
          <w:tab w:val="left" w:pos="709" w:leader="none"/>
          <w:tab w:val="left" w:pos="1418" w:leader="none"/>
        </w:tabs>
        <w:ind w:left="0" w:firstLine="709"/>
        <w:jc w:val="both"/>
        <w:rPr>
          <w:highlight w:val="white"/>
        </w:rPr>
      </w:pPr>
      <w:r>
        <w:rPr>
          <w:sz w:val="24"/>
          <w:szCs w:val="24"/>
          <w:shd w:fill="FFFFFF" w:val="clear"/>
        </w:rPr>
        <w:t>учредителем / учредителями Подрядчика являются лица, не являющиеся массовыми учредителем / учредителями;</w:t>
      </w:r>
    </w:p>
    <w:p>
      <w:pPr>
        <w:pStyle w:val="ListParagraph"/>
        <w:numPr>
          <w:ilvl w:val="0"/>
          <w:numId w:val="8"/>
        </w:numPr>
        <w:shd w:val="clear" w:color="auto" w:fill="FFFFFF"/>
        <w:tabs>
          <w:tab w:val="left" w:pos="709" w:leader="none"/>
          <w:tab w:val="left" w:pos="1418" w:leader="none"/>
        </w:tabs>
        <w:ind w:left="0" w:firstLine="709"/>
        <w:jc w:val="both"/>
        <w:rPr>
          <w:highlight w:val="white"/>
        </w:rPr>
      </w:pPr>
      <w:r>
        <w:rPr>
          <w:sz w:val="24"/>
          <w:szCs w:val="24"/>
          <w:shd w:fill="FFFFFF" w:val="clear"/>
        </w:rPr>
        <w:t>руководителем Подрядчика является лицо, не являющееся массовым руководителем;</w:t>
      </w:r>
    </w:p>
    <w:p>
      <w:pPr>
        <w:pStyle w:val="ListParagraph"/>
        <w:numPr>
          <w:ilvl w:val="0"/>
          <w:numId w:val="8"/>
        </w:numPr>
        <w:shd w:val="clear" w:color="auto" w:fill="FFFFFF"/>
        <w:tabs>
          <w:tab w:val="left" w:pos="709" w:leader="none"/>
          <w:tab w:val="left" w:pos="1418" w:leader="none"/>
        </w:tabs>
        <w:ind w:left="0" w:firstLine="709"/>
        <w:jc w:val="both"/>
        <w:rPr>
          <w:highlight w:val="white"/>
        </w:rPr>
      </w:pPr>
      <w:r>
        <w:rPr>
          <w:sz w:val="24"/>
          <w:szCs w:val="24"/>
          <w:shd w:fill="FFFFFF" w:val="clear"/>
        </w:rPr>
        <w:t xml:space="preserve">Подрядчик фактически находится по адресу, указанному в Едином государственном реестре юридических лиц; </w:t>
      </w:r>
    </w:p>
    <w:p>
      <w:pPr>
        <w:pStyle w:val="ListParagraph"/>
        <w:numPr>
          <w:ilvl w:val="0"/>
          <w:numId w:val="8"/>
        </w:numPr>
        <w:shd w:val="clear" w:color="auto" w:fill="FFFFFF"/>
        <w:tabs>
          <w:tab w:val="left" w:pos="709" w:leader="none"/>
          <w:tab w:val="left" w:pos="1418" w:leader="none"/>
        </w:tabs>
        <w:ind w:left="0" w:firstLine="709"/>
        <w:jc w:val="both"/>
        <w:rPr>
          <w:highlight w:val="white"/>
        </w:rPr>
      </w:pPr>
      <w:r>
        <w:rPr>
          <w:sz w:val="24"/>
          <w:szCs w:val="24"/>
          <w:shd w:fill="FFFFFF" w:val="clear"/>
        </w:rPr>
        <w:t>Подрядчик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z w:val="24"/>
          <w:szCs w:val="24"/>
          <w:shd w:fill="FFFFFF" w:val="clear"/>
        </w:rPr>
        <w:t>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Договору или в связи с ним;</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z w:val="24"/>
          <w:szCs w:val="24"/>
          <w:shd w:fill="FFFFFF" w:val="clear"/>
        </w:rPr>
        <w:t>Подрядчик состоит в СРО, основанной на членстве лиц, выполняющих инженерные изыскания / осуществляющих подготовку проектной документации</w:t>
      </w:r>
      <w:r>
        <w:rPr>
          <w:rStyle w:val="Style12"/>
          <w:sz w:val="24"/>
          <w:szCs w:val="24"/>
          <w:shd w:fill="FFFFFF" w:val="clear"/>
        </w:rPr>
        <w:footnoteReference w:id="12"/>
      </w:r>
      <w:r>
        <w:rPr>
          <w:sz w:val="24"/>
          <w:szCs w:val="24"/>
          <w:shd w:fill="FFFFFF" w:val="clear"/>
        </w:rPr>
        <w:t>;</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z w:val="24"/>
          <w:szCs w:val="24"/>
          <w:shd w:fill="FFFFFF" w:val="clear"/>
        </w:rPr>
        <w:t>Подрядчик имеет в штате по основному месту работы не менее 2 (двух) специалистов по организации инженерных изысканий / архитектурно-строительного проектирования, сведения о которых включены в Национальный реестр специалистов в области инженерных изысканий и архитектурно-строительного проектирования</w:t>
      </w:r>
      <w:r>
        <w:rPr>
          <w:rStyle w:val="Style12"/>
          <w:sz w:val="24"/>
          <w:szCs w:val="24"/>
          <w:shd w:fill="FFFFFF" w:val="clear"/>
        </w:rPr>
        <w:footnoteReference w:id="13"/>
      </w:r>
      <w:r>
        <w:rPr>
          <w:sz w:val="24"/>
          <w:szCs w:val="24"/>
          <w:shd w:fill="FFFFFF" w:val="clear"/>
        </w:rPr>
        <w:t>;</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z w:val="24"/>
          <w:szCs w:val="24"/>
          <w:shd w:fill="FFFFFF" w:val="clear"/>
        </w:rP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z w:val="24"/>
          <w:szCs w:val="24"/>
          <w:shd w:fill="FFFFFF" w:val="clear"/>
        </w:rPr>
        <w:t xml:space="preserve">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 </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z w:val="24"/>
          <w:szCs w:val="24"/>
          <w:shd w:fill="FFFFFF" w:val="clear"/>
        </w:rP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z w:val="24"/>
          <w:szCs w:val="24"/>
          <w:shd w:fill="FFFFFF" w:val="clear"/>
        </w:rPr>
        <w:t>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z w:val="24"/>
          <w:szCs w:val="24"/>
          <w:shd w:fill="FFFFFF" w:val="clear"/>
        </w:rPr>
        <w:t>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0"/>
          <w:numId w:val="7"/>
        </w:numPr>
        <w:shd w:val="clear" w:color="auto" w:fill="FFFFFF"/>
        <w:tabs>
          <w:tab w:val="left" w:pos="567" w:leader="none"/>
          <w:tab w:val="left" w:pos="1418" w:leader="none"/>
        </w:tabs>
        <w:ind w:left="0" w:firstLine="709"/>
        <w:jc w:val="both"/>
        <w:rPr>
          <w:highlight w:val="white"/>
        </w:rPr>
      </w:pPr>
      <w:r>
        <w:rPr>
          <w:sz w:val="24"/>
          <w:szCs w:val="24"/>
          <w:shd w:fill="FFFFFF" w:val="clear"/>
        </w:rPr>
        <w:t>Подрядчик согласен на многократное применение разработанной им Проектной документации и / или Рабочей документации в качестве типовой проектной документации (проектной документации повторного использования) и (или) Результата Инженерных изысканий, полученных для подготовки такой Проектной документации.</w:t>
      </w:r>
    </w:p>
    <w:p>
      <w:pPr>
        <w:pStyle w:val="Normal"/>
        <w:numPr>
          <w:ilvl w:val="1"/>
          <w:numId w:val="1"/>
        </w:numPr>
        <w:spacing w:lineRule="auto" w:line="240"/>
        <w:ind w:left="0" w:firstLine="709"/>
        <w:rPr>
          <w:highlight w:val="white"/>
        </w:rPr>
      </w:pPr>
      <w:r>
        <w:rPr>
          <w:sz w:val="24"/>
          <w:szCs w:val="24"/>
          <w:shd w:fill="FFFFFF" w:val="clea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sz w:val="24"/>
          <w:szCs w:val="24"/>
          <w:shd w:fill="FFFFFF" w:val="clear"/>
        </w:rPr>
        <w:t xml:space="preserve">В случае, если </w:t>
      </w:r>
      <w:r>
        <w:rPr>
          <w:bCs/>
          <w:sz w:val="24"/>
          <w:szCs w:val="24"/>
          <w:shd w:fill="FFFFFF" w:val="clear"/>
        </w:rPr>
        <w:t>Подрядчик</w:t>
      </w:r>
      <w:r>
        <w:rPr>
          <w:sz w:val="24"/>
          <w:szCs w:val="24"/>
          <w:shd w:fill="FFFFFF" w:val="clear"/>
        </w:rPr>
        <w:t xml:space="preserve">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shd w:fill="FFFFFF" w:val="clear"/>
        </w:rPr>
        <w:t xml:space="preserve">Подрядчик </w:t>
      </w:r>
      <w:r>
        <w:rPr>
          <w:sz w:val="24"/>
          <w:szCs w:val="24"/>
          <w:shd w:fill="FFFFFF" w:val="clear"/>
        </w:rPr>
        <w:t>обязан по письменному требованию Заказчика уплатить последнему штраф в размере 5% (пять процентов) от Цены Договора, указанной в пункте 3.1 Договора.</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sz w:val="24"/>
          <w:szCs w:val="24"/>
          <w:shd w:fill="FFFFFF" w:val="clea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left" w:pos="1134" w:leader="none"/>
          <w:tab w:val="left" w:pos="1418" w:leader="none"/>
        </w:tabs>
        <w:ind w:left="709" w:hanging="0"/>
        <w:jc w:val="both"/>
        <w:rPr>
          <w:rFonts w:ascii="Times New Roman" w:hAnsi="Times New Roman"/>
          <w:b/>
          <w:b/>
          <w:sz w:val="24"/>
          <w:szCs w:val="24"/>
          <w:shd w:fill="FFFFFF" w:val="clear"/>
        </w:rPr>
      </w:pPr>
      <w:r>
        <w:rPr>
          <w:b/>
          <w:sz w:val="24"/>
          <w:szCs w:val="24"/>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z w:val="24"/>
          <w:szCs w:val="24"/>
          <w:shd w:fill="FFFFFF" w:val="clear"/>
        </w:rPr>
        <w:t>П</w:t>
      </w:r>
      <w:r>
        <w:rPr>
          <w:b/>
          <w:sz w:val="24"/>
          <w:szCs w:val="24"/>
          <w:shd w:fill="FFFFFF" w:val="clear"/>
        </w:rPr>
        <w:t>рекращение (расторжение) Договора</w:t>
      </w:r>
    </w:p>
    <w:p>
      <w:pPr>
        <w:pStyle w:val="ListParagraph"/>
        <w:numPr>
          <w:ilvl w:val="1"/>
          <w:numId w:val="1"/>
        </w:numPr>
        <w:shd w:val="clear" w:color="auto" w:fill="FFFFFF"/>
        <w:tabs>
          <w:tab w:val="left" w:pos="1134" w:leader="none"/>
        </w:tabs>
        <w:ind w:left="0" w:firstLine="709"/>
        <w:jc w:val="both"/>
        <w:rPr>
          <w:highlight w:val="white"/>
        </w:rPr>
      </w:pPr>
      <w:r>
        <w:rPr>
          <w:sz w:val="24"/>
          <w:szCs w:val="24"/>
          <w:shd w:fill="FFFFFF" w:val="clear"/>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16.7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
        </w:numPr>
        <w:shd w:val="clear" w:color="auto" w:fill="FFFFFF"/>
        <w:tabs>
          <w:tab w:val="left" w:pos="1134" w:leader="none"/>
        </w:tabs>
        <w:ind w:left="0" w:firstLine="709"/>
        <w:jc w:val="both"/>
        <w:rPr>
          <w:highlight w:val="white"/>
        </w:rPr>
      </w:pPr>
      <w:r>
        <w:rPr>
          <w:sz w:val="24"/>
          <w:szCs w:val="24"/>
          <w:shd w:fill="FFFFFF" w:val="clear"/>
        </w:rPr>
        <w:t xml:space="preserve">Заказчик вправе в любое время до сдачи ему результатов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pPr>
        <w:pStyle w:val="ListParagraph"/>
        <w:shd w:val="clear" w:color="auto" w:fill="FFFFFF"/>
        <w:tabs>
          <w:tab w:val="left" w:pos="1134" w:leader="none"/>
        </w:tabs>
        <w:ind w:left="0" w:firstLine="709"/>
        <w:jc w:val="both"/>
        <w:rPr>
          <w:highlight w:val="white"/>
        </w:rPr>
      </w:pPr>
      <w:r>
        <w:rPr>
          <w:sz w:val="24"/>
          <w:szCs w:val="24"/>
          <w:shd w:fill="FFFFFF" w:val="clear"/>
        </w:rPr>
        <w:t>Возмещение убытков Подрядчика, вызванных отказом от Договора (исполнения Договора), Заказчиком не производится.</w:t>
      </w:r>
    </w:p>
    <w:p>
      <w:pPr>
        <w:pStyle w:val="ListParagraph"/>
        <w:numPr>
          <w:ilvl w:val="1"/>
          <w:numId w:val="1"/>
        </w:numPr>
        <w:shd w:val="clear" w:color="auto" w:fill="FFFFFF"/>
        <w:tabs>
          <w:tab w:val="left" w:pos="1134" w:leader="none"/>
        </w:tabs>
        <w:ind w:left="0" w:firstLine="709"/>
        <w:jc w:val="both"/>
        <w:rPr>
          <w:highlight w:val="white"/>
        </w:rPr>
      </w:pPr>
      <w:r>
        <w:rPr>
          <w:sz w:val="24"/>
          <w:szCs w:val="24"/>
          <w:shd w:fill="FFFFFF" w:val="clear"/>
        </w:rPr>
        <w:t>В случае существенного нарушения Договора Подрядчиком Заказчик вправе 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pPr>
        <w:pStyle w:val="ListParagraph"/>
        <w:shd w:val="clear" w:color="auto" w:fill="FFFFFF"/>
        <w:tabs>
          <w:tab w:val="left" w:pos="1134" w:leader="none"/>
        </w:tabs>
        <w:ind w:left="0" w:firstLine="709"/>
        <w:jc w:val="both"/>
        <w:rPr>
          <w:highlight w:val="white"/>
        </w:rPr>
      </w:pPr>
      <w:r>
        <w:rPr>
          <w:sz w:val="24"/>
          <w:szCs w:val="24"/>
          <w:shd w:fill="FFFFFF" w:val="clear"/>
        </w:rP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
        </w:numPr>
        <w:shd w:val="clear" w:color="auto" w:fill="FFFFFF"/>
        <w:tabs>
          <w:tab w:val="left" w:pos="1134" w:leader="none"/>
        </w:tabs>
        <w:ind w:left="0" w:firstLine="709"/>
        <w:jc w:val="both"/>
        <w:rPr>
          <w:highlight w:val="white"/>
        </w:rPr>
      </w:pPr>
      <w:r>
        <w:rPr>
          <w:sz w:val="24"/>
          <w:szCs w:val="24"/>
          <w:shd w:fill="FFFFFF" w:val="clear"/>
        </w:rPr>
        <w:t>Стороны установили, что существенным нарушением Договора Подрядчиком является:</w:t>
      </w:r>
    </w:p>
    <w:p>
      <w:pPr>
        <w:pStyle w:val="ListParagraph"/>
        <w:numPr>
          <w:ilvl w:val="0"/>
          <w:numId w:val="5"/>
        </w:numPr>
        <w:tabs>
          <w:tab w:val="left" w:pos="1134" w:leader="none"/>
        </w:tabs>
        <w:ind w:left="0" w:right="23" w:firstLine="709"/>
        <w:jc w:val="both"/>
        <w:rPr>
          <w:highlight w:val="white"/>
        </w:rPr>
      </w:pPr>
      <w:r>
        <w:rPr>
          <w:sz w:val="24"/>
          <w:szCs w:val="24"/>
          <w:shd w:fill="FFFFFF" w:val="clear"/>
        </w:rPr>
        <w:t>нарушение Подрядчиком начального и конечного сроков выполнения Работ по Договору, а также промежуточных сроков выполнения Работ, установленных Договором, более чем на 60 (шестьдесят) календарных дне</w:t>
      </w:r>
      <w:bookmarkStart w:id="39" w:name="_GoBack"/>
      <w:bookmarkEnd w:id="39"/>
      <w:r>
        <w:rPr>
          <w:sz w:val="24"/>
          <w:szCs w:val="24"/>
          <w:shd w:fill="FFFFFF" w:val="clear"/>
        </w:rPr>
        <w:t>й</w:t>
      </w:r>
      <w:r>
        <w:rPr>
          <w:rStyle w:val="Style12"/>
          <w:sz w:val="24"/>
          <w:szCs w:val="24"/>
          <w:shd w:fill="FFFFFF" w:val="clear"/>
        </w:rPr>
        <w:footnoteReference w:id="14"/>
      </w:r>
      <w:r>
        <w:rPr>
          <w:sz w:val="24"/>
          <w:szCs w:val="24"/>
          <w:shd w:fill="FFFFFF" w:val="clear"/>
        </w:rPr>
        <w:t xml:space="preserve"> по причинам, не зависящим от Заказчика;</w:t>
      </w:r>
    </w:p>
    <w:p>
      <w:pPr>
        <w:pStyle w:val="ListParagraph"/>
        <w:numPr>
          <w:ilvl w:val="0"/>
          <w:numId w:val="5"/>
        </w:numPr>
        <w:tabs>
          <w:tab w:val="left" w:pos="1134" w:leader="none"/>
        </w:tabs>
        <w:ind w:left="0" w:right="23" w:firstLine="709"/>
        <w:jc w:val="both"/>
        <w:rPr>
          <w:highlight w:val="white"/>
        </w:rPr>
      </w:pPr>
      <w:r>
        <w:rPr>
          <w:sz w:val="24"/>
          <w:szCs w:val="24"/>
          <w:shd w:fill="FFFFFF" w:val="clear"/>
        </w:rPr>
        <w:t>несоблюдение Подрядчиком требований к качеству Работ</w:t>
      </w:r>
      <w:r>
        <w:rPr>
          <w:bCs/>
          <w:sz w:val="24"/>
          <w:szCs w:val="24"/>
          <w:shd w:fill="FFFFFF" w:val="clear"/>
        </w:rPr>
        <w:t>,</w:t>
      </w:r>
      <w:r>
        <w:rPr>
          <w:sz w:val="24"/>
          <w:szCs w:val="24"/>
          <w:shd w:fill="FFFFFF" w:val="clear"/>
        </w:rPr>
        <w:t xml:space="preserve"> если исправление выявленных Заказчиком недостатков, несоответствий Работ влечет нарушение сроков выполнения Работ более чем на 60 (шестьдесят) календарных дней либо такие недостатки являются неустранимыми;</w:t>
      </w:r>
    </w:p>
    <w:p>
      <w:pPr>
        <w:pStyle w:val="ListParagraph"/>
        <w:numPr>
          <w:ilvl w:val="0"/>
          <w:numId w:val="5"/>
        </w:numPr>
        <w:tabs>
          <w:tab w:val="left" w:pos="1134" w:leader="none"/>
        </w:tabs>
        <w:ind w:left="0" w:right="23" w:firstLine="709"/>
        <w:jc w:val="both"/>
        <w:rPr>
          <w:highlight w:val="white"/>
        </w:rPr>
      </w:pPr>
      <w:r>
        <w:rPr>
          <w:sz w:val="24"/>
          <w:szCs w:val="24"/>
          <w:shd w:fill="FFFFFF" w:val="clea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5"/>
        </w:numPr>
        <w:tabs>
          <w:tab w:val="left" w:pos="1134" w:leader="none"/>
        </w:tabs>
        <w:ind w:left="0" w:right="23" w:firstLine="709"/>
        <w:jc w:val="both"/>
        <w:rPr/>
      </w:pPr>
      <w:r>
        <w:rPr>
          <w:sz w:val="24"/>
          <w:szCs w:val="24"/>
          <w:shd w:fill="FFFFFF" w:val="clear"/>
        </w:rPr>
        <w:t>прекращение членства в СРО, основанной на членстве лиц, выполняющих инженерные изыскания / осуществляющих подготовку проектной документации, предоставляющих Подрядчику право на производство Работ по Договору</w:t>
      </w:r>
      <w:r>
        <w:rPr>
          <w:rStyle w:val="FootnoteCharacters"/>
          <w:sz w:val="24"/>
          <w:szCs w:val="24"/>
          <w:shd w:fill="FFFFFF" w:val="clear"/>
        </w:rPr>
        <w:t xml:space="preserve"> </w:t>
      </w:r>
      <w:r>
        <w:rPr>
          <w:rStyle w:val="FootnoteCharacters"/>
          <w:rStyle w:val="Style12"/>
          <w:sz w:val="24"/>
          <w:szCs w:val="24"/>
          <w:shd w:fill="FFFFFF" w:val="clear"/>
        </w:rPr>
        <w:footnoteReference w:id="15"/>
      </w:r>
      <w:r>
        <w:rPr>
          <w:rStyle w:val="FootnoteCharacters"/>
          <w:position w:val="0"/>
          <w:sz w:val="24"/>
          <w:sz w:val="24"/>
          <w:szCs w:val="24"/>
          <w:shd w:fill="FFFFFF" w:val="clear"/>
          <w:vertAlign w:val="baseline"/>
        </w:rPr>
        <w:t>;</w:t>
      </w:r>
    </w:p>
    <w:p>
      <w:pPr>
        <w:pStyle w:val="ListParagraph"/>
        <w:numPr>
          <w:ilvl w:val="0"/>
          <w:numId w:val="5"/>
        </w:numPr>
        <w:tabs>
          <w:tab w:val="left" w:pos="1134" w:leader="none"/>
        </w:tabs>
        <w:ind w:left="0" w:right="23" w:firstLine="709"/>
        <w:jc w:val="both"/>
        <w:rPr>
          <w:highlight w:val="white"/>
        </w:rPr>
      </w:pPr>
      <w:r>
        <w:rPr>
          <w:sz w:val="24"/>
          <w:szCs w:val="24"/>
          <w:shd w:fill="FFFFFF" w:val="clear"/>
        </w:rPr>
        <w:t>принятие актов государственных органов или организаций, лишающих Подрядчика в установленном порядке права на производство Работ по Договору</w:t>
      </w:r>
      <w:r>
        <w:rPr>
          <w:rStyle w:val="Style12"/>
          <w:sz w:val="24"/>
          <w:szCs w:val="24"/>
          <w:shd w:fill="FFFFFF" w:val="clear"/>
        </w:rPr>
        <w:footnoteReference w:id="16"/>
      </w:r>
      <w:r>
        <w:rPr>
          <w:sz w:val="24"/>
          <w:szCs w:val="24"/>
          <w:shd w:fill="FFFFFF" w:val="clear"/>
        </w:rPr>
        <w:t>;</w:t>
      </w:r>
    </w:p>
    <w:p>
      <w:pPr>
        <w:pStyle w:val="ListParagraph"/>
        <w:numPr>
          <w:ilvl w:val="0"/>
          <w:numId w:val="5"/>
        </w:numPr>
        <w:tabs>
          <w:tab w:val="left" w:pos="1134" w:leader="none"/>
        </w:tabs>
        <w:ind w:left="0" w:right="23" w:firstLine="709"/>
        <w:jc w:val="both"/>
        <w:rPr>
          <w:highlight w:val="white"/>
        </w:rPr>
      </w:pPr>
      <w:r>
        <w:rPr>
          <w:sz w:val="24"/>
          <w:szCs w:val="24"/>
          <w:shd w:fill="FFFFFF" w:val="clear"/>
        </w:rPr>
        <w:t>наложение ареста на имущество Подрядчика, введение арбитражным судом процедуры несостоятельности (банкротства) в отношении Подрядчика;</w:t>
      </w:r>
    </w:p>
    <w:p>
      <w:pPr>
        <w:pStyle w:val="ListParagraph"/>
        <w:numPr>
          <w:ilvl w:val="0"/>
          <w:numId w:val="5"/>
        </w:numPr>
        <w:tabs>
          <w:tab w:val="left" w:pos="1134" w:leader="none"/>
        </w:tabs>
        <w:ind w:left="0" w:right="23" w:firstLine="709"/>
        <w:jc w:val="both"/>
        <w:rPr>
          <w:highlight w:val="white"/>
        </w:rPr>
      </w:pPr>
      <w:r>
        <w:rPr>
          <w:sz w:val="24"/>
          <w:szCs w:val="24"/>
          <w:shd w:fill="FFFFFF" w:val="clear"/>
        </w:rPr>
        <w:t>привлечение к выполнению Работ по Договору третьих лиц (Субподрядчиков) с нарушением требований, установленных пунктом 2.4.2 Договора;</w:t>
      </w:r>
    </w:p>
    <w:p>
      <w:pPr>
        <w:pStyle w:val="ListParagraph"/>
        <w:numPr>
          <w:ilvl w:val="0"/>
          <w:numId w:val="5"/>
        </w:numPr>
        <w:tabs>
          <w:tab w:val="left" w:pos="1134" w:leader="none"/>
        </w:tabs>
        <w:ind w:left="0" w:right="23" w:firstLine="709"/>
        <w:jc w:val="both"/>
        <w:rPr>
          <w:highlight w:val="white"/>
        </w:rPr>
      </w:pPr>
      <w:r>
        <w:rPr>
          <w:sz w:val="24"/>
          <w:szCs w:val="24"/>
          <w:shd w:fill="FFFFFF" w:val="clear"/>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5"/>
        </w:numPr>
        <w:tabs>
          <w:tab w:val="left" w:pos="1134" w:leader="none"/>
        </w:tabs>
        <w:ind w:left="0" w:right="23" w:firstLine="709"/>
        <w:jc w:val="both"/>
        <w:rPr>
          <w:highlight w:val="white"/>
        </w:rPr>
      </w:pPr>
      <w:r>
        <w:rPr>
          <w:sz w:val="24"/>
          <w:szCs w:val="24"/>
          <w:shd w:fill="FFFFFF" w:val="clear"/>
        </w:rPr>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13 Договора, и имеющих существенное значение для его заключения и исполнения;</w:t>
      </w:r>
    </w:p>
    <w:p>
      <w:pPr>
        <w:pStyle w:val="Style30"/>
        <w:widowControl/>
        <w:numPr>
          <w:ilvl w:val="0"/>
          <w:numId w:val="5"/>
        </w:numPr>
        <w:bidi w:val="0"/>
        <w:spacing w:lineRule="auto" w:line="240" w:before="0" w:after="0"/>
        <w:ind w:left="113" w:right="113" w:firstLine="510"/>
        <w:jc w:val="both"/>
        <w:rPr>
          <w:highlight w:val="white"/>
        </w:rPr>
      </w:pPr>
      <w:r>
        <w:rPr>
          <w:b w:val="false"/>
          <w:bCs w:val="false"/>
          <w:i w:val="false"/>
          <w:iCs w:val="false"/>
          <w:caps w:val="false"/>
          <w:smallCaps w:val="false"/>
          <w:color w:val="000000"/>
          <w:sz w:val="24"/>
          <w:szCs w:val="24"/>
          <w:shd w:fill="FFFFFF" w:val="clear"/>
        </w:rPr>
        <w:t xml:space="preserve">не предоставление Подрядчиком Заказчику информации о </w:t>
      </w:r>
      <w:r>
        <w:rPr>
          <w:b w:val="false"/>
          <w:bCs/>
          <w:i w:val="false"/>
          <w:iCs w:val="false"/>
          <w:caps w:val="false"/>
          <w:smallCaps w:val="false"/>
          <w:color w:val="000000"/>
          <w:sz w:val="24"/>
          <w:szCs w:val="24"/>
          <w:shd w:fill="FFFFFF" w:val="clear"/>
        </w:rPr>
        <w:t xml:space="preserve">наличии </w:t>
      </w:r>
      <w:r>
        <w:rPr>
          <w:b w:val="false"/>
          <w:bCs w:val="false"/>
          <w:i w:val="false"/>
          <w:iCs w:val="false"/>
          <w:caps w:val="false"/>
          <w:smallCaps w:val="false"/>
          <w:color w:val="000000"/>
          <w:sz w:val="24"/>
          <w:szCs w:val="24"/>
          <w:shd w:fill="FFFFFF" w:val="clear"/>
        </w:rPr>
        <w:t>необходимых для выполнения работ кадровых ресурсов (персонала), техники и материально-технических ресурсов и подтверждающих ее документов согласно п.2.3.29 Договора</w:t>
      </w:r>
      <w:r>
        <w:rPr>
          <w:b w:val="false"/>
          <w:bCs/>
          <w:i w:val="false"/>
          <w:iCs w:val="false"/>
          <w:caps w:val="false"/>
          <w:smallCaps w:val="false"/>
          <w:color w:val="000000"/>
          <w:sz w:val="24"/>
          <w:szCs w:val="24"/>
          <w:shd w:fill="FFFFFF" w:val="clear"/>
        </w:rPr>
        <w:t>;</w:t>
      </w:r>
    </w:p>
    <w:p>
      <w:pPr>
        <w:pStyle w:val="Normal"/>
        <w:numPr>
          <w:ilvl w:val="0"/>
          <w:numId w:val="5"/>
        </w:numPr>
        <w:tabs>
          <w:tab w:val="left" w:pos="916" w:leader="none"/>
        </w:tabs>
        <w:bidi w:val="0"/>
        <w:spacing w:lineRule="auto" w:line="240" w:before="0" w:after="0"/>
        <w:ind w:left="113" w:right="113" w:firstLine="567"/>
        <w:jc w:val="both"/>
        <w:rPr>
          <w:highlight w:val="white"/>
        </w:rPr>
      </w:pPr>
      <w:r>
        <w:rPr>
          <w:sz w:val="24"/>
          <w:szCs w:val="24"/>
          <w:shd w:fill="FFFFFF" w:val="clear"/>
        </w:rPr>
        <w:t>не устранение недостатков в срок более 10 (десяти) календарных дней с момента получения письменного требования Заказчика;</w:t>
      </w:r>
    </w:p>
    <w:p>
      <w:pPr>
        <w:pStyle w:val="Style30"/>
        <w:numPr>
          <w:ilvl w:val="0"/>
          <w:numId w:val="5"/>
        </w:numPr>
        <w:tabs>
          <w:tab w:val="left" w:pos="916" w:leader="none"/>
        </w:tabs>
        <w:bidi w:val="0"/>
        <w:spacing w:lineRule="auto" w:line="240" w:before="0" w:after="0"/>
        <w:ind w:left="113" w:right="113" w:firstLine="567"/>
        <w:jc w:val="both"/>
        <w:rPr>
          <w:highlight w:val="white"/>
        </w:rPr>
      </w:pPr>
      <w:r>
        <w:rPr>
          <w:sz w:val="24"/>
          <w:szCs w:val="24"/>
          <w:shd w:fill="FFFFFF" w:val="clear"/>
        </w:rPr>
        <w:t>повторное выявление замечаний после двукратного устранения, выявление новых недостатков, возникших вследствие корректировки документации;</w:t>
      </w:r>
    </w:p>
    <w:p>
      <w:pPr>
        <w:pStyle w:val="Normal"/>
        <w:widowControl/>
        <w:numPr>
          <w:ilvl w:val="0"/>
          <w:numId w:val="5"/>
        </w:numPr>
        <w:shd w:val="clear" w:fill="FFFFFF"/>
        <w:tabs>
          <w:tab w:val="left" w:pos="625" w:leader="none"/>
        </w:tabs>
        <w:bidi w:val="0"/>
        <w:spacing w:lineRule="auto" w:line="240" w:before="0" w:after="0"/>
        <w:ind w:left="0" w:right="0" w:firstLine="709"/>
        <w:jc w:val="both"/>
        <w:rPr>
          <w:highlight w:val="white"/>
        </w:rPr>
      </w:pPr>
      <w:r>
        <w:rPr>
          <w:rFonts w:eastAsia="Calibri" w:cs="Times New Roman"/>
          <w:b w:val="false"/>
          <w:bCs w:val="false"/>
          <w:i w:val="false"/>
          <w:iCs w:val="false"/>
          <w:caps w:val="false"/>
          <w:smallCaps w:val="false"/>
          <w:color w:val="000000"/>
          <w:sz w:val="24"/>
          <w:szCs w:val="24"/>
          <w:u w:val="none"/>
          <w:shd w:fill="FFFFFF" w:val="clear"/>
          <w:lang w:val="ru-RU" w:eastAsia="en-US" w:bidi="ar-SA"/>
        </w:rPr>
        <w:t>неисполнение или ненадлежащее исполнение обязанности или требований к осуществлению фото- и видеофиксации с мест бурения, проходки всех горных выработок, уложенного и маркированного керна, объектов и земельных участков изысканий, с привязкой в глобальной системе координат, для подтверждения фактического выполнения работ и документирования текущего состояния территории, предусмотренных</w:t>
      </w:r>
      <w:r>
        <w:rPr>
          <w:rFonts w:eastAsia="Calibri" w:cs="Times New Roman"/>
          <w:b/>
          <w:bCs/>
          <w:i w:val="false"/>
          <w:iCs w:val="false"/>
          <w:caps w:val="false"/>
          <w:smallCaps w:val="false"/>
          <w:color w:val="000000"/>
          <w:sz w:val="24"/>
          <w:szCs w:val="24"/>
          <w:u w:val="none"/>
          <w:shd w:fill="FFFFFF" w:val="clear"/>
          <w:lang w:val="ru-RU" w:eastAsia="en-US" w:bidi="ar-SA"/>
        </w:rPr>
        <w:t xml:space="preserve"> </w:t>
      </w:r>
      <w:r>
        <w:rPr>
          <w:rFonts w:eastAsia="Calibri" w:cs="Times New Roman"/>
          <w:b w:val="false"/>
          <w:bCs w:val="false"/>
          <w:i w:val="false"/>
          <w:iCs w:val="false"/>
          <w:caps w:val="false"/>
          <w:smallCaps w:val="false"/>
          <w:color w:val="000000"/>
          <w:sz w:val="24"/>
          <w:szCs w:val="24"/>
          <w:u w:val="none"/>
          <w:shd w:fill="FFFFFF" w:val="clear"/>
          <w:lang w:val="ru-RU" w:eastAsia="en-US" w:bidi="ar-SA"/>
        </w:rPr>
        <w:t>Договором или приложениями к нему</w:t>
      </w:r>
      <w:r>
        <w:rPr>
          <w:rStyle w:val="Style12"/>
          <w:rFonts w:eastAsia="Calibri" w:cs="Times New Roman"/>
          <w:b w:val="false"/>
          <w:bCs w:val="false"/>
          <w:i w:val="false"/>
          <w:iCs w:val="false"/>
          <w:caps w:val="false"/>
          <w:smallCaps w:val="false"/>
          <w:color w:val="000000"/>
          <w:sz w:val="24"/>
          <w:szCs w:val="24"/>
          <w:u w:val="none"/>
          <w:shd w:fill="FFFFFF" w:val="clear"/>
          <w:lang w:val="ru-RU" w:eastAsia="en-US" w:bidi="ar-SA"/>
        </w:rPr>
        <w:footnoteReference w:id="17"/>
      </w:r>
      <w:r>
        <w:rPr>
          <w:rFonts w:eastAsia="Times New Roman" w:cs="Times New Roman"/>
          <w:b w:val="false"/>
          <w:bCs w:val="false"/>
          <w:i w:val="false"/>
          <w:iCs w:val="false"/>
          <w:caps w:val="false"/>
          <w:smallCaps w:val="false"/>
          <w:color w:val="000000"/>
          <w:sz w:val="24"/>
          <w:szCs w:val="24"/>
          <w:u w:val="none"/>
          <w:shd w:fill="FFFFFF" w:val="clear"/>
        </w:rPr>
        <w:t>.</w:t>
      </w:r>
    </w:p>
    <w:p>
      <w:pPr>
        <w:pStyle w:val="ListParagraph"/>
        <w:numPr>
          <w:ilvl w:val="1"/>
          <w:numId w:val="1"/>
        </w:numPr>
        <w:shd w:val="clear" w:color="auto" w:fill="FFFFFF"/>
        <w:tabs>
          <w:tab w:val="left" w:pos="1134" w:leader="none"/>
        </w:tabs>
        <w:ind w:left="0" w:firstLine="709"/>
        <w:jc w:val="both"/>
        <w:rPr>
          <w:highlight w:val="white"/>
        </w:rPr>
      </w:pPr>
      <w:r>
        <w:rPr>
          <w:sz w:val="24"/>
          <w:szCs w:val="24"/>
          <w:shd w:fill="FFFFFF" w:val="clear"/>
        </w:rPr>
        <w:t xml:space="preserve">В случае отказа Заказчика от Договора в случаях, предусмотренных пунктами 14.2, 14.3, 14.4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pPr>
        <w:pStyle w:val="ListParagraph"/>
        <w:numPr>
          <w:ilvl w:val="1"/>
          <w:numId w:val="1"/>
        </w:numPr>
        <w:shd w:val="clear" w:color="auto" w:fill="FFFFFF"/>
        <w:tabs>
          <w:tab w:val="left" w:pos="1134" w:leader="none"/>
        </w:tabs>
        <w:ind w:left="0" w:firstLine="709"/>
        <w:jc w:val="both"/>
        <w:rPr>
          <w:highlight w:val="white"/>
        </w:rPr>
      </w:pPr>
      <w:r>
        <w:rPr>
          <w:sz w:val="24"/>
          <w:szCs w:val="24"/>
          <w:shd w:fill="FFFFFF" w:val="clear"/>
        </w:rPr>
        <w:t>С даты прекращения (расторжения) Договора Подрядчик обязан прекратить производство Работ, и в согласованные Сторонами сроки:</w:t>
      </w:r>
    </w:p>
    <w:p>
      <w:pPr>
        <w:pStyle w:val="ListParagraph"/>
        <w:numPr>
          <w:ilvl w:val="0"/>
          <w:numId w:val="15"/>
        </w:numPr>
        <w:shd w:val="clear" w:color="auto" w:fill="FFFFFF"/>
        <w:tabs>
          <w:tab w:val="left" w:pos="1418" w:leader="none"/>
        </w:tabs>
        <w:ind w:left="0" w:firstLine="709"/>
        <w:jc w:val="both"/>
        <w:rPr>
          <w:highlight w:val="white"/>
        </w:rPr>
      </w:pPr>
      <w:r>
        <w:rPr>
          <w:sz w:val="24"/>
          <w:szCs w:val="24"/>
          <w:shd w:fill="FFFFFF" w:val="clear"/>
        </w:rPr>
        <w:t>передать Заказчику результаты выполненных Работ, техническую и иную полученную документацию</w:t>
      </w:r>
      <w:r>
        <w:rPr>
          <w:bCs/>
          <w:sz w:val="24"/>
          <w:szCs w:val="24"/>
          <w:shd w:fill="FFFFFF" w:val="clear"/>
        </w:rPr>
        <w:t>;</w:t>
      </w:r>
    </w:p>
    <w:p>
      <w:pPr>
        <w:pStyle w:val="ListParagraph"/>
        <w:numPr>
          <w:ilvl w:val="0"/>
          <w:numId w:val="15"/>
        </w:numPr>
        <w:shd w:val="clear" w:color="auto" w:fill="FFFFFF"/>
        <w:tabs>
          <w:tab w:val="left" w:pos="1418" w:leader="none"/>
        </w:tabs>
        <w:ind w:left="0" w:firstLine="709"/>
        <w:jc w:val="both"/>
        <w:rPr>
          <w:highlight w:val="white"/>
        </w:rPr>
      </w:pPr>
      <w:r>
        <w:rPr>
          <w:shd w:fill="FFFFFF" w:val="clear"/>
        </w:rPr>
        <w:t>вывезти с места производства Работ собственную строительную технику</w:t>
      </w:r>
      <w:r>
        <w:rPr>
          <w:rFonts w:cs="Verdana"/>
          <w:shd w:fill="FFFFFF" w:val="clear"/>
        </w:rPr>
        <w:t xml:space="preserve"> и персонал Подрядчика; </w:t>
      </w:r>
    </w:p>
    <w:p>
      <w:pPr>
        <w:pStyle w:val="ListParagraph"/>
        <w:numPr>
          <w:ilvl w:val="0"/>
          <w:numId w:val="15"/>
        </w:numPr>
        <w:shd w:val="clear" w:color="auto" w:fill="FFFFFF"/>
        <w:tabs>
          <w:tab w:val="left" w:pos="1418" w:leader="none"/>
        </w:tabs>
        <w:ind w:left="0" w:firstLine="709"/>
        <w:jc w:val="both"/>
        <w:rPr>
          <w:highlight w:val="white"/>
        </w:rPr>
      </w:pPr>
      <w:r>
        <w:rPr>
          <w:rFonts w:cs="Verdana"/>
          <w:bCs/>
          <w:sz w:val="24"/>
          <w:szCs w:val="24"/>
          <w:shd w:fill="FFFFFF" w:val="clear"/>
        </w:rPr>
        <w:t xml:space="preserve">удалить </w:t>
      </w:r>
      <w:r>
        <w:rPr>
          <w:bCs/>
          <w:sz w:val="24"/>
          <w:szCs w:val="24"/>
          <w:shd w:fill="FFFFFF" w:val="clear"/>
        </w:rPr>
        <w:t xml:space="preserve">с места производства Работ </w:t>
      </w:r>
      <w:r>
        <w:rPr>
          <w:rFonts w:cs="Verdana"/>
          <w:bCs/>
          <w:sz w:val="24"/>
          <w:szCs w:val="24"/>
          <w:shd w:fill="FFFFFF" w:val="clear"/>
        </w:rPr>
        <w:t>весь мусор и все остаточные продукты любого рода и оставить место производства Работ чистым и безопасным.</w:t>
      </w:r>
    </w:p>
    <w:p>
      <w:pPr>
        <w:pStyle w:val="ListParagraph"/>
        <w:numPr>
          <w:ilvl w:val="1"/>
          <w:numId w:val="1"/>
        </w:numPr>
        <w:shd w:val="clear" w:color="auto" w:fill="FFFFFF"/>
        <w:tabs>
          <w:tab w:val="left" w:pos="1134" w:leader="none"/>
        </w:tabs>
        <w:ind w:left="0" w:firstLine="709"/>
        <w:jc w:val="both"/>
        <w:rPr>
          <w:highlight w:val="white"/>
        </w:rPr>
      </w:pPr>
      <w:r>
        <w:rPr>
          <w:sz w:val="24"/>
          <w:szCs w:val="24"/>
          <w:shd w:fill="FFFFFF" w:val="clea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Подрядчика по возмещению неустойки (пени), штрафов и убытков в случаях и размерах, предусмотренных Договором.</w:t>
      </w:r>
    </w:p>
    <w:p>
      <w:pPr>
        <w:pStyle w:val="ListParagraph"/>
        <w:shd w:val="clear" w:color="auto" w:fill="FFFFFF"/>
        <w:tabs>
          <w:tab w:val="left" w:pos="1134" w:leader="none"/>
        </w:tabs>
        <w:ind w:left="709" w:hanging="0"/>
        <w:jc w:val="both"/>
        <w:rPr>
          <w:rFonts w:ascii="Times New Roman" w:hAnsi="Times New Roman"/>
          <w:sz w:val="24"/>
          <w:szCs w:val="24"/>
          <w:shd w:fill="FFFFFF" w:val="clear"/>
        </w:rPr>
      </w:pPr>
      <w:r>
        <w:rPr>
          <w:sz w:val="24"/>
          <w:szCs w:val="24"/>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z w:val="24"/>
          <w:szCs w:val="24"/>
          <w:shd w:fill="FFFFFF" w:val="clear"/>
        </w:rPr>
        <w:t>Разрешение споров</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bCs/>
          <w:sz w:val="24"/>
          <w:szCs w:val="24"/>
          <w:shd w:fill="FFFFFF" w:val="clear"/>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bCs/>
          <w:sz w:val="24"/>
          <w:szCs w:val="24"/>
          <w:shd w:fill="FFFFFF" w:val="clear"/>
        </w:rPr>
        <w:t>Споры, указанные в пункте 15.1 Договора, которые не были урегулированы Сторонами путем переговоров, подлежат разрешению в Арбитражном суде Амурской области в соответствии с законодательством Российской Федерации, за исключением споров из Банковской гарантии, подсудность которых предусмотрена разделом 6 Договора.</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bCs/>
          <w:sz w:val="24"/>
          <w:szCs w:val="24"/>
          <w:shd w:fill="FFFFFF" w:val="clear"/>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16.7 Договора.</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bCs/>
          <w:sz w:val="24"/>
          <w:szCs w:val="24"/>
          <w:shd w:fill="FFFFFF" w:val="clear"/>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1"/>
        </w:numPr>
        <w:shd w:val="clear" w:color="auto" w:fill="FFFFFF"/>
        <w:tabs>
          <w:tab w:val="left" w:pos="1134" w:leader="none"/>
          <w:tab w:val="left" w:pos="1418" w:leader="none"/>
        </w:tabs>
        <w:ind w:left="0" w:firstLine="709"/>
        <w:jc w:val="both"/>
        <w:rPr>
          <w:highlight w:val="white"/>
        </w:rPr>
      </w:pPr>
      <w:r>
        <w:rPr>
          <w:bCs/>
          <w:sz w:val="24"/>
          <w:szCs w:val="24"/>
          <w:shd w:fill="FFFFFF" w:val="clear"/>
        </w:rPr>
        <w:t>Условия настоящего раздела сохраняют свою силу в случае признания Договора незаключенным и / или недействительным.</w:t>
      </w:r>
    </w:p>
    <w:p>
      <w:pPr>
        <w:pStyle w:val="ListParagraph"/>
        <w:shd w:val="clear" w:color="auto" w:fill="FFFFFF"/>
        <w:tabs>
          <w:tab w:val="left" w:pos="1418" w:leader="none"/>
        </w:tabs>
        <w:ind w:left="0" w:firstLine="567"/>
        <w:jc w:val="both"/>
        <w:rPr>
          <w:rFonts w:ascii="Times New Roman" w:hAnsi="Times New Roman"/>
          <w:b/>
          <w:b/>
          <w:bCs/>
          <w:sz w:val="24"/>
          <w:szCs w:val="24"/>
          <w:shd w:fill="FFFFFF" w:val="clear"/>
        </w:rPr>
      </w:pPr>
      <w:r>
        <w:rPr>
          <w:b/>
          <w:bCs/>
          <w:sz w:val="24"/>
          <w:szCs w:val="24"/>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z w:val="24"/>
          <w:szCs w:val="24"/>
          <w:shd w:fill="FFFFFF" w:val="clear"/>
        </w:rPr>
        <w:t>Заключительные положения</w:t>
      </w:r>
    </w:p>
    <w:p>
      <w:pPr>
        <w:pStyle w:val="ListParagraph"/>
        <w:numPr>
          <w:ilvl w:val="1"/>
          <w:numId w:val="1"/>
        </w:numPr>
        <w:shd w:val="clear" w:color="auto" w:fill="FFFFFF"/>
        <w:tabs>
          <w:tab w:val="left" w:pos="1134" w:leader="none"/>
        </w:tabs>
        <w:ind w:left="0" w:firstLine="709"/>
        <w:jc w:val="both"/>
        <w:rPr>
          <w:highlight w:val="white"/>
        </w:rPr>
      </w:pPr>
      <w:r>
        <w:rPr>
          <w:sz w:val="24"/>
          <w:szCs w:val="24"/>
          <w:shd w:fill="FFFFFF" w:val="clear"/>
        </w:rPr>
        <w:t xml:space="preserve">Договор вступает в силу с даты его подписания Сторонами и </w:t>
      </w:r>
      <w:r>
        <w:rPr>
          <w:b/>
          <w:bCs/>
          <w:i/>
          <w:iCs/>
          <w:sz w:val="24"/>
          <w:szCs w:val="24"/>
          <w:shd w:fill="FFFFFF" w:val="clear"/>
        </w:rPr>
        <w:t>действует до полного исполнения ими принятых на себя обязательств</w:t>
      </w:r>
      <w:r>
        <w:rPr>
          <w:sz w:val="24"/>
          <w:szCs w:val="24"/>
          <w:shd w:fill="FFFFFF" w:val="clear"/>
        </w:rPr>
        <w:t>. В соответствии с пунктом 2 статьи 425 ГК РФ условия Договора применяются к отношениям Сторон, возникшим с даты, следующей за датой заключения Договора.</w:t>
      </w:r>
    </w:p>
    <w:p>
      <w:pPr>
        <w:pStyle w:val="ListParagraph"/>
        <w:numPr>
          <w:ilvl w:val="1"/>
          <w:numId w:val="1"/>
        </w:numPr>
        <w:shd w:val="clear" w:color="auto" w:fill="FFFFFF"/>
        <w:tabs>
          <w:tab w:val="left" w:pos="1134" w:leader="none"/>
        </w:tabs>
        <w:ind w:left="0" w:firstLine="709"/>
        <w:jc w:val="both"/>
        <w:rPr>
          <w:highlight w:val="white"/>
        </w:rPr>
      </w:pPr>
      <w:r>
        <w:rPr>
          <w:sz w:val="24"/>
          <w:szCs w:val="24"/>
          <w:shd w:fill="FFFFFF" w:val="clear"/>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16.7 Договора.</w:t>
      </w:r>
    </w:p>
    <w:p>
      <w:pPr>
        <w:pStyle w:val="ListParagraph"/>
        <w:numPr>
          <w:ilvl w:val="1"/>
          <w:numId w:val="1"/>
        </w:numPr>
        <w:shd w:val="clear" w:color="auto" w:fill="FFFFFF"/>
        <w:tabs>
          <w:tab w:val="left" w:pos="1134" w:leader="none"/>
        </w:tabs>
        <w:ind w:left="0" w:firstLine="709"/>
        <w:jc w:val="both"/>
        <w:rPr>
          <w:highlight w:val="white"/>
        </w:rPr>
      </w:pPr>
      <w:r>
        <w:rPr>
          <w:sz w:val="24"/>
          <w:szCs w:val="24"/>
          <w:shd w:fill="FFFFFF" w:val="clea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1"/>
        </w:numPr>
        <w:shd w:val="clear" w:color="auto" w:fill="FFFFFF"/>
        <w:tabs>
          <w:tab w:val="left" w:pos="1134" w:leader="none"/>
        </w:tabs>
        <w:ind w:left="0" w:firstLine="709"/>
        <w:jc w:val="both"/>
        <w:rPr>
          <w:highlight w:val="white"/>
        </w:rPr>
      </w:pPr>
      <w:r>
        <w:rPr>
          <w:sz w:val="24"/>
          <w:szCs w:val="24"/>
          <w:shd w:fill="FFFFFF" w:val="clea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1"/>
        </w:numPr>
        <w:shd w:val="clear" w:color="auto" w:fill="FFFFFF"/>
        <w:tabs>
          <w:tab w:val="left" w:pos="1134" w:leader="none"/>
        </w:tabs>
        <w:ind w:left="0" w:firstLine="709"/>
        <w:jc w:val="both"/>
        <w:rPr>
          <w:highlight w:val="white"/>
        </w:rPr>
      </w:pPr>
      <w:r>
        <w:rPr>
          <w:sz w:val="24"/>
          <w:szCs w:val="24"/>
          <w:shd w:fill="FFFFFF" w:val="clea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16.7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1"/>
        </w:numPr>
        <w:shd w:val="clear" w:color="auto" w:fill="FFFFFF"/>
        <w:tabs>
          <w:tab w:val="left" w:pos="1134" w:leader="none"/>
        </w:tabs>
        <w:ind w:left="0" w:firstLine="709"/>
        <w:jc w:val="both"/>
        <w:rPr>
          <w:highlight w:val="white"/>
        </w:rPr>
      </w:pPr>
      <w:bookmarkStart w:id="40" w:name="_Ref361338004"/>
      <w:r>
        <w:rPr>
          <w:sz w:val="24"/>
          <w:szCs w:val="24"/>
          <w:shd w:fill="FFFFFF" w:val="clear"/>
        </w:rPr>
        <w:t>Стороны обязуются уведомлять друг друга об изменении адреса и / или реквизитов, указанных в разделе 18 Договора, не позднее 3 (трех) рабочих дней после такого изменения в порядке, установленном пунктом 16.7 Договора.</w:t>
      </w:r>
      <w:bookmarkEnd w:id="40"/>
      <w:r>
        <w:rPr>
          <w:sz w:val="24"/>
          <w:szCs w:val="24"/>
          <w:shd w:fill="FFFFFF" w:val="clear"/>
        </w:rPr>
        <w:t xml:space="preserve"> </w:t>
      </w:r>
    </w:p>
    <w:p>
      <w:pPr>
        <w:pStyle w:val="ListParagraph"/>
        <w:numPr>
          <w:ilvl w:val="1"/>
          <w:numId w:val="1"/>
        </w:numPr>
        <w:shd w:val="clear" w:color="auto" w:fill="FFFFFF"/>
        <w:tabs>
          <w:tab w:val="left" w:pos="1134" w:leader="none"/>
        </w:tabs>
        <w:ind w:left="0" w:firstLine="709"/>
        <w:jc w:val="both"/>
        <w:rPr>
          <w:highlight w:val="white"/>
        </w:rPr>
      </w:pPr>
      <w:bookmarkStart w:id="41" w:name="_Ref361338019"/>
      <w:r>
        <w:rPr>
          <w:sz w:val="24"/>
          <w:szCs w:val="24"/>
          <w:shd w:fill="FFFFFF" w:val="clear"/>
        </w:rPr>
        <w:t>Письма, уведомления и / или сообщения направляются Стороне-получателю по адресу ее места нахождения, указанному в разделе 18 Договора, или в ранее полученном уведомлении Стороны об изменении адреса, одним из следующих способов, при этом документ</w:t>
      </w:r>
      <w:bookmarkEnd w:id="41"/>
      <w:r>
        <w:rPr>
          <w:bCs/>
          <w:sz w:val="24"/>
          <w:szCs w:val="24"/>
          <w:shd w:fill="FFFFFF" w:val="clear"/>
        </w:rPr>
        <w:t xml:space="preserve"> будет считаться полученным:</w:t>
      </w:r>
    </w:p>
    <w:p>
      <w:pPr>
        <w:pStyle w:val="ListParagraph"/>
        <w:numPr>
          <w:ilvl w:val="2"/>
          <w:numId w:val="1"/>
        </w:numPr>
        <w:shd w:val="clear" w:color="auto" w:fill="FFFFFF"/>
        <w:tabs>
          <w:tab w:val="left" w:pos="1701" w:leader="none"/>
        </w:tabs>
        <w:ind w:left="0" w:firstLine="709"/>
        <w:jc w:val="both"/>
        <w:rPr>
          <w:highlight w:val="white"/>
        </w:rPr>
      </w:pPr>
      <w:r>
        <w:rPr>
          <w:bCs/>
          <w:sz w:val="24"/>
          <w:szCs w:val="24"/>
          <w:shd w:fill="FFFFFF" w:val="clear"/>
        </w:rPr>
        <w:t xml:space="preserve">Заказным почтовым отправлением с уведомлением о вручении – </w:t>
      </w:r>
      <w:r>
        <w:rPr>
          <w:sz w:val="24"/>
          <w:szCs w:val="24"/>
          <w:shd w:fill="FFFFFF" w:val="clea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r>
        <w:rPr>
          <w:bCs/>
          <w:sz w:val="24"/>
          <w:szCs w:val="24"/>
          <w:shd w:fill="FFFFFF" w:val="clear"/>
        </w:rPr>
        <w:t>;</w:t>
      </w:r>
    </w:p>
    <w:p>
      <w:pPr>
        <w:pStyle w:val="ListParagraph"/>
        <w:numPr>
          <w:ilvl w:val="2"/>
          <w:numId w:val="1"/>
        </w:numPr>
        <w:shd w:val="clear" w:color="auto" w:fill="FFFFFF"/>
        <w:tabs>
          <w:tab w:val="left" w:pos="1701" w:leader="none"/>
        </w:tabs>
        <w:ind w:left="0" w:firstLine="709"/>
        <w:jc w:val="both"/>
        <w:rPr>
          <w:highlight w:val="white"/>
        </w:rPr>
      </w:pPr>
      <w:bookmarkStart w:id="42" w:name="_Ref361338032"/>
      <w:bookmarkEnd w:id="42"/>
      <w:r>
        <w:rPr>
          <w:bCs/>
          <w:sz w:val="24"/>
          <w:szCs w:val="24"/>
          <w:shd w:fill="FFFFFF" w:val="clear"/>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numPr>
          <w:ilvl w:val="2"/>
          <w:numId w:val="1"/>
        </w:numPr>
        <w:shd w:val="clear" w:color="auto" w:fill="FFFFFF"/>
        <w:tabs>
          <w:tab w:val="left" w:pos="1701" w:leader="none"/>
        </w:tabs>
        <w:ind w:left="0" w:firstLine="709"/>
        <w:jc w:val="both"/>
        <w:rPr>
          <w:highlight w:val="white"/>
        </w:rPr>
      </w:pPr>
      <w:r>
        <w:rPr>
          <w:bCs/>
          <w:sz w:val="24"/>
          <w:szCs w:val="24"/>
          <w:shd w:fill="FFFFFF" w:val="clear"/>
        </w:rPr>
        <w:t>Посредством электронной почты (</w:t>
      </w:r>
      <w:r>
        <w:rPr>
          <w:bCs/>
          <w:sz w:val="24"/>
          <w:szCs w:val="24"/>
          <w:shd w:fill="FFFFFF" w:val="clear"/>
          <w:lang w:val="en-US"/>
        </w:rPr>
        <w:t>e</w:t>
      </w:r>
      <w:r>
        <w:rPr>
          <w:bCs/>
          <w:sz w:val="24"/>
          <w:szCs w:val="24"/>
          <w:shd w:fill="FFFFFF" w:val="clear"/>
        </w:rPr>
        <w:t>-</w:t>
      </w:r>
      <w:r>
        <w:rPr>
          <w:bCs/>
          <w:sz w:val="24"/>
          <w:szCs w:val="24"/>
          <w:shd w:fill="FFFFFF" w:val="clear"/>
          <w:lang w:val="en-US"/>
        </w:rPr>
        <w:t>mail</w:t>
      </w:r>
      <w:r>
        <w:rPr>
          <w:bCs/>
          <w:sz w:val="24"/>
          <w:szCs w:val="24"/>
          <w:shd w:fill="FFFFFF" w:val="clear"/>
        </w:rPr>
        <w:t xml:space="preserve">) – в дату направления электронного сообщения, зафиксированную на почтовом сервере отправителя. </w:t>
      </w:r>
    </w:p>
    <w:p>
      <w:pPr>
        <w:pStyle w:val="ListParagraph"/>
        <w:shd w:val="clear" w:color="auto" w:fill="FFFFFF"/>
        <w:tabs>
          <w:tab w:val="left" w:pos="1701" w:leader="none"/>
        </w:tabs>
        <w:ind w:left="0" w:firstLine="709"/>
        <w:jc w:val="both"/>
        <w:rPr>
          <w:highlight w:val="white"/>
        </w:rPr>
      </w:pPr>
      <w:r>
        <w:rPr>
          <w:bCs/>
          <w:sz w:val="24"/>
          <w:szCs w:val="24"/>
          <w:shd w:fill="FFFFFF" w:val="clear"/>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16.7.1,16.7.2 Договора. </w:t>
      </w:r>
    </w:p>
    <w:p>
      <w:pPr>
        <w:pStyle w:val="ListParagraph"/>
        <w:shd w:val="clear" w:color="auto" w:fill="FFFFFF"/>
        <w:tabs>
          <w:tab w:val="left" w:pos="0" w:leader="none"/>
          <w:tab w:val="left" w:pos="1134" w:leader="none"/>
          <w:tab w:val="left" w:pos="1418" w:leader="none"/>
          <w:tab w:val="left" w:pos="1701" w:leader="none"/>
        </w:tabs>
        <w:ind w:left="0" w:firstLine="709"/>
        <w:jc w:val="both"/>
        <w:rPr>
          <w:highlight w:val="white"/>
        </w:rPr>
      </w:pPr>
      <w:r>
        <w:rPr>
          <w:bCs/>
          <w:sz w:val="24"/>
          <w:szCs w:val="24"/>
          <w:shd w:fill="FFFFFF" w:val="clear"/>
        </w:rPr>
        <w:t xml:space="preserve">В случае заключения Соглашения, согласно которому </w:t>
      </w:r>
      <w:r>
        <w:rPr>
          <w:sz w:val="24"/>
          <w:szCs w:val="24"/>
          <w:shd w:fill="FFFFFF" w:val="clear"/>
        </w:rPr>
        <w:t xml:space="preserve">обмен документами / информацией между сторонами осуществляется в электронной форме через операторов электронного документооборота, </w:t>
      </w:r>
      <w:r>
        <w:rPr>
          <w:bCs/>
          <w:iCs/>
          <w:color w:val="000000"/>
          <w:sz w:val="24"/>
          <w:szCs w:val="24"/>
          <w:shd w:fill="FFFFFF" w:val="clear"/>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Normal"/>
        <w:numPr>
          <w:ilvl w:val="1"/>
          <w:numId w:val="1"/>
        </w:numPr>
        <w:spacing w:lineRule="auto" w:line="240"/>
        <w:ind w:left="0" w:firstLine="709"/>
        <w:rPr>
          <w:highlight w:val="white"/>
        </w:rPr>
      </w:pPr>
      <w:r>
        <w:rPr>
          <w:bCs/>
          <w:sz w:val="24"/>
          <w:szCs w:val="24"/>
          <w:shd w:fill="FFFFFF" w:val="clear"/>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1"/>
        </w:numPr>
        <w:shd w:val="clear" w:color="auto" w:fill="FFFFFF"/>
        <w:tabs>
          <w:tab w:val="left" w:pos="568" w:leader="none"/>
        </w:tabs>
        <w:ind w:left="0" w:firstLine="709"/>
        <w:jc w:val="both"/>
        <w:rPr>
          <w:highlight w:val="white"/>
        </w:rPr>
      </w:pPr>
      <w:r>
        <w:rPr>
          <w:bCs/>
          <w:sz w:val="24"/>
          <w:szCs w:val="24"/>
          <w:shd w:fill="FFFFFF" w:val="clear"/>
        </w:rPr>
        <w:t xml:space="preserve">Уступка (передача), в том числе в залог, прав (требований) к Заказчику 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 </w:t>
      </w:r>
    </w:p>
    <w:p>
      <w:pPr>
        <w:pStyle w:val="ListParagraph"/>
        <w:numPr>
          <w:ilvl w:val="1"/>
          <w:numId w:val="1"/>
        </w:numPr>
        <w:shd w:val="clear" w:color="auto" w:fill="FFFFFF"/>
        <w:tabs>
          <w:tab w:val="left" w:pos="1134" w:leader="none"/>
        </w:tabs>
        <w:ind w:left="0" w:firstLine="709"/>
        <w:jc w:val="both"/>
        <w:rPr>
          <w:highlight w:val="white"/>
        </w:rPr>
      </w:pPr>
      <w:r>
        <w:rPr>
          <w:sz w:val="24"/>
          <w:szCs w:val="24"/>
          <w:shd w:fill="FFFFFF" w:val="clea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1"/>
        </w:numPr>
        <w:shd w:val="clear" w:color="auto" w:fill="FFFFFF"/>
        <w:tabs>
          <w:tab w:val="left" w:pos="0" w:leader="none"/>
          <w:tab w:val="left" w:pos="709" w:leader="none"/>
          <w:tab w:val="left" w:pos="851" w:leader="none"/>
          <w:tab w:val="left" w:pos="993" w:leader="none"/>
          <w:tab w:val="left" w:pos="1134" w:leader="none"/>
          <w:tab w:val="left" w:pos="1701" w:leader="none"/>
          <w:tab w:val="left" w:pos="2130" w:leader="none"/>
        </w:tabs>
        <w:ind w:left="0" w:firstLine="709"/>
        <w:jc w:val="both"/>
        <w:rPr>
          <w:highlight w:val="white"/>
        </w:rPr>
      </w:pPr>
      <w:r>
        <w:rPr>
          <w:sz w:val="24"/>
          <w:szCs w:val="24"/>
          <w:shd w:fill="FFFFFF" w:val="clear"/>
        </w:rPr>
        <w:t>Со стороны Заказчика контроль и исполнение обязательств по настоящему договору осуществляет филиал Акционерного общества «Дальневосточная распределительная сетевая компания» «Амурские электрические сети» расположенный по адресу: 675000, Россия, Амурская область, г. Благовещенск, ул. Шевченко, д.28. ИНН 2801108200, КПП 280102003, тел. 8 (4162) 39-93-59, 8 (4162) 39-92-79, в лице директора филиала, действующего на основании доверенности и наделенного правом подписи документов, подтверждающих исполнение обязательств по договору.</w:t>
      </w:r>
    </w:p>
    <w:p>
      <w:pPr>
        <w:pStyle w:val="Normal"/>
        <w:widowControl w:val="false"/>
        <w:tabs>
          <w:tab w:val="left" w:pos="993" w:leader="none"/>
        </w:tabs>
        <w:spacing w:lineRule="auto" w:line="240"/>
        <w:ind w:right="-2" w:firstLine="709"/>
        <w:rPr>
          <w:highlight w:val="white"/>
        </w:rPr>
      </w:pPr>
      <w:r>
        <w:rPr>
          <w:bCs/>
          <w:iCs/>
          <w:sz w:val="24"/>
          <w:szCs w:val="24"/>
          <w:shd w:fill="FFFFFF" w:val="clear"/>
        </w:rPr>
        <w:t>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АО «ДРСК»/филиала АО «ДРСК».</w:t>
      </w:r>
    </w:p>
    <w:p>
      <w:pPr>
        <w:pStyle w:val="Normal"/>
        <w:shd w:val="clear" w:color="auto" w:fill="FFFFFF"/>
        <w:tabs>
          <w:tab w:val="left" w:pos="1134" w:leader="none"/>
        </w:tabs>
        <w:spacing w:lineRule="auto" w:line="240"/>
        <w:ind w:firstLine="709"/>
        <w:rPr>
          <w:highlight w:val="white"/>
        </w:rPr>
      </w:pPr>
      <w:r>
        <w:rPr>
          <w:bCs/>
          <w:iCs/>
          <w:sz w:val="24"/>
          <w:szCs w:val="24"/>
          <w:shd w:fill="FFFFFF" w:val="clear"/>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pPr>
        <w:pStyle w:val="ListParagraph"/>
        <w:shd w:val="clear" w:color="auto" w:fill="FFFFFF"/>
        <w:ind w:left="0" w:firstLine="567"/>
        <w:rPr>
          <w:rFonts w:ascii="Times New Roman" w:hAnsi="Times New Roman"/>
          <w:bCs/>
          <w:sz w:val="24"/>
          <w:szCs w:val="24"/>
          <w:shd w:fill="FFFFFF" w:val="clear"/>
        </w:rPr>
      </w:pPr>
      <w:r>
        <w:rPr>
          <w:bCs/>
          <w:sz w:val="24"/>
          <w:szCs w:val="24"/>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z w:val="24"/>
          <w:szCs w:val="24"/>
          <w:shd w:fill="FFFFFF" w:val="clear"/>
        </w:rPr>
        <w:t>Список приложений</w:t>
      </w:r>
    </w:p>
    <w:p>
      <w:pPr>
        <w:pStyle w:val="ListParagraph"/>
        <w:shd w:val="clear" w:color="auto" w:fill="FFFFFF"/>
        <w:ind w:left="0" w:hanging="0"/>
        <w:jc w:val="both"/>
        <w:rPr>
          <w:highlight w:val="white"/>
        </w:rPr>
      </w:pPr>
      <w:r>
        <w:rPr>
          <w:sz w:val="24"/>
          <w:szCs w:val="24"/>
          <w:shd w:fill="FFFFFF" w:val="clear"/>
        </w:rPr>
        <w:t xml:space="preserve">Приложение № </w:t>
      </w:r>
      <w:r>
        <w:rPr>
          <w:bCs/>
          <w:sz w:val="24"/>
          <w:szCs w:val="24"/>
          <w:shd w:fill="FFFFFF" w:val="clear"/>
        </w:rPr>
        <w:t>1 – Техническое задание;</w:t>
      </w:r>
    </w:p>
    <w:p>
      <w:pPr>
        <w:pStyle w:val="ListParagraph"/>
        <w:widowControl/>
        <w:shd w:val="clear" w:fill="FFFFFF"/>
        <w:suppressAutoHyphens w:val="true"/>
        <w:bidi w:val="0"/>
        <w:spacing w:lineRule="auto" w:line="240" w:before="0" w:after="0"/>
        <w:ind w:left="113" w:right="113" w:hanging="113"/>
        <w:contextualSpacing/>
        <w:jc w:val="both"/>
        <w:rPr>
          <w:highlight w:val="white"/>
        </w:rPr>
      </w:pPr>
      <w:r>
        <w:rPr>
          <w:bCs/>
          <w:sz w:val="24"/>
          <w:szCs w:val="24"/>
          <w:shd w:fill="FFFFFF" w:val="clear"/>
        </w:rPr>
        <w:t xml:space="preserve">Приложение № 1.1 – Требования к фото- и </w:t>
      </w:r>
      <w:r>
        <w:rPr>
          <w:rFonts w:eastAsia="Times New Roman" w:cs="Times New Roman"/>
          <w:bCs/>
          <w:color w:val="000000"/>
          <w:sz w:val="24"/>
          <w:szCs w:val="24"/>
          <w:shd w:fill="FFFFFF" w:val="clear"/>
          <w:lang w:val="ru-RU" w:eastAsia="ru-RU" w:bidi="ar-SA"/>
        </w:rPr>
        <w:t>видеофиксации</w:t>
      </w:r>
      <w:r>
        <w:rPr>
          <w:bCs/>
          <w:sz w:val="24"/>
          <w:szCs w:val="24"/>
          <w:shd w:fill="FFFFFF" w:val="clear"/>
        </w:rPr>
        <w:t xml:space="preserve"> при выполнении Работ;</w:t>
      </w:r>
    </w:p>
    <w:p>
      <w:pPr>
        <w:pStyle w:val="ListParagraph"/>
        <w:shd w:val="clear" w:color="auto" w:fill="FFFFFF"/>
        <w:ind w:left="0" w:hanging="0"/>
        <w:jc w:val="both"/>
        <w:rPr>
          <w:highlight w:val="white"/>
        </w:rPr>
      </w:pPr>
      <w:r>
        <w:rPr>
          <w:bCs/>
          <w:sz w:val="24"/>
          <w:szCs w:val="24"/>
          <w:shd w:fill="FFFFFF" w:val="clear"/>
        </w:rPr>
        <w:t>Приложение № 2 – Календарный график выполнения Работ;</w:t>
      </w:r>
    </w:p>
    <w:p>
      <w:pPr>
        <w:pStyle w:val="ListParagraph"/>
        <w:shd w:val="clear" w:color="auto" w:fill="FFFFFF"/>
        <w:ind w:left="0" w:hanging="0"/>
        <w:jc w:val="both"/>
        <w:rPr>
          <w:highlight w:val="white"/>
        </w:rPr>
      </w:pPr>
      <w:r>
        <w:rPr>
          <w:bCs/>
          <w:sz w:val="24"/>
          <w:szCs w:val="24"/>
          <w:shd w:fill="FFFFFF" w:val="clear"/>
        </w:rPr>
        <w:t>Приложение № 3 – Сводная смета с приложениями;</w:t>
      </w:r>
    </w:p>
    <w:p>
      <w:pPr>
        <w:pStyle w:val="ListParagraph"/>
        <w:shd w:val="clear" w:color="auto" w:fill="FFFFFF"/>
        <w:ind w:left="0" w:hanging="0"/>
        <w:jc w:val="both"/>
        <w:rPr>
          <w:highlight w:val="white"/>
        </w:rPr>
      </w:pPr>
      <w:r>
        <w:rPr>
          <w:bCs/>
          <w:sz w:val="24"/>
          <w:szCs w:val="24"/>
          <w:shd w:fill="FFFFFF" w:val="clear"/>
        </w:rPr>
        <w:t xml:space="preserve">Приложение № 4.1 – </w:t>
      </w:r>
      <w:r>
        <w:rPr>
          <w:bCs/>
          <w:iCs/>
          <w:sz w:val="24"/>
          <w:szCs w:val="24"/>
          <w:shd w:fill="FFFFFF" w:val="clear"/>
        </w:rPr>
        <w:t xml:space="preserve">Форма Акта </w:t>
      </w:r>
      <w:r>
        <w:rPr>
          <w:bCs/>
          <w:sz w:val="24"/>
          <w:szCs w:val="24"/>
          <w:shd w:fill="FFFFFF" w:val="clear"/>
        </w:rPr>
        <w:t>сдачи-приемки места производства Работ, места (помещения) для складирования Материально-технических ресурсов и оборудования.</w:t>
      </w:r>
    </w:p>
    <w:p>
      <w:pPr>
        <w:pStyle w:val="ListParagraph"/>
        <w:shd w:val="clear" w:color="auto" w:fill="FFFFFF"/>
        <w:ind w:left="0" w:hanging="0"/>
        <w:jc w:val="both"/>
        <w:rPr>
          <w:highlight w:val="white"/>
        </w:rPr>
      </w:pPr>
      <w:r>
        <w:rPr>
          <w:bCs/>
          <w:sz w:val="24"/>
          <w:szCs w:val="24"/>
          <w:shd w:fill="FFFFFF" w:val="clear"/>
        </w:rPr>
        <w:t>Приложение № 4.2 – Форма Акта сдачи-приемки технической и иной документации;</w:t>
      </w:r>
    </w:p>
    <w:p>
      <w:pPr>
        <w:pStyle w:val="ListParagraph"/>
        <w:shd w:val="clear" w:color="auto" w:fill="FFFFFF"/>
        <w:ind w:left="0" w:hanging="0"/>
        <w:jc w:val="both"/>
        <w:rPr>
          <w:highlight w:val="white"/>
        </w:rPr>
      </w:pPr>
      <w:r>
        <w:rPr>
          <w:bCs/>
          <w:sz w:val="24"/>
          <w:szCs w:val="24"/>
          <w:shd w:fill="FFFFFF" w:val="clear"/>
        </w:rPr>
        <w:t xml:space="preserve">Приложение № 5 – Перечень допусков, разрешений и лицензий Подрядчика; </w:t>
      </w:r>
    </w:p>
    <w:p>
      <w:pPr>
        <w:pStyle w:val="ListParagraph"/>
        <w:shd w:val="clear" w:color="auto" w:fill="FFFFFF"/>
        <w:ind w:left="0" w:hanging="0"/>
        <w:jc w:val="both"/>
        <w:rPr>
          <w:highlight w:val="white"/>
        </w:rPr>
      </w:pPr>
      <w:r>
        <w:rPr>
          <w:bCs/>
          <w:sz w:val="24"/>
          <w:szCs w:val="24"/>
          <w:shd w:fill="FFFFFF" w:val="clear"/>
        </w:rPr>
        <w:t>Приложение № 6 – Размер ответственности Подрядчика за нарушения пропускного и внутриобъектового режима, требований охраны труда, пожарной и промышленной безопасности;</w:t>
      </w:r>
    </w:p>
    <w:p>
      <w:pPr>
        <w:pStyle w:val="ListParagraph"/>
        <w:shd w:val="clear" w:color="auto" w:fill="FFFFFF"/>
        <w:ind w:left="0" w:hanging="0"/>
        <w:jc w:val="both"/>
        <w:rPr>
          <w:highlight w:val="white"/>
        </w:rPr>
      </w:pPr>
      <w:r>
        <w:rPr>
          <w:bCs/>
          <w:sz w:val="24"/>
          <w:szCs w:val="24"/>
          <w:shd w:fill="FFFFFF" w:val="clear"/>
        </w:rPr>
        <w:t>Приложение № 7 – Форма Акта сдачи-приемки выполненных работ;</w:t>
      </w:r>
    </w:p>
    <w:p>
      <w:pPr>
        <w:pStyle w:val="ListParagraph"/>
        <w:shd w:val="clear" w:fill="FFFFFF"/>
        <w:ind w:left="0" w:right="0" w:hanging="0"/>
        <w:jc w:val="both"/>
        <w:rPr>
          <w:highlight w:val="white"/>
        </w:rPr>
      </w:pPr>
      <w:r>
        <w:rPr>
          <w:bCs/>
          <w:color w:val="00000A"/>
          <w:sz w:val="24"/>
          <w:szCs w:val="24"/>
          <w:shd w:fill="FFFFFF" w:val="clear"/>
        </w:rPr>
        <w:t>Приложение № 8 – Критерии отбора Банков-гарантов.</w:t>
      </w:r>
    </w:p>
    <w:p>
      <w:pPr>
        <w:pStyle w:val="ListParagraph"/>
        <w:shd w:val="clear" w:color="auto" w:fill="FFFFFF"/>
        <w:ind w:left="0" w:hanging="0"/>
        <w:jc w:val="both"/>
        <w:rPr>
          <w:rFonts w:ascii="Times New Roman" w:hAnsi="Times New Roman"/>
          <w:bCs/>
          <w:sz w:val="24"/>
          <w:szCs w:val="24"/>
          <w:shd w:fill="FFFFFF" w:val="clear"/>
        </w:rPr>
      </w:pPr>
      <w:r>
        <w:rPr>
          <w:bCs/>
          <w:sz w:val="24"/>
          <w:szCs w:val="24"/>
          <w:shd w:fill="FFFFFF" w:val="clear"/>
        </w:rPr>
      </w:r>
    </w:p>
    <w:p>
      <w:pPr>
        <w:pStyle w:val="ListParagraph"/>
        <w:numPr>
          <w:ilvl w:val="0"/>
          <w:numId w:val="1"/>
        </w:numPr>
        <w:shd w:val="clear" w:color="auto" w:fill="FFFFFF"/>
        <w:tabs>
          <w:tab w:val="left" w:pos="426" w:leader="none"/>
        </w:tabs>
        <w:ind w:left="0" w:hanging="0"/>
        <w:jc w:val="center"/>
        <w:rPr>
          <w:highlight w:val="white"/>
        </w:rPr>
      </w:pPr>
      <w:r>
        <w:rPr>
          <w:b/>
          <w:bCs/>
          <w:sz w:val="24"/>
          <w:szCs w:val="24"/>
          <w:shd w:fill="FFFFFF" w:val="clear"/>
        </w:rPr>
        <w:t>Адреса и платежные реквизиты Сторон</w:t>
      </w:r>
    </w:p>
    <w:p>
      <w:pPr>
        <w:pStyle w:val="ListParagraph"/>
        <w:shd w:val="clear" w:color="auto" w:fill="FFFFFF"/>
        <w:tabs>
          <w:tab w:val="left" w:pos="426" w:leader="none"/>
        </w:tabs>
        <w:ind w:left="0" w:hanging="0"/>
        <w:rPr>
          <w:rFonts w:ascii="Times New Roman" w:hAnsi="Times New Roman"/>
          <w:b/>
          <w:b/>
          <w:bCs/>
          <w:sz w:val="24"/>
          <w:szCs w:val="24"/>
          <w:shd w:fill="FFFFFF" w:val="clear"/>
        </w:rPr>
      </w:pPr>
      <w:r>
        <w:rPr>
          <w:b/>
          <w:bCs/>
          <w:sz w:val="24"/>
          <w:szCs w:val="24"/>
          <w:shd w:fill="FFFFFF" w:val="clear"/>
        </w:rPr>
      </w:r>
    </w:p>
    <w:tbl>
      <w:tblPr>
        <w:tblW w:w="9639" w:type="dxa"/>
        <w:jc w:val="left"/>
        <w:tblInd w:w="0" w:type="dxa"/>
        <w:tblBorders/>
        <w:tblCellMar>
          <w:top w:w="0" w:type="dxa"/>
          <w:left w:w="108" w:type="dxa"/>
          <w:bottom w:w="0" w:type="dxa"/>
          <w:right w:w="108" w:type="dxa"/>
        </w:tblCellMar>
        <w:tblLook w:val="01e0" w:noVBand="0" w:noHBand="0" w:lastColumn="1" w:firstColumn="1" w:lastRow="1" w:firstRow="1"/>
      </w:tblPr>
      <w:tblGrid>
        <w:gridCol w:w="4779"/>
        <w:gridCol w:w="133"/>
        <w:gridCol w:w="4646"/>
        <w:gridCol w:w="81"/>
      </w:tblGrid>
      <w:tr>
        <w:trPr/>
        <w:tc>
          <w:tcPr>
            <w:tcW w:w="4912" w:type="dxa"/>
            <w:gridSpan w:val="2"/>
            <w:tcBorders/>
            <w:shd w:fill="auto" w:val="clear"/>
          </w:tcPr>
          <w:p>
            <w:pPr>
              <w:pStyle w:val="Normal"/>
              <w:widowControl w:val="false"/>
              <w:spacing w:lineRule="auto" w:line="240"/>
              <w:ind w:hanging="0"/>
              <w:rPr>
                <w:rFonts w:ascii="Times New Roman" w:hAnsi="Times New Roman"/>
                <w:sz w:val="24"/>
                <w:szCs w:val="24"/>
                <w:highlight w:val="white"/>
              </w:rPr>
            </w:pPr>
            <w:r>
              <w:rPr>
                <w:sz w:val="24"/>
                <w:szCs w:val="24"/>
                <w:shd w:fill="FFFFFF" w:val="clear"/>
              </w:rPr>
              <w:t>ЗАКАЗЧИК:</w:t>
            </w:r>
          </w:p>
        </w:tc>
        <w:tc>
          <w:tcPr>
            <w:tcW w:w="4727" w:type="dxa"/>
            <w:gridSpan w:val="2"/>
            <w:tcBorders/>
            <w:shd w:fill="auto" w:val="clear"/>
          </w:tcPr>
          <w:p>
            <w:pPr>
              <w:pStyle w:val="Normal"/>
              <w:widowControl w:val="false"/>
              <w:spacing w:lineRule="auto" w:line="240"/>
              <w:ind w:hanging="0"/>
              <w:rPr>
                <w:rFonts w:ascii="Times New Roman" w:hAnsi="Times New Roman"/>
                <w:sz w:val="24"/>
                <w:szCs w:val="24"/>
                <w:highlight w:val="white"/>
              </w:rPr>
            </w:pPr>
            <w:r>
              <w:rPr>
                <w:sz w:val="24"/>
                <w:szCs w:val="24"/>
                <w:shd w:fill="FFFFFF" w:val="clear"/>
              </w:rPr>
              <w:t>ПОДРЯДЧИК:</w:t>
            </w:r>
          </w:p>
        </w:tc>
      </w:tr>
      <w:tr>
        <w:trPr/>
        <w:tc>
          <w:tcPr>
            <w:tcW w:w="4912" w:type="dxa"/>
            <w:gridSpan w:val="2"/>
            <w:tcBorders/>
            <w:shd w:color="auto" w:fill="BFBFBF" w:themeFill="background1" w:themeFillShade="bf" w:val="clear"/>
          </w:tcPr>
          <w:p>
            <w:pPr>
              <w:pStyle w:val="Normal"/>
              <w:widowControl w:val="false"/>
              <w:spacing w:lineRule="auto" w:line="240"/>
              <w:ind w:hanging="0"/>
              <w:jc w:val="left"/>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jc w:val="left"/>
              <w:rPr>
                <w:rFonts w:ascii="Times New Roman" w:hAnsi="Times New Roman"/>
                <w:b/>
                <w:b/>
                <w:sz w:val="24"/>
                <w:szCs w:val="24"/>
                <w:highlight w:val="white"/>
              </w:rPr>
            </w:pPr>
            <w:r>
              <w:rPr>
                <w:b/>
                <w:sz w:val="24"/>
                <w:szCs w:val="24"/>
                <w:shd w:fill="FFFFFF" w:val="clear"/>
              </w:rPr>
              <w:t>Акционерное общество</w:t>
            </w:r>
          </w:p>
          <w:p>
            <w:pPr>
              <w:pStyle w:val="Normal"/>
              <w:widowControl w:val="false"/>
              <w:spacing w:lineRule="auto" w:line="240"/>
              <w:ind w:hanging="0"/>
              <w:jc w:val="left"/>
              <w:rPr>
                <w:rFonts w:ascii="Times New Roman" w:hAnsi="Times New Roman"/>
                <w:b/>
                <w:b/>
                <w:sz w:val="24"/>
                <w:szCs w:val="24"/>
                <w:highlight w:val="white"/>
              </w:rPr>
            </w:pPr>
            <w:r>
              <w:rPr>
                <w:b/>
                <w:sz w:val="24"/>
                <w:szCs w:val="24"/>
                <w:shd w:fill="FFFFFF" w:val="clear"/>
              </w:rPr>
              <w:t>«Дальневосточная распределительная сетевая компания» (АО «ДРСК»)</w:t>
            </w:r>
          </w:p>
          <w:p>
            <w:pPr>
              <w:pStyle w:val="Normal"/>
              <w:widowControl w:val="false"/>
              <w:spacing w:lineRule="auto" w:line="240"/>
              <w:ind w:hanging="0"/>
              <w:jc w:val="left"/>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Место нахождения:</w:t>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_________________________________</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Почтовый адрес:</w:t>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_________________________________</w:t>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ОГРН ___________________________</w:t>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ИНН ____________ / КПП___________</w:t>
            </w:r>
          </w:p>
          <w:p>
            <w:pPr>
              <w:pStyle w:val="Normal"/>
              <w:widowControl w:val="false"/>
              <w:spacing w:lineRule="auto" w:line="240"/>
              <w:ind w:hanging="0"/>
              <w:jc w:val="left"/>
              <w:rPr>
                <w:rFonts w:ascii="Times New Roman" w:hAnsi="Times New Roman"/>
                <w:sz w:val="24"/>
                <w:szCs w:val="24"/>
                <w:highlight w:val="white"/>
              </w:rPr>
            </w:pPr>
            <w:r>
              <w:rPr>
                <w:sz w:val="24"/>
                <w:szCs w:val="24"/>
                <w:shd w:fill="FFFFFF" w:val="clear"/>
              </w:rPr>
              <w:t>_________________________________</w:t>
            </w:r>
          </w:p>
          <w:p>
            <w:pPr>
              <w:pStyle w:val="Normal"/>
              <w:widowControl w:val="false"/>
              <w:spacing w:lineRule="auto" w:line="240"/>
              <w:ind w:hanging="0"/>
              <w:jc w:val="left"/>
              <w:rPr>
                <w:rFonts w:ascii="Times New Roman" w:hAnsi="Times New Roman"/>
                <w:sz w:val="24"/>
                <w:szCs w:val="24"/>
                <w:highlight w:val="white"/>
              </w:rPr>
            </w:pPr>
            <w:r>
              <w:rPr>
                <w:sz w:val="24"/>
                <w:szCs w:val="24"/>
                <w:shd w:fill="FFFFFF" w:val="clear"/>
              </w:rPr>
              <w:t xml:space="preserve"> </w:t>
            </w:r>
            <w:r>
              <w:rPr>
                <w:sz w:val="24"/>
                <w:szCs w:val="24"/>
                <w:shd w:fill="FFFFFF" w:val="clear"/>
              </w:rPr>
              <w:t>(номер расчетного счета)</w:t>
            </w:r>
          </w:p>
          <w:p>
            <w:pPr>
              <w:pStyle w:val="Normal"/>
              <w:widowControl w:val="false"/>
              <w:spacing w:lineRule="auto" w:line="240"/>
              <w:ind w:hanging="0"/>
              <w:jc w:val="left"/>
              <w:rPr>
                <w:rFonts w:ascii="Times New Roman" w:hAnsi="Times New Roman"/>
                <w:sz w:val="24"/>
                <w:szCs w:val="24"/>
                <w:highlight w:val="white"/>
              </w:rPr>
            </w:pPr>
            <w:r>
              <w:rPr>
                <w:sz w:val="24"/>
                <w:szCs w:val="24"/>
                <w:shd w:fill="FFFFFF" w:val="clear"/>
              </w:rPr>
              <w:t>_________________________________</w:t>
            </w:r>
          </w:p>
          <w:p>
            <w:pPr>
              <w:pStyle w:val="Normal"/>
              <w:widowControl w:val="false"/>
              <w:spacing w:lineRule="auto" w:line="240"/>
              <w:ind w:hanging="0"/>
              <w:jc w:val="left"/>
              <w:rPr>
                <w:rFonts w:ascii="Times New Roman" w:hAnsi="Times New Roman"/>
                <w:sz w:val="24"/>
                <w:szCs w:val="24"/>
                <w:highlight w:val="white"/>
              </w:rPr>
            </w:pPr>
            <w:r>
              <w:rPr>
                <w:sz w:val="24"/>
                <w:szCs w:val="24"/>
                <w:shd w:fill="FFFFFF" w:val="clear"/>
              </w:rPr>
              <w:t>(наименование банка, в котором</w:t>
            </w:r>
          </w:p>
          <w:p>
            <w:pPr>
              <w:pStyle w:val="Normal"/>
              <w:widowControl w:val="false"/>
              <w:spacing w:lineRule="auto" w:line="240"/>
              <w:ind w:hanging="0"/>
              <w:jc w:val="left"/>
              <w:rPr>
                <w:rFonts w:ascii="Times New Roman" w:hAnsi="Times New Roman"/>
                <w:sz w:val="24"/>
                <w:szCs w:val="24"/>
                <w:highlight w:val="white"/>
              </w:rPr>
            </w:pPr>
            <w:r>
              <w:rPr>
                <w:sz w:val="24"/>
                <w:szCs w:val="24"/>
                <w:shd w:fill="FFFFFF" w:val="clear"/>
              </w:rPr>
              <w:t>открыт расчетный счет)</w:t>
            </w:r>
          </w:p>
          <w:p>
            <w:pPr>
              <w:pStyle w:val="Normal"/>
              <w:widowControl w:val="false"/>
              <w:spacing w:lineRule="auto" w:line="240"/>
              <w:ind w:hanging="0"/>
              <w:jc w:val="left"/>
              <w:rPr>
                <w:rFonts w:ascii="Times New Roman" w:hAnsi="Times New Roman"/>
                <w:sz w:val="24"/>
                <w:szCs w:val="24"/>
                <w:highlight w:val="white"/>
              </w:rPr>
            </w:pPr>
            <w:r>
              <w:rPr>
                <w:sz w:val="24"/>
                <w:szCs w:val="24"/>
                <w:shd w:fill="FFFFFF" w:val="clear"/>
              </w:rPr>
              <w:t>_________________________________</w:t>
            </w:r>
          </w:p>
          <w:p>
            <w:pPr>
              <w:pStyle w:val="Normal"/>
              <w:widowControl w:val="false"/>
              <w:spacing w:lineRule="auto" w:line="240"/>
              <w:ind w:hanging="0"/>
              <w:jc w:val="left"/>
              <w:rPr>
                <w:rFonts w:ascii="Times New Roman" w:hAnsi="Times New Roman"/>
                <w:sz w:val="24"/>
                <w:szCs w:val="24"/>
                <w:highlight w:val="white"/>
              </w:rPr>
            </w:pPr>
            <w:r>
              <w:rPr>
                <w:sz w:val="24"/>
                <w:szCs w:val="24"/>
                <w:shd w:fill="FFFFFF" w:val="clear"/>
              </w:rPr>
              <w:t>(номер корреспондентского счета банка)</w:t>
            </w:r>
          </w:p>
          <w:p>
            <w:pPr>
              <w:pStyle w:val="Normal"/>
              <w:widowControl w:val="false"/>
              <w:spacing w:lineRule="auto" w:line="240"/>
              <w:ind w:hanging="0"/>
              <w:jc w:val="left"/>
              <w:rPr>
                <w:rFonts w:ascii="Times New Roman" w:hAnsi="Times New Roman"/>
                <w:sz w:val="24"/>
                <w:szCs w:val="24"/>
                <w:highlight w:val="white"/>
              </w:rPr>
            </w:pPr>
            <w:r>
              <w:rPr>
                <w:sz w:val="24"/>
                <w:szCs w:val="24"/>
                <w:shd w:fill="FFFFFF" w:val="clear"/>
              </w:rPr>
              <w:t>_________________________________</w:t>
            </w:r>
          </w:p>
          <w:p>
            <w:pPr>
              <w:pStyle w:val="Normal"/>
              <w:widowControl w:val="false"/>
              <w:spacing w:lineRule="auto" w:line="240"/>
              <w:ind w:hanging="0"/>
              <w:jc w:val="left"/>
              <w:rPr>
                <w:rFonts w:ascii="Times New Roman" w:hAnsi="Times New Roman"/>
                <w:sz w:val="24"/>
                <w:szCs w:val="24"/>
                <w:highlight w:val="white"/>
              </w:rPr>
            </w:pPr>
            <w:r>
              <w:rPr>
                <w:sz w:val="24"/>
                <w:szCs w:val="24"/>
                <w:shd w:fill="FFFFFF" w:val="clear"/>
              </w:rPr>
              <w:t>(БИК банка)</w:t>
            </w:r>
          </w:p>
          <w:p>
            <w:pPr>
              <w:pStyle w:val="Normal"/>
              <w:widowControl w:val="false"/>
              <w:spacing w:lineRule="auto" w:line="240"/>
              <w:ind w:hanging="0"/>
              <w:jc w:val="left"/>
              <w:rPr>
                <w:rFonts w:ascii="Times New Roman" w:hAnsi="Times New Roman"/>
                <w:sz w:val="24"/>
                <w:szCs w:val="24"/>
                <w:highlight w:val="white"/>
              </w:rPr>
            </w:pPr>
            <w:r>
              <w:rPr>
                <w:sz w:val="24"/>
                <w:szCs w:val="24"/>
                <w:shd w:fill="FFFFFF" w:val="clear"/>
              </w:rPr>
              <w:t>_________________________________</w:t>
            </w:r>
          </w:p>
          <w:p>
            <w:pPr>
              <w:pStyle w:val="Normal"/>
              <w:widowControl w:val="false"/>
              <w:spacing w:lineRule="auto" w:line="240"/>
              <w:ind w:hanging="0"/>
              <w:jc w:val="left"/>
              <w:rPr>
                <w:rFonts w:ascii="Times New Roman" w:hAnsi="Times New Roman"/>
                <w:sz w:val="24"/>
                <w:szCs w:val="24"/>
                <w:highlight w:val="white"/>
              </w:rPr>
            </w:pPr>
            <w:r>
              <w:rPr>
                <w:sz w:val="24"/>
                <w:szCs w:val="24"/>
                <w:shd w:fill="FFFFFF" w:val="clear"/>
              </w:rPr>
              <w:t>(номер телефона)</w:t>
            </w:r>
          </w:p>
          <w:p>
            <w:pPr>
              <w:pStyle w:val="Normal"/>
              <w:widowControl w:val="false"/>
              <w:spacing w:lineRule="auto" w:line="240"/>
              <w:ind w:hanging="0"/>
              <w:jc w:val="left"/>
              <w:rPr>
                <w:rFonts w:ascii="Times New Roman" w:hAnsi="Times New Roman"/>
                <w:sz w:val="24"/>
                <w:szCs w:val="24"/>
                <w:highlight w:val="white"/>
              </w:rPr>
            </w:pPr>
            <w:r>
              <w:rPr>
                <w:sz w:val="24"/>
                <w:szCs w:val="24"/>
                <w:shd w:fill="FFFFFF" w:val="clear"/>
              </w:rPr>
              <w:t>_________________________________</w:t>
            </w:r>
          </w:p>
          <w:p>
            <w:pPr>
              <w:pStyle w:val="Normal"/>
              <w:widowControl w:val="false"/>
              <w:spacing w:lineRule="auto" w:line="240"/>
              <w:ind w:hanging="0"/>
              <w:jc w:val="left"/>
              <w:rPr>
                <w:rFonts w:ascii="Times New Roman" w:hAnsi="Times New Roman"/>
                <w:sz w:val="24"/>
                <w:szCs w:val="24"/>
                <w:highlight w:val="white"/>
              </w:rPr>
            </w:pPr>
            <w:r>
              <w:rPr>
                <w:sz w:val="24"/>
                <w:szCs w:val="24"/>
                <w:shd w:fill="FFFFFF" w:val="clear"/>
              </w:rPr>
              <w:t>(номер факса)</w:t>
            </w:r>
          </w:p>
          <w:p>
            <w:pPr>
              <w:pStyle w:val="Normal"/>
              <w:widowControl w:val="false"/>
              <w:spacing w:lineRule="auto" w:line="240"/>
              <w:ind w:hanging="0"/>
              <w:jc w:val="left"/>
              <w:rPr>
                <w:rFonts w:ascii="Times New Roman" w:hAnsi="Times New Roman"/>
                <w:sz w:val="24"/>
                <w:szCs w:val="24"/>
                <w:shd w:fill="FFFFFF" w:val="clear"/>
              </w:rPr>
            </w:pPr>
            <w:r>
              <w:rPr>
                <w:sz w:val="24"/>
                <w:szCs w:val="24"/>
                <w:shd w:fill="FFFFFF" w:val="clear"/>
              </w:rPr>
            </w:r>
          </w:p>
        </w:tc>
        <w:tc>
          <w:tcPr>
            <w:tcW w:w="4727" w:type="dxa"/>
            <w:gridSpan w:val="2"/>
            <w:tcBorders/>
            <w:shd w:color="auto" w:fill="BFBFBF" w:themeFill="background1" w:themeFillShade="bf"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_________________________________</w:t>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(наименование юридического лица)</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Место нахождения:</w:t>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_________________________________</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Почтовый адрес:</w:t>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_________________________________</w:t>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ОГРН ___________________________</w:t>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ИНН ____________ / КПП___________</w:t>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_________________________________</w:t>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(номер расчетного счета)</w:t>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_________________________________</w:t>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(наименование банка, в котором</w:t>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открыт расчетный счет)</w:t>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_________________________________</w:t>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(номер корреспондентского счета банка)</w:t>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_________________________________</w:t>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(БИК банка)</w:t>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_________________________________</w:t>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(номер телефона)</w:t>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_________________________________</w:t>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(номер факса)</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r>
        <w:trPr/>
        <w:tc>
          <w:tcPr>
            <w:tcW w:w="4779" w:type="dxa"/>
            <w:tcBorders/>
            <w:shd w:fill="auto" w:val="clear"/>
          </w:tcPr>
          <w:p>
            <w:pPr>
              <w:pStyle w:val="Normal"/>
              <w:widowControl w:val="false"/>
              <w:spacing w:lineRule="auto" w:line="240"/>
              <w:ind w:hanging="0"/>
              <w:jc w:val="left"/>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jc w:val="left"/>
              <w:rPr>
                <w:rFonts w:ascii="Times New Roman" w:hAnsi="Times New Roman"/>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jc w:val="left"/>
              <w:rPr>
                <w:rFonts w:ascii="Times New Roman" w:hAnsi="Times New Roman"/>
                <w:sz w:val="24"/>
                <w:szCs w:val="24"/>
                <w:shd w:fill="FFFFFF" w:val="clear"/>
              </w:rPr>
            </w:pPr>
            <w:r>
              <w:rPr>
                <w:sz w:val="24"/>
                <w:szCs w:val="24"/>
                <w:shd w:fill="FFFFFF" w:val="clear"/>
              </w:rPr>
            </w:r>
          </w:p>
        </w:tc>
        <w:tc>
          <w:tcPr>
            <w:tcW w:w="4779" w:type="dxa"/>
            <w:gridSpan w:val="2"/>
            <w:tcBorders/>
            <w:shd w:fill="auto" w:val="clear"/>
          </w:tcPr>
          <w:p>
            <w:pPr>
              <w:pStyle w:val="Normal"/>
              <w:widowControl w:val="false"/>
              <w:spacing w:lineRule="auto" w:line="240"/>
              <w:ind w:hanging="0"/>
              <w:jc w:val="left"/>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jc w:val="left"/>
              <w:rPr>
                <w:rFonts w:ascii="Times New Roman" w:hAnsi="Times New Roman"/>
                <w:sz w:val="24"/>
                <w:szCs w:val="24"/>
                <w:highlight w:val="white"/>
              </w:rPr>
            </w:pPr>
            <w:r>
              <w:rPr>
                <w:sz w:val="24"/>
                <w:szCs w:val="24"/>
                <w:shd w:fill="FFFFFF" w:val="clear"/>
              </w:rPr>
              <w:t>_______________ / _______________</w:t>
            </w:r>
          </w:p>
          <w:p>
            <w:pPr>
              <w:pStyle w:val="Normal"/>
              <w:widowControl w:val="false"/>
              <w:spacing w:lineRule="auto" w:line="240"/>
              <w:ind w:hanging="0"/>
              <w:jc w:val="left"/>
              <w:rPr>
                <w:rFonts w:ascii="Times New Roman" w:hAnsi="Times New Roman"/>
                <w:sz w:val="24"/>
                <w:szCs w:val="24"/>
                <w:shd w:fill="FFFFFF" w:val="clear"/>
              </w:rPr>
            </w:pPr>
            <w:r>
              <w:rPr>
                <w:sz w:val="24"/>
                <w:szCs w:val="24"/>
                <w:shd w:fill="FFFFFF" w:val="clear"/>
              </w:rPr>
            </w:r>
          </w:p>
        </w:tc>
        <w:tc>
          <w:tcPr>
            <w:tcW w:w="81" w:type="dxa"/>
            <w:tcBorders/>
            <w:shd w:fill="auto" w:val="clear"/>
          </w:tcPr>
          <w:p>
            <w:pPr>
              <w:pStyle w:val="Normal"/>
              <w:widowControl w:val="false"/>
              <w:rPr>
                <w:rFonts w:ascii="Times New Roman" w:hAnsi="Times New Roman"/>
                <w:sz w:val="24"/>
                <w:szCs w:val="24"/>
                <w:shd w:fill="FFFFFF" w:val="clear"/>
              </w:rPr>
            </w:pPr>
            <w:r>
              <w:rPr>
                <w:sz w:val="24"/>
                <w:szCs w:val="24"/>
                <w:shd w:fill="FFFFFF" w:val="clear"/>
              </w:rPr>
            </w:r>
          </w:p>
        </w:tc>
      </w:tr>
    </w:tbl>
    <w:p>
      <w:pPr>
        <w:sectPr>
          <w:headerReference w:type="default" r:id="rId5"/>
          <w:headerReference w:type="first" r:id="rId6"/>
          <w:footnotePr>
            <w:numFmt w:val="decimal"/>
          </w:footnotePr>
          <w:type w:val="nextPage"/>
          <w:pgSz w:w="11906" w:h="16838"/>
          <w:pgMar w:left="1418" w:right="851" w:header="426" w:top="851" w:footer="0" w:bottom="1134" w:gutter="0"/>
          <w:pgNumType w:fmt="decimal"/>
          <w:formProt w:val="false"/>
          <w:titlePg/>
          <w:textDirection w:val="lrTb"/>
          <w:docGrid w:type="default" w:linePitch="381" w:charSpace="4294952959"/>
        </w:sectPr>
      </w:pPr>
    </w:p>
    <w:p>
      <w:pPr>
        <w:pStyle w:val="Normal"/>
        <w:shd w:val="clear" w:color="auto" w:fill="FFFFFF"/>
        <w:tabs>
          <w:tab w:val="left" w:pos="3148" w:leader="none"/>
          <w:tab w:val="center" w:pos="4818" w:leader="none"/>
          <w:tab w:val="left" w:pos="6926" w:leader="none"/>
        </w:tabs>
        <w:spacing w:lineRule="auto" w:line="240"/>
        <w:ind w:hanging="0"/>
        <w:jc w:val="right"/>
        <w:rPr>
          <w:highlight w:val="white"/>
        </w:rPr>
      </w:pPr>
      <w:r>
        <w:rPr>
          <w:sz w:val="24"/>
          <w:szCs w:val="24"/>
          <w:shd w:fill="FFFFFF" w:val="clear"/>
        </w:rPr>
        <w:t>Приложение № 1</w:t>
      </w:r>
    </w:p>
    <w:p>
      <w:pPr>
        <w:pStyle w:val="Normal"/>
        <w:spacing w:lineRule="auto" w:line="240"/>
        <w:ind w:left="4820" w:hanging="0"/>
        <w:rPr>
          <w:highlight w:val="white"/>
        </w:rPr>
      </w:pPr>
      <w:r>
        <w:rPr>
          <w:sz w:val="24"/>
          <w:szCs w:val="24"/>
          <w:shd w:fill="FFFFFF" w:val="clear"/>
        </w:rPr>
        <w:t>к Договору подряда</w:t>
      </w:r>
    </w:p>
    <w:p>
      <w:pPr>
        <w:pStyle w:val="Normal"/>
        <w:spacing w:lineRule="auto" w:line="240"/>
        <w:ind w:left="4820" w:hanging="0"/>
        <w:rPr>
          <w:highlight w:val="white"/>
        </w:rPr>
      </w:pPr>
      <w:r>
        <w:rPr>
          <w:sz w:val="24"/>
          <w:szCs w:val="24"/>
          <w:shd w:fill="FFFFFF" w:val="clear"/>
        </w:rPr>
        <w:t>от «____» __________ 20 _ г. № ________</w:t>
      </w:r>
    </w:p>
    <w:p>
      <w:pPr>
        <w:pStyle w:val="Normal"/>
        <w:spacing w:lineRule="auto" w:line="240"/>
        <w:ind w:left="1416" w:hanging="0"/>
        <w:rPr>
          <w:rFonts w:ascii="Times New Roman" w:hAnsi="Times New Roman"/>
          <w:b/>
          <w:b/>
          <w:sz w:val="24"/>
          <w:szCs w:val="24"/>
          <w:shd w:fill="FFFFFF" w:val="clear"/>
        </w:rPr>
      </w:pPr>
      <w:r>
        <w:rPr>
          <w:b/>
          <w:sz w:val="24"/>
          <w:szCs w:val="24"/>
          <w:shd w:fill="FFFFFF" w:val="clear"/>
        </w:rPr>
      </w:r>
    </w:p>
    <w:p>
      <w:pPr>
        <w:pStyle w:val="Normal"/>
        <w:spacing w:lineRule="auto" w:line="240"/>
        <w:ind w:left="1416" w:hanging="0"/>
        <w:rPr>
          <w:rFonts w:ascii="Times New Roman" w:hAnsi="Times New Roman"/>
          <w:b/>
          <w:b/>
          <w:sz w:val="24"/>
          <w:szCs w:val="24"/>
          <w:shd w:fill="FFFFFF" w:val="clear"/>
        </w:rPr>
      </w:pPr>
      <w:r>
        <w:rPr>
          <w:b/>
          <w:sz w:val="24"/>
          <w:szCs w:val="24"/>
          <w:shd w:fill="FFFFFF" w:val="clear"/>
        </w:rPr>
      </w:r>
    </w:p>
    <w:p>
      <w:pPr>
        <w:pStyle w:val="Normal"/>
        <w:spacing w:lineRule="auto" w:line="240"/>
        <w:ind w:hanging="0"/>
        <w:jc w:val="center"/>
        <w:rPr>
          <w:highlight w:val="white"/>
        </w:rPr>
      </w:pPr>
      <w:r>
        <w:rPr>
          <w:b/>
          <w:sz w:val="24"/>
          <w:szCs w:val="24"/>
          <w:shd w:fill="FFFFFF" w:val="clear"/>
        </w:rPr>
        <w:t>ТЕХНИЧЕСКОЕ ЗАДАНИЕ</w:t>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rFonts w:ascii="Times New Roman" w:hAnsi="Times New Roman"/>
                <w:sz w:val="24"/>
                <w:szCs w:val="24"/>
                <w:highlight w:val="white"/>
              </w:rPr>
            </w:pPr>
            <w:r>
              <w:rPr>
                <w:b/>
                <w:sz w:val="24"/>
                <w:szCs w:val="24"/>
                <w:shd w:fill="FFFFFF" w:val="clear"/>
              </w:rPr>
              <w:t>Заказчик:</w:t>
            </w:r>
          </w:p>
        </w:tc>
        <w:tc>
          <w:tcPr>
            <w:tcW w:w="4785" w:type="dxa"/>
            <w:tcBorders/>
            <w:shd w:fill="auto" w:val="clear"/>
          </w:tcPr>
          <w:p>
            <w:pPr>
              <w:pStyle w:val="Normal"/>
              <w:widowControl w:val="false"/>
              <w:spacing w:lineRule="auto" w:line="240"/>
              <w:ind w:hanging="0"/>
              <w:rPr>
                <w:rFonts w:ascii="Times New Roman" w:hAnsi="Times New Roman"/>
                <w:sz w:val="24"/>
                <w:szCs w:val="24"/>
                <w:highlight w:val="white"/>
              </w:rPr>
            </w:pPr>
            <w:r>
              <w:rPr>
                <w:b/>
                <w:sz w:val="24"/>
                <w:szCs w:val="24"/>
                <w:shd w:fill="FFFFFF" w:val="clear"/>
              </w:rPr>
              <w:t>Подрядчик:</w:t>
            </w:r>
          </w:p>
        </w:tc>
      </w:tr>
      <w:tr>
        <w:trPr/>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bl>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hanging="0"/>
        <w:jc w:val="left"/>
        <w:rPr>
          <w:rFonts w:ascii="Times New Roman" w:hAnsi="Times New Roman"/>
          <w:sz w:val="24"/>
          <w:szCs w:val="24"/>
          <w:shd w:fill="FFFFFF" w:val="clear"/>
        </w:rPr>
      </w:pPr>
      <w:r>
        <w:rPr>
          <w:sz w:val="24"/>
          <w:szCs w:val="24"/>
          <w:shd w:fill="FFFFFF" w:val="clear"/>
        </w:rPr>
      </w:r>
      <w:r>
        <w:br w:type="page"/>
      </w:r>
    </w:p>
    <w:p>
      <w:pPr>
        <w:pStyle w:val="Normal"/>
        <w:spacing w:lineRule="auto" w:line="240"/>
        <w:ind w:left="5103" w:hanging="0"/>
        <w:rPr>
          <w:highlight w:val="white"/>
        </w:rPr>
      </w:pPr>
      <w:r>
        <w:rPr>
          <w:sz w:val="24"/>
          <w:szCs w:val="24"/>
          <w:shd w:fill="FFFFFF" w:val="clear"/>
        </w:rPr>
        <w:t>Приложение № 2</w:t>
      </w:r>
    </w:p>
    <w:p>
      <w:pPr>
        <w:pStyle w:val="Normal"/>
        <w:spacing w:lineRule="auto" w:line="240"/>
        <w:ind w:left="5103" w:hanging="0"/>
        <w:rPr>
          <w:highlight w:val="white"/>
        </w:rPr>
      </w:pPr>
      <w:r>
        <w:rPr>
          <w:sz w:val="24"/>
          <w:szCs w:val="24"/>
          <w:shd w:fill="FFFFFF" w:val="clear"/>
        </w:rPr>
        <w:t>к Договору подряда</w:t>
      </w:r>
    </w:p>
    <w:p>
      <w:pPr>
        <w:pStyle w:val="Normal"/>
        <w:spacing w:lineRule="auto" w:line="240"/>
        <w:ind w:left="5103" w:hanging="0"/>
        <w:rPr>
          <w:highlight w:val="white"/>
        </w:rPr>
      </w:pPr>
      <w:r>
        <w:rPr>
          <w:sz w:val="24"/>
          <w:szCs w:val="24"/>
          <w:shd w:fill="FFFFFF" w:val="clear"/>
        </w:rPr>
        <w:t>от «____» __________ 20 _ г. № ________</w:t>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b/>
          <w:b/>
          <w:bCs/>
          <w:sz w:val="24"/>
          <w:szCs w:val="24"/>
          <w:shd w:fill="FFFFFF" w:val="clear"/>
        </w:rPr>
      </w:pPr>
      <w:r>
        <w:rPr>
          <w:b/>
          <w:bCs/>
          <w:sz w:val="24"/>
          <w:szCs w:val="24"/>
          <w:shd w:fill="FFFFFF" w:val="clear"/>
        </w:rPr>
      </w:r>
    </w:p>
    <w:p>
      <w:pPr>
        <w:pStyle w:val="Normal"/>
        <w:spacing w:lineRule="auto" w:line="240"/>
        <w:ind w:hanging="0"/>
        <w:jc w:val="center"/>
        <w:rPr>
          <w:highlight w:val="white"/>
        </w:rPr>
      </w:pPr>
      <w:r>
        <w:rPr>
          <w:b/>
          <w:sz w:val="24"/>
          <w:szCs w:val="24"/>
          <w:shd w:fill="FFFFFF" w:val="clear"/>
        </w:rPr>
        <w:t>КАЛЕНДАРНЫЙ ГРАФИК ВЫПОЛНЕНИЯ РАБОТ</w:t>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tbl>
      <w:tblPr>
        <w:tblW w:w="9634" w:type="dxa"/>
        <w:jc w:val="left"/>
        <w:tblInd w:w="-2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68" w:type="dxa"/>
          <w:bottom w:w="0" w:type="dxa"/>
          <w:right w:w="108" w:type="dxa"/>
        </w:tblCellMar>
        <w:tblLook w:val="04a0" w:noVBand="1" w:noHBand="0" w:lastColumn="0" w:firstColumn="1" w:lastRow="0" w:firstRow="1"/>
      </w:tblPr>
      <w:tblGrid>
        <w:gridCol w:w="706"/>
        <w:gridCol w:w="267"/>
        <w:gridCol w:w="1343"/>
        <w:gridCol w:w="1421"/>
        <w:gridCol w:w="841"/>
        <w:gridCol w:w="1171"/>
        <w:gridCol w:w="2"/>
        <w:gridCol w:w="776"/>
        <w:gridCol w:w="1"/>
        <w:gridCol w:w="981"/>
        <w:gridCol w:w="2"/>
        <w:gridCol w:w="991"/>
        <w:gridCol w:w="1"/>
        <w:gridCol w:w="1130"/>
      </w:tblGrid>
      <w:tr>
        <w:trPr/>
        <w:tc>
          <w:tcPr>
            <w:tcW w:w="70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vAlign w:val="center"/>
          </w:tcPr>
          <w:p>
            <w:pPr>
              <w:pStyle w:val="Normal"/>
              <w:widowControl w:val="false"/>
              <w:spacing w:lineRule="auto" w:line="240"/>
              <w:ind w:hanging="0"/>
              <w:jc w:val="center"/>
              <w:rPr>
                <w:rFonts w:ascii="Times New Roman" w:hAnsi="Times New Roman"/>
                <w:sz w:val="24"/>
                <w:szCs w:val="24"/>
                <w:highlight w:val="white"/>
              </w:rPr>
            </w:pPr>
            <w:r>
              <w:rPr>
                <w:sz w:val="24"/>
                <w:szCs w:val="24"/>
                <w:shd w:fill="FFFFFF" w:val="clear"/>
              </w:rPr>
              <w:t xml:space="preserve">№ </w:t>
            </w:r>
            <w:r>
              <w:rPr>
                <w:sz w:val="24"/>
                <w:szCs w:val="24"/>
                <w:shd w:fill="FFFFFF" w:val="clear"/>
              </w:rPr>
              <w:t>этапа</w:t>
            </w:r>
          </w:p>
        </w:tc>
        <w:tc>
          <w:tcPr>
            <w:tcW w:w="1610"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vAlign w:val="center"/>
          </w:tcPr>
          <w:p>
            <w:pPr>
              <w:pStyle w:val="Normal"/>
              <w:widowControl w:val="false"/>
              <w:spacing w:lineRule="auto" w:line="240"/>
              <w:ind w:hanging="0"/>
              <w:jc w:val="center"/>
              <w:rPr>
                <w:rFonts w:ascii="Times New Roman" w:hAnsi="Times New Roman"/>
                <w:sz w:val="24"/>
                <w:szCs w:val="24"/>
                <w:highlight w:val="white"/>
              </w:rPr>
            </w:pPr>
            <w:r>
              <w:rPr>
                <w:sz w:val="24"/>
                <w:szCs w:val="24"/>
                <w:shd w:fill="FFFFFF" w:val="clear"/>
              </w:rPr>
              <w:t>Наименование этапа (состав Работ)</w:t>
            </w:r>
          </w:p>
        </w:tc>
        <w:tc>
          <w:tcPr>
            <w:tcW w:w="142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vAlign w:val="center"/>
          </w:tcPr>
          <w:p>
            <w:pPr>
              <w:pStyle w:val="Normal"/>
              <w:widowControl w:val="false"/>
              <w:spacing w:lineRule="auto" w:line="240"/>
              <w:ind w:hanging="0"/>
              <w:jc w:val="center"/>
              <w:rPr>
                <w:rFonts w:ascii="Times New Roman" w:hAnsi="Times New Roman"/>
                <w:sz w:val="24"/>
                <w:szCs w:val="24"/>
                <w:highlight w:val="white"/>
              </w:rPr>
            </w:pPr>
            <w:r>
              <w:rPr>
                <w:sz w:val="24"/>
                <w:szCs w:val="24"/>
                <w:shd w:fill="FFFFFF" w:val="clear"/>
              </w:rPr>
              <w:t>Обоснование стоимости этапа</w:t>
            </w:r>
          </w:p>
        </w:tc>
        <w:tc>
          <w:tcPr>
            <w:tcW w:w="201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vAlign w:val="center"/>
          </w:tcPr>
          <w:p>
            <w:pPr>
              <w:pStyle w:val="Normal"/>
              <w:widowControl w:val="false"/>
              <w:spacing w:lineRule="auto" w:line="240"/>
              <w:ind w:hanging="0"/>
              <w:jc w:val="center"/>
              <w:rPr>
                <w:rFonts w:ascii="Times New Roman" w:hAnsi="Times New Roman"/>
                <w:sz w:val="24"/>
                <w:szCs w:val="24"/>
                <w:highlight w:val="white"/>
              </w:rPr>
            </w:pPr>
            <w:r>
              <w:rPr>
                <w:sz w:val="24"/>
                <w:szCs w:val="24"/>
                <w:shd w:fill="FFFFFF" w:val="clear"/>
              </w:rPr>
              <w:t>Период выполнения этапа</w:t>
            </w:r>
          </w:p>
        </w:tc>
        <w:tc>
          <w:tcPr>
            <w:tcW w:w="778"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vAlign w:val="center"/>
          </w:tcPr>
          <w:p>
            <w:pPr>
              <w:pStyle w:val="Normal"/>
              <w:widowControl w:val="false"/>
              <w:spacing w:lineRule="auto" w:line="240"/>
              <w:ind w:hanging="0"/>
              <w:jc w:val="center"/>
              <w:rPr>
                <w:rFonts w:ascii="Times New Roman" w:hAnsi="Times New Roman"/>
                <w:sz w:val="24"/>
                <w:szCs w:val="24"/>
                <w:highlight w:val="white"/>
              </w:rPr>
            </w:pPr>
            <w:r>
              <w:rPr>
                <w:sz w:val="24"/>
                <w:szCs w:val="24"/>
                <w:shd w:fill="FFFFFF" w:val="clear"/>
              </w:rPr>
              <w:t>Цена этапа, руб. без НДС</w:t>
            </w:r>
          </w:p>
        </w:tc>
        <w:tc>
          <w:tcPr>
            <w:tcW w:w="982"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jc w:val="center"/>
              <w:rPr>
                <w:rFonts w:ascii="Times New Roman" w:hAnsi="Times New Roman"/>
                <w:sz w:val="24"/>
                <w:szCs w:val="24"/>
                <w:highlight w:val="white"/>
              </w:rPr>
            </w:pPr>
            <w:r>
              <w:rPr>
                <w:sz w:val="24"/>
                <w:szCs w:val="24"/>
                <w:shd w:fill="FFFFFF" w:val="clear"/>
              </w:rPr>
              <w:t>Установленная (применимая) ставка НДС</w:t>
            </w:r>
          </w:p>
        </w:tc>
        <w:tc>
          <w:tcPr>
            <w:tcW w:w="994"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vAlign w:val="center"/>
          </w:tcPr>
          <w:p>
            <w:pPr>
              <w:pStyle w:val="Normal"/>
              <w:widowControl w:val="false"/>
              <w:spacing w:lineRule="auto" w:line="240"/>
              <w:ind w:hanging="0"/>
              <w:jc w:val="center"/>
              <w:rPr>
                <w:rFonts w:ascii="Times New Roman" w:hAnsi="Times New Roman"/>
                <w:sz w:val="24"/>
                <w:szCs w:val="24"/>
                <w:highlight w:val="white"/>
              </w:rPr>
            </w:pPr>
            <w:r>
              <w:rPr>
                <w:sz w:val="24"/>
                <w:szCs w:val="24"/>
                <w:shd w:fill="FFFFFF" w:val="clear"/>
              </w:rPr>
              <w:t>Сумма НДС по установленной (применимой) ставке, руб.</w:t>
            </w:r>
          </w:p>
        </w:tc>
        <w:tc>
          <w:tcPr>
            <w:tcW w:w="1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vAlign w:val="center"/>
          </w:tcPr>
          <w:p>
            <w:pPr>
              <w:pStyle w:val="Normal"/>
              <w:widowControl w:val="false"/>
              <w:spacing w:lineRule="auto" w:line="240"/>
              <w:ind w:hanging="0"/>
              <w:jc w:val="center"/>
              <w:rPr>
                <w:rFonts w:ascii="Times New Roman" w:hAnsi="Times New Roman"/>
                <w:sz w:val="24"/>
                <w:szCs w:val="24"/>
                <w:highlight w:val="white"/>
              </w:rPr>
            </w:pPr>
            <w:r>
              <w:rPr>
                <w:sz w:val="24"/>
                <w:szCs w:val="24"/>
                <w:shd w:fill="FFFFFF" w:val="clear"/>
              </w:rPr>
              <w:t>Стоимость этапа, руб. с НДС</w:t>
            </w:r>
          </w:p>
        </w:tc>
      </w:tr>
      <w:tr>
        <w:trPr/>
        <w:tc>
          <w:tcPr>
            <w:tcW w:w="7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1610"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142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8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jc w:val="center"/>
              <w:rPr>
                <w:rFonts w:ascii="Times New Roman" w:hAnsi="Times New Roman"/>
                <w:sz w:val="24"/>
                <w:szCs w:val="24"/>
                <w:highlight w:val="white"/>
              </w:rPr>
            </w:pPr>
            <w:r>
              <w:rPr>
                <w:sz w:val="24"/>
                <w:szCs w:val="24"/>
                <w:shd w:fill="FFFFFF" w:val="clear"/>
              </w:rPr>
              <w:t>Начало</w:t>
            </w:r>
          </w:p>
        </w:tc>
        <w:tc>
          <w:tcPr>
            <w:tcW w:w="117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jc w:val="center"/>
              <w:rPr>
                <w:rFonts w:ascii="Times New Roman" w:hAnsi="Times New Roman"/>
                <w:sz w:val="24"/>
                <w:szCs w:val="24"/>
                <w:highlight w:val="white"/>
              </w:rPr>
            </w:pPr>
            <w:r>
              <w:rPr>
                <w:sz w:val="24"/>
                <w:szCs w:val="24"/>
                <w:shd w:fill="FFFFFF" w:val="clear"/>
              </w:rPr>
              <w:t>Окончание</w:t>
            </w:r>
          </w:p>
        </w:tc>
        <w:tc>
          <w:tcPr>
            <w:tcW w:w="77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983"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99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1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r>
        <w:trPr/>
        <w:tc>
          <w:tcPr>
            <w:tcW w:w="7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jc w:val="center"/>
              <w:rPr>
                <w:rFonts w:ascii="Times New Roman" w:hAnsi="Times New Roman"/>
                <w:sz w:val="24"/>
                <w:szCs w:val="24"/>
                <w:highlight w:val="white"/>
              </w:rPr>
            </w:pPr>
            <w:r>
              <w:rPr>
                <w:sz w:val="24"/>
                <w:szCs w:val="24"/>
                <w:shd w:fill="FFFFFF" w:val="clear"/>
              </w:rPr>
              <w:t>1.</w:t>
            </w:r>
          </w:p>
        </w:tc>
        <w:tc>
          <w:tcPr>
            <w:tcW w:w="161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14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8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117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77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9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99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1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r>
        <w:trPr/>
        <w:tc>
          <w:tcPr>
            <w:tcW w:w="7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jc w:val="center"/>
              <w:rPr>
                <w:rFonts w:ascii="Times New Roman" w:hAnsi="Times New Roman"/>
                <w:sz w:val="24"/>
                <w:szCs w:val="24"/>
                <w:highlight w:val="white"/>
              </w:rPr>
            </w:pPr>
            <w:r>
              <w:rPr>
                <w:sz w:val="24"/>
                <w:szCs w:val="24"/>
                <w:shd w:fill="FFFFFF" w:val="clear"/>
              </w:rPr>
              <w:t>2.</w:t>
            </w:r>
          </w:p>
        </w:tc>
        <w:tc>
          <w:tcPr>
            <w:tcW w:w="161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14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8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117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77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9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99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1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r>
        <w:trPr/>
        <w:tc>
          <w:tcPr>
            <w:tcW w:w="7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jc w:val="center"/>
              <w:rPr>
                <w:rFonts w:ascii="Times New Roman" w:hAnsi="Times New Roman"/>
                <w:sz w:val="24"/>
                <w:szCs w:val="24"/>
                <w:highlight w:val="white"/>
              </w:rPr>
            </w:pPr>
            <w:r>
              <w:rPr>
                <w:sz w:val="24"/>
                <w:szCs w:val="24"/>
                <w:shd w:fill="FFFFFF" w:val="clear"/>
              </w:rPr>
              <w:t>3.</w:t>
            </w:r>
          </w:p>
        </w:tc>
        <w:tc>
          <w:tcPr>
            <w:tcW w:w="161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14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8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117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77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9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99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1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r>
        <w:trPr/>
        <w:tc>
          <w:tcPr>
            <w:tcW w:w="7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jc w:val="center"/>
              <w:rPr>
                <w:rFonts w:ascii="Times New Roman" w:hAnsi="Times New Roman"/>
                <w:sz w:val="24"/>
                <w:szCs w:val="24"/>
                <w:highlight w:val="white"/>
              </w:rPr>
            </w:pPr>
            <w:r>
              <w:rPr>
                <w:sz w:val="24"/>
                <w:szCs w:val="24"/>
                <w:shd w:fill="FFFFFF" w:val="clear"/>
              </w:rPr>
              <w:t>4.</w:t>
            </w:r>
          </w:p>
        </w:tc>
        <w:tc>
          <w:tcPr>
            <w:tcW w:w="161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142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8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117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77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9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99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11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r>
        <w:trPr/>
        <w:tc>
          <w:tcPr>
            <w:tcW w:w="97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tabs>
                <w:tab w:val="left" w:pos="395" w:leader="none"/>
              </w:tabs>
              <w:spacing w:lineRule="auto" w:line="240"/>
              <w:ind w:hanging="0"/>
              <w:rPr>
                <w:rFonts w:ascii="Times New Roman" w:hAnsi="Times New Roman"/>
                <w:b/>
                <w:b/>
                <w:sz w:val="24"/>
                <w:szCs w:val="24"/>
                <w:shd w:fill="FFFFFF" w:val="clear"/>
              </w:rPr>
            </w:pPr>
            <w:r>
              <w:rPr>
                <w:b/>
                <w:sz w:val="24"/>
                <w:szCs w:val="24"/>
                <w:shd w:fill="FFFFFF" w:val="clear"/>
              </w:rPr>
            </w:r>
          </w:p>
        </w:tc>
        <w:tc>
          <w:tcPr>
            <w:tcW w:w="7529"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tabs>
                <w:tab w:val="left" w:pos="395" w:leader="none"/>
              </w:tabs>
              <w:spacing w:lineRule="auto" w:line="240"/>
              <w:ind w:hanging="0"/>
              <w:rPr>
                <w:rFonts w:ascii="Times New Roman" w:hAnsi="Times New Roman"/>
                <w:sz w:val="24"/>
                <w:szCs w:val="24"/>
                <w:highlight w:val="white"/>
              </w:rPr>
            </w:pPr>
            <w:r>
              <w:rPr>
                <w:b/>
                <w:sz w:val="24"/>
                <w:szCs w:val="24"/>
                <w:shd w:fill="FFFFFF" w:val="clear"/>
              </w:rPr>
              <w:t>Непредвиденные работы и затраты (лимит)</w:t>
            </w:r>
          </w:p>
        </w:tc>
        <w:tc>
          <w:tcPr>
            <w:tcW w:w="113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b/>
                <w:b/>
                <w:sz w:val="24"/>
                <w:szCs w:val="24"/>
                <w:shd w:fill="FFFFFF" w:val="clear"/>
              </w:rPr>
            </w:pPr>
            <w:r>
              <w:rPr>
                <w:b/>
                <w:sz w:val="24"/>
                <w:szCs w:val="24"/>
                <w:shd w:fill="FFFFFF" w:val="clear"/>
              </w:rPr>
            </w:r>
          </w:p>
        </w:tc>
      </w:tr>
      <w:tr>
        <w:trPr/>
        <w:tc>
          <w:tcPr>
            <w:tcW w:w="97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jc w:val="right"/>
              <w:rPr>
                <w:rFonts w:ascii="Times New Roman" w:hAnsi="Times New Roman"/>
                <w:b/>
                <w:b/>
                <w:sz w:val="24"/>
                <w:szCs w:val="24"/>
                <w:shd w:fill="FFFFFF" w:val="clear"/>
              </w:rPr>
            </w:pPr>
            <w:r>
              <w:rPr>
                <w:b/>
                <w:sz w:val="24"/>
                <w:szCs w:val="24"/>
                <w:shd w:fill="FFFFFF" w:val="clear"/>
              </w:rPr>
            </w:r>
          </w:p>
        </w:tc>
        <w:tc>
          <w:tcPr>
            <w:tcW w:w="7529"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jc w:val="right"/>
              <w:rPr>
                <w:rFonts w:ascii="Times New Roman" w:hAnsi="Times New Roman"/>
                <w:sz w:val="24"/>
                <w:szCs w:val="24"/>
                <w:highlight w:val="white"/>
              </w:rPr>
            </w:pPr>
            <w:r>
              <w:rPr>
                <w:b/>
                <w:sz w:val="24"/>
                <w:szCs w:val="24"/>
                <w:shd w:fill="FFFFFF" w:val="clear"/>
              </w:rPr>
              <w:t>Всего по Договору:</w:t>
            </w:r>
          </w:p>
        </w:tc>
        <w:tc>
          <w:tcPr>
            <w:tcW w:w="113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Normal"/>
              <w:widowControl w:val="false"/>
              <w:spacing w:lineRule="auto" w:line="240"/>
              <w:ind w:hanging="0"/>
              <w:rPr>
                <w:rFonts w:ascii="Times New Roman" w:hAnsi="Times New Roman"/>
                <w:b/>
                <w:b/>
                <w:sz w:val="24"/>
                <w:szCs w:val="24"/>
                <w:shd w:fill="FFFFFF" w:val="clear"/>
              </w:rPr>
            </w:pPr>
            <w:r>
              <w:rPr>
                <w:b/>
                <w:sz w:val="24"/>
                <w:szCs w:val="24"/>
                <w:shd w:fill="FFFFFF" w:val="clear"/>
              </w:rPr>
            </w:r>
          </w:p>
        </w:tc>
      </w:tr>
    </w:tbl>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tbl>
      <w:tblPr>
        <w:tblW w:w="9571" w:type="dxa"/>
        <w:jc w:val="center"/>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rFonts w:ascii="Times New Roman" w:hAnsi="Times New Roman"/>
                <w:sz w:val="24"/>
                <w:szCs w:val="24"/>
                <w:highlight w:val="white"/>
              </w:rPr>
            </w:pPr>
            <w:r>
              <w:rPr>
                <w:b/>
                <w:sz w:val="24"/>
                <w:szCs w:val="24"/>
                <w:shd w:fill="FFFFFF" w:val="clear"/>
              </w:rPr>
              <w:t>Заказчик:</w:t>
            </w:r>
          </w:p>
        </w:tc>
        <w:tc>
          <w:tcPr>
            <w:tcW w:w="4785" w:type="dxa"/>
            <w:tcBorders/>
            <w:shd w:fill="auto" w:val="clear"/>
          </w:tcPr>
          <w:p>
            <w:pPr>
              <w:pStyle w:val="Normal"/>
              <w:widowControl w:val="false"/>
              <w:spacing w:lineRule="auto" w:line="240"/>
              <w:ind w:hanging="0"/>
              <w:rPr>
                <w:rFonts w:ascii="Times New Roman" w:hAnsi="Times New Roman"/>
                <w:sz w:val="24"/>
                <w:szCs w:val="24"/>
                <w:highlight w:val="white"/>
              </w:rPr>
            </w:pPr>
            <w:r>
              <w:rPr>
                <w:b/>
                <w:sz w:val="24"/>
                <w:szCs w:val="24"/>
                <w:shd w:fill="FFFFFF" w:val="clear"/>
              </w:rPr>
              <w:t>Подрядчик:</w:t>
            </w:r>
          </w:p>
        </w:tc>
      </w:tr>
      <w:tr>
        <w:trPr/>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bl>
    <w:p>
      <w:pPr>
        <w:sectPr>
          <w:headerReference w:type="default" r:id="rId7"/>
          <w:footerReference w:type="default" r:id="rId8"/>
          <w:footnotePr>
            <w:numFmt w:val="decimal"/>
          </w:footnotePr>
          <w:type w:val="nextPage"/>
          <w:pgSz w:w="11906" w:h="16838"/>
          <w:pgMar w:left="1418" w:right="851" w:header="567" w:top="1184" w:footer="284" w:bottom="1134" w:gutter="0"/>
          <w:pgNumType w:fmt="decimal"/>
          <w:formProt w:val="false"/>
          <w:textDirection w:val="lrTb"/>
          <w:docGrid w:type="default" w:linePitch="381" w:charSpace="4294952959"/>
        </w:sectPr>
      </w:pPr>
    </w:p>
    <w:p>
      <w:pPr>
        <w:pStyle w:val="Normal"/>
        <w:spacing w:lineRule="auto" w:line="240"/>
        <w:ind w:left="4395" w:firstLine="708"/>
        <w:rPr>
          <w:highlight w:val="white"/>
        </w:rPr>
      </w:pPr>
      <w:r>
        <w:rPr>
          <w:sz w:val="24"/>
          <w:szCs w:val="24"/>
          <w:shd w:fill="FFFFFF" w:val="clear"/>
        </w:rPr>
        <w:t>Приложение № 3</w:t>
      </w:r>
    </w:p>
    <w:p>
      <w:pPr>
        <w:pStyle w:val="Normal"/>
        <w:spacing w:lineRule="auto" w:line="240"/>
        <w:ind w:left="5103" w:hanging="0"/>
        <w:rPr>
          <w:highlight w:val="white"/>
        </w:rPr>
      </w:pPr>
      <w:r>
        <w:rPr>
          <w:sz w:val="24"/>
          <w:szCs w:val="24"/>
          <w:shd w:fill="FFFFFF" w:val="clear"/>
        </w:rPr>
        <w:t>к Договору подряда</w:t>
      </w:r>
    </w:p>
    <w:p>
      <w:pPr>
        <w:pStyle w:val="Normal"/>
        <w:spacing w:lineRule="auto" w:line="240"/>
        <w:ind w:left="5103" w:hanging="0"/>
        <w:rPr>
          <w:highlight w:val="white"/>
        </w:rPr>
      </w:pPr>
      <w:r>
        <w:rPr>
          <w:sz w:val="24"/>
          <w:szCs w:val="24"/>
          <w:shd w:fill="FFFFFF" w:val="clear"/>
        </w:rPr>
        <w:t>от «____» __________ 20 _ г. № ____</w:t>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b/>
          <w:b/>
          <w:bCs/>
          <w:sz w:val="24"/>
          <w:szCs w:val="24"/>
          <w:shd w:fill="FFFFFF" w:val="clear"/>
        </w:rPr>
      </w:pPr>
      <w:r>
        <w:rPr>
          <w:b/>
          <w:bCs/>
          <w:sz w:val="24"/>
          <w:szCs w:val="24"/>
          <w:shd w:fill="FFFFFF" w:val="clear"/>
        </w:rPr>
      </w:r>
    </w:p>
    <w:p>
      <w:pPr>
        <w:pStyle w:val="Normal"/>
        <w:spacing w:lineRule="auto" w:line="240"/>
        <w:ind w:hanging="0"/>
        <w:jc w:val="center"/>
        <w:rPr>
          <w:highlight w:val="white"/>
        </w:rPr>
      </w:pPr>
      <w:r>
        <w:rPr>
          <w:b/>
          <w:sz w:val="24"/>
          <w:szCs w:val="24"/>
          <w:shd w:fill="FFFFFF" w:val="clear"/>
        </w:rPr>
        <w:t>СВОДНАЯ СМЕТА С ПРИЛОЖЕНИЯМИ</w:t>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rFonts w:ascii="Times New Roman" w:hAnsi="Times New Roman"/>
                <w:sz w:val="24"/>
                <w:szCs w:val="24"/>
                <w:highlight w:val="white"/>
              </w:rPr>
            </w:pPr>
            <w:r>
              <w:rPr>
                <w:b/>
                <w:sz w:val="24"/>
                <w:szCs w:val="24"/>
                <w:shd w:fill="FFFFFF" w:val="clear"/>
              </w:rPr>
              <w:t>Заказчик:</w:t>
            </w:r>
          </w:p>
        </w:tc>
        <w:tc>
          <w:tcPr>
            <w:tcW w:w="4785" w:type="dxa"/>
            <w:tcBorders/>
            <w:shd w:fill="auto" w:val="clear"/>
          </w:tcPr>
          <w:p>
            <w:pPr>
              <w:pStyle w:val="Normal"/>
              <w:widowControl w:val="false"/>
              <w:spacing w:lineRule="auto" w:line="240"/>
              <w:ind w:hanging="0"/>
              <w:rPr>
                <w:rFonts w:ascii="Times New Roman" w:hAnsi="Times New Roman"/>
                <w:sz w:val="24"/>
                <w:szCs w:val="24"/>
                <w:highlight w:val="white"/>
              </w:rPr>
            </w:pPr>
            <w:r>
              <w:rPr>
                <w:b/>
                <w:sz w:val="24"/>
                <w:szCs w:val="24"/>
                <w:shd w:fill="FFFFFF" w:val="clear"/>
              </w:rPr>
              <w:t>Подрядчик:</w:t>
            </w:r>
          </w:p>
        </w:tc>
      </w:tr>
      <w:tr>
        <w:trPr/>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bl>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hanging="0"/>
        <w:jc w:val="left"/>
        <w:rPr>
          <w:rFonts w:ascii="Times New Roman" w:hAnsi="Times New Roman"/>
          <w:sz w:val="24"/>
          <w:szCs w:val="24"/>
          <w:shd w:fill="FFFFFF" w:val="clear"/>
        </w:rPr>
      </w:pPr>
      <w:r>
        <w:rPr>
          <w:sz w:val="24"/>
          <w:szCs w:val="24"/>
          <w:shd w:fill="FFFFFF" w:val="clear"/>
        </w:rPr>
      </w:r>
    </w:p>
    <w:p>
      <w:pPr>
        <w:pStyle w:val="Normal"/>
        <w:spacing w:lineRule="auto" w:line="240"/>
        <w:ind w:hanging="0"/>
        <w:jc w:val="left"/>
        <w:rPr>
          <w:rFonts w:ascii="Times New Roman" w:hAnsi="Times New Roman"/>
          <w:sz w:val="24"/>
          <w:szCs w:val="24"/>
          <w:shd w:fill="FFFFFF" w:val="clear"/>
        </w:rPr>
      </w:pPr>
      <w:r>
        <w:rPr>
          <w:sz w:val="24"/>
          <w:szCs w:val="24"/>
          <w:shd w:fill="FFFFFF" w:val="clear"/>
        </w:rPr>
      </w:r>
    </w:p>
    <w:p>
      <w:pPr>
        <w:pStyle w:val="Normal"/>
        <w:spacing w:lineRule="auto" w:line="240"/>
        <w:ind w:hanging="0"/>
        <w:jc w:val="left"/>
        <w:rPr>
          <w:rFonts w:ascii="Times New Roman" w:hAnsi="Times New Roman"/>
          <w:sz w:val="24"/>
          <w:szCs w:val="24"/>
          <w:shd w:fill="FFFFFF" w:val="clear"/>
        </w:rPr>
      </w:pPr>
      <w:r>
        <w:rPr>
          <w:sz w:val="24"/>
          <w:szCs w:val="24"/>
          <w:shd w:fill="FFFFFF" w:val="clear"/>
        </w:rPr>
      </w:r>
    </w:p>
    <w:p>
      <w:pPr>
        <w:pStyle w:val="Normal"/>
        <w:spacing w:lineRule="auto" w:line="240"/>
        <w:ind w:hanging="0"/>
        <w:jc w:val="left"/>
        <w:rPr>
          <w:rFonts w:ascii="Times New Roman" w:hAnsi="Times New Roman"/>
          <w:sz w:val="24"/>
          <w:szCs w:val="24"/>
          <w:shd w:fill="FFFFFF" w:val="clear"/>
        </w:rPr>
      </w:pPr>
      <w:r>
        <w:rPr>
          <w:sz w:val="24"/>
          <w:szCs w:val="24"/>
          <w:shd w:fill="FFFFFF" w:val="clear"/>
        </w:rPr>
      </w:r>
    </w:p>
    <w:p>
      <w:pPr>
        <w:pStyle w:val="Normal"/>
        <w:spacing w:lineRule="auto" w:line="240"/>
        <w:ind w:hanging="0"/>
        <w:jc w:val="left"/>
        <w:rPr>
          <w:rFonts w:ascii="Times New Roman" w:hAnsi="Times New Roman"/>
          <w:sz w:val="24"/>
          <w:szCs w:val="24"/>
          <w:shd w:fill="FFFFFF" w:val="clear"/>
        </w:rPr>
      </w:pPr>
      <w:r>
        <w:rPr>
          <w:sz w:val="24"/>
          <w:szCs w:val="24"/>
          <w:shd w:fill="FFFFFF" w:val="clear"/>
        </w:rPr>
      </w:r>
    </w:p>
    <w:p>
      <w:pPr>
        <w:pStyle w:val="Normal"/>
        <w:spacing w:lineRule="auto" w:line="240"/>
        <w:ind w:hanging="0"/>
        <w:jc w:val="left"/>
        <w:rPr>
          <w:rFonts w:ascii="Times New Roman" w:hAnsi="Times New Roman"/>
          <w:sz w:val="24"/>
          <w:szCs w:val="24"/>
          <w:shd w:fill="FFFFFF" w:val="clear"/>
        </w:rPr>
      </w:pPr>
      <w:r>
        <w:rPr>
          <w:sz w:val="24"/>
          <w:szCs w:val="24"/>
          <w:shd w:fill="FFFFFF" w:val="clear"/>
        </w:rPr>
      </w:r>
    </w:p>
    <w:p>
      <w:pPr>
        <w:pStyle w:val="Normal"/>
        <w:spacing w:lineRule="auto" w:line="240"/>
        <w:ind w:hanging="0"/>
        <w:jc w:val="left"/>
        <w:rPr>
          <w:rFonts w:ascii="Times New Roman" w:hAnsi="Times New Roman"/>
          <w:sz w:val="24"/>
          <w:szCs w:val="24"/>
          <w:shd w:fill="FFFFFF" w:val="clear"/>
        </w:rPr>
      </w:pPr>
      <w:r>
        <w:rPr>
          <w:sz w:val="24"/>
          <w:szCs w:val="24"/>
          <w:shd w:fill="FFFFFF" w:val="clear"/>
        </w:rPr>
      </w:r>
    </w:p>
    <w:p>
      <w:pPr>
        <w:pStyle w:val="Normal"/>
        <w:spacing w:lineRule="auto" w:line="240"/>
        <w:ind w:hanging="0"/>
        <w:jc w:val="left"/>
        <w:rPr>
          <w:rFonts w:ascii="Times New Roman" w:hAnsi="Times New Roman"/>
          <w:sz w:val="24"/>
          <w:szCs w:val="24"/>
          <w:shd w:fill="FFFFFF" w:val="clear"/>
        </w:rPr>
      </w:pPr>
      <w:r>
        <w:rPr>
          <w:sz w:val="24"/>
          <w:szCs w:val="24"/>
          <w:shd w:fill="FFFFFF" w:val="clear"/>
        </w:rPr>
      </w:r>
    </w:p>
    <w:p>
      <w:pPr>
        <w:pStyle w:val="Normal"/>
        <w:spacing w:lineRule="auto" w:line="240"/>
        <w:ind w:hanging="0"/>
        <w:jc w:val="left"/>
        <w:rPr>
          <w:rFonts w:ascii="Times New Roman" w:hAnsi="Times New Roman"/>
          <w:sz w:val="24"/>
          <w:szCs w:val="24"/>
          <w:shd w:fill="FFFFFF" w:val="clear"/>
        </w:rPr>
      </w:pPr>
      <w:r>
        <w:rPr>
          <w:sz w:val="24"/>
          <w:szCs w:val="24"/>
          <w:shd w:fill="FFFFFF" w:val="clear"/>
        </w:rPr>
      </w:r>
    </w:p>
    <w:p>
      <w:pPr>
        <w:pStyle w:val="Normal"/>
        <w:spacing w:lineRule="auto" w:line="240"/>
        <w:ind w:hanging="0"/>
        <w:jc w:val="left"/>
        <w:rPr>
          <w:rFonts w:ascii="Times New Roman" w:hAnsi="Times New Roman"/>
          <w:sz w:val="24"/>
          <w:szCs w:val="24"/>
          <w:shd w:fill="FFFFFF" w:val="clear"/>
        </w:rPr>
      </w:pPr>
      <w:r>
        <w:rPr>
          <w:sz w:val="24"/>
          <w:szCs w:val="24"/>
          <w:shd w:fill="FFFFFF" w:val="clear"/>
        </w:rPr>
      </w:r>
    </w:p>
    <w:p>
      <w:pPr>
        <w:pStyle w:val="Normal"/>
        <w:spacing w:lineRule="auto" w:line="240"/>
        <w:ind w:hanging="0"/>
        <w:jc w:val="left"/>
        <w:rPr>
          <w:rFonts w:ascii="Times New Roman" w:hAnsi="Times New Roman"/>
          <w:sz w:val="24"/>
          <w:szCs w:val="24"/>
          <w:shd w:fill="FFFFFF" w:val="clear"/>
        </w:rPr>
      </w:pPr>
      <w:r>
        <w:rPr>
          <w:sz w:val="24"/>
          <w:szCs w:val="24"/>
          <w:shd w:fill="FFFFFF" w:val="clear"/>
        </w:rPr>
      </w:r>
    </w:p>
    <w:p>
      <w:pPr>
        <w:pStyle w:val="Normal"/>
        <w:spacing w:lineRule="auto" w:line="240"/>
        <w:ind w:hanging="0"/>
        <w:jc w:val="left"/>
        <w:rPr>
          <w:rFonts w:ascii="Times New Roman" w:hAnsi="Times New Roman"/>
          <w:sz w:val="24"/>
          <w:szCs w:val="24"/>
          <w:shd w:fill="FFFFFF" w:val="clear"/>
        </w:rPr>
      </w:pPr>
      <w:r>
        <w:rPr>
          <w:sz w:val="24"/>
          <w:szCs w:val="24"/>
          <w:shd w:fill="FFFFFF" w:val="clear"/>
        </w:rPr>
      </w:r>
    </w:p>
    <w:p>
      <w:pPr>
        <w:pStyle w:val="Normal"/>
        <w:spacing w:lineRule="auto" w:line="240"/>
        <w:ind w:hanging="0"/>
        <w:jc w:val="left"/>
        <w:rPr>
          <w:rFonts w:ascii="Times New Roman" w:hAnsi="Times New Roman"/>
          <w:sz w:val="24"/>
          <w:szCs w:val="24"/>
          <w:shd w:fill="FFFFFF" w:val="clear"/>
        </w:rPr>
      </w:pPr>
      <w:r>
        <w:rPr>
          <w:sz w:val="24"/>
          <w:szCs w:val="24"/>
          <w:shd w:fill="FFFFFF" w:val="clear"/>
        </w:rPr>
      </w:r>
    </w:p>
    <w:p>
      <w:pPr>
        <w:pStyle w:val="Normal"/>
        <w:spacing w:lineRule="auto" w:line="240"/>
        <w:ind w:hanging="0"/>
        <w:jc w:val="left"/>
        <w:rPr>
          <w:rFonts w:ascii="Times New Roman" w:hAnsi="Times New Roman"/>
          <w:sz w:val="24"/>
          <w:szCs w:val="24"/>
          <w:shd w:fill="FFFFFF" w:val="clear"/>
        </w:rPr>
      </w:pPr>
      <w:r>
        <w:rPr>
          <w:sz w:val="24"/>
          <w:szCs w:val="24"/>
          <w:shd w:fill="FFFFFF" w:val="clear"/>
        </w:rPr>
      </w:r>
    </w:p>
    <w:p>
      <w:pPr>
        <w:pStyle w:val="Normal"/>
        <w:spacing w:lineRule="auto" w:line="240"/>
        <w:ind w:hanging="0"/>
        <w:jc w:val="left"/>
        <w:rPr>
          <w:rFonts w:ascii="Times New Roman" w:hAnsi="Times New Roman"/>
          <w:sz w:val="24"/>
          <w:szCs w:val="24"/>
          <w:shd w:fill="FFFFFF" w:val="clear"/>
        </w:rPr>
      </w:pPr>
      <w:r>
        <w:rPr>
          <w:sz w:val="24"/>
          <w:szCs w:val="24"/>
          <w:shd w:fill="FFFFFF" w:val="clear"/>
        </w:rPr>
      </w:r>
    </w:p>
    <w:p>
      <w:pPr>
        <w:pStyle w:val="Normal"/>
        <w:spacing w:lineRule="auto" w:line="240"/>
        <w:ind w:left="5103" w:hanging="0"/>
        <w:jc w:val="left"/>
        <w:rPr>
          <w:highlight w:val="white"/>
        </w:rPr>
      </w:pPr>
      <w:r>
        <w:rPr>
          <w:sz w:val="24"/>
          <w:szCs w:val="24"/>
          <w:shd w:fill="FFFFFF" w:val="clear"/>
        </w:rPr>
        <w:t xml:space="preserve">                                                                   </w:t>
      </w:r>
      <w:r>
        <w:rPr>
          <w:sz w:val="24"/>
          <w:szCs w:val="24"/>
          <w:shd w:fill="FFFFFF" w:val="clear"/>
        </w:rPr>
        <w:t>Приложение № 4.1</w:t>
      </w:r>
    </w:p>
    <w:p>
      <w:pPr>
        <w:pStyle w:val="Normal"/>
        <w:spacing w:lineRule="auto" w:line="240"/>
        <w:ind w:left="5103" w:hanging="0"/>
        <w:jc w:val="left"/>
        <w:rPr>
          <w:highlight w:val="white"/>
        </w:rPr>
      </w:pPr>
      <w:r>
        <w:rPr>
          <w:sz w:val="24"/>
          <w:szCs w:val="24"/>
          <w:shd w:fill="FFFFFF" w:val="clear"/>
        </w:rPr>
        <w:t>к Договору подряда</w:t>
      </w:r>
    </w:p>
    <w:p>
      <w:pPr>
        <w:pStyle w:val="Normal"/>
        <w:spacing w:lineRule="auto" w:line="240"/>
        <w:ind w:left="5103" w:hanging="0"/>
        <w:jc w:val="left"/>
        <w:rPr>
          <w:highlight w:val="white"/>
        </w:rPr>
      </w:pPr>
      <w:r>
        <w:rPr>
          <w:sz w:val="24"/>
          <w:szCs w:val="24"/>
          <w:shd w:fill="FFFFFF" w:val="clear"/>
        </w:rPr>
        <w:t xml:space="preserve">от «____» __________ 20 _ г. № ____ </w:t>
      </w:r>
    </w:p>
    <w:p>
      <w:pPr>
        <w:pStyle w:val="Style43"/>
        <w:shd w:val="clear" w:color="auto" w:fill="auto"/>
        <w:ind w:hanging="0"/>
        <w:jc w:val="left"/>
        <w:rPr>
          <w:rFonts w:ascii="Times New Roman" w:hAnsi="Times New Roman"/>
          <w:i/>
          <w:i/>
          <w:sz w:val="24"/>
          <w:szCs w:val="24"/>
          <w:shd w:fill="FFFFFF" w:val="clear"/>
        </w:rPr>
      </w:pPr>
      <w:r>
        <w:rPr>
          <w:i/>
          <w:sz w:val="24"/>
          <w:szCs w:val="24"/>
          <w:shd w:fill="FFFFFF" w:val="clear"/>
        </w:rPr>
      </w:r>
    </w:p>
    <w:p>
      <w:pPr>
        <w:pStyle w:val="Style43"/>
        <w:shd w:val="clear" w:color="auto" w:fill="auto"/>
        <w:ind w:hanging="0"/>
        <w:jc w:val="left"/>
        <w:rPr>
          <w:rFonts w:ascii="Times New Roman" w:hAnsi="Times New Roman"/>
          <w:i/>
          <w:i/>
          <w:sz w:val="24"/>
          <w:szCs w:val="24"/>
          <w:shd w:fill="FFFFFF" w:val="clear"/>
        </w:rPr>
      </w:pPr>
      <w:r>
        <w:rPr>
          <w:i/>
          <w:sz w:val="24"/>
          <w:szCs w:val="24"/>
          <w:shd w:fill="FFFFFF" w:val="clear"/>
        </w:rPr>
      </w:r>
    </w:p>
    <w:p>
      <w:pPr>
        <w:pStyle w:val="Style43"/>
        <w:shd w:val="clear" w:color="auto" w:fill="auto"/>
        <w:ind w:hanging="0"/>
        <w:rPr>
          <w:highlight w:val="white"/>
        </w:rPr>
      </w:pPr>
      <w:r>
        <w:rPr>
          <w:iCs/>
          <w:sz w:val="24"/>
          <w:szCs w:val="24"/>
          <w:shd w:fill="FFFFFF" w:val="clear"/>
        </w:rPr>
        <w:t>ФОРМА</w:t>
      </w:r>
    </w:p>
    <w:p>
      <w:pPr>
        <w:pStyle w:val="Style43"/>
        <w:shd w:val="clear" w:color="auto" w:fill="auto"/>
        <w:ind w:hanging="0"/>
        <w:rPr>
          <w:highlight w:val="white"/>
        </w:rPr>
      </w:pPr>
      <w:r>
        <w:rPr>
          <w:bCs/>
          <w:sz w:val="24"/>
          <w:szCs w:val="24"/>
          <w:shd w:fill="FFFFFF" w:val="clear"/>
        </w:rPr>
        <w:t xml:space="preserve">Акта сдачи-приемки </w:t>
      </w:r>
      <w:r>
        <w:rPr>
          <w:bCs/>
          <w:sz w:val="24"/>
          <w:szCs w:val="24"/>
          <w:shd w:fill="FFFFFF" w:val="clear"/>
          <w:lang w:val="ru-RU"/>
        </w:rPr>
        <w:t>м</w:t>
      </w:r>
      <w:r>
        <w:rPr>
          <w:bCs/>
          <w:sz w:val="24"/>
          <w:szCs w:val="24"/>
          <w:shd w:fill="FFFFFF" w:val="clear"/>
        </w:rPr>
        <w:t xml:space="preserve">еста производства </w:t>
      </w:r>
      <w:r>
        <w:rPr>
          <w:bCs/>
          <w:sz w:val="24"/>
          <w:szCs w:val="24"/>
          <w:shd w:fill="FFFFFF" w:val="clear"/>
          <w:lang w:val="ru-RU"/>
        </w:rPr>
        <w:t>Р</w:t>
      </w:r>
      <w:r>
        <w:rPr>
          <w:bCs/>
          <w:sz w:val="24"/>
          <w:szCs w:val="24"/>
          <w:shd w:fill="FFFFFF" w:val="clear"/>
        </w:rPr>
        <w:t>абот и</w:t>
      </w:r>
      <w:r>
        <w:rPr>
          <w:bCs/>
          <w:sz w:val="24"/>
          <w:szCs w:val="24"/>
          <w:shd w:fill="FFFFFF" w:val="clear"/>
          <w:lang w:val="ru-RU"/>
        </w:rPr>
        <w:t xml:space="preserve"> </w:t>
      </w:r>
      <w:r>
        <w:rPr>
          <w:bCs/>
          <w:sz w:val="24"/>
          <w:szCs w:val="24"/>
          <w:shd w:fill="FFFFFF" w:val="clear"/>
        </w:rPr>
        <w:t>/</w:t>
      </w:r>
      <w:r>
        <w:rPr>
          <w:bCs/>
          <w:sz w:val="24"/>
          <w:szCs w:val="24"/>
          <w:shd w:fill="FFFFFF" w:val="clear"/>
          <w:lang w:val="ru-RU"/>
        </w:rPr>
        <w:t xml:space="preserve"> </w:t>
      </w:r>
      <w:r>
        <w:rPr>
          <w:bCs/>
          <w:sz w:val="24"/>
          <w:szCs w:val="24"/>
          <w:shd w:fill="FFFFFF" w:val="clear"/>
        </w:rPr>
        <w:t>или</w:t>
      </w:r>
      <w:r>
        <w:rPr>
          <w:sz w:val="24"/>
          <w:szCs w:val="24"/>
          <w:shd w:fill="FFFFFF" w:val="clear"/>
        </w:rPr>
        <w:t xml:space="preserve"> места (помещения) для складирования </w:t>
      </w:r>
      <w:r>
        <w:rPr>
          <w:bCs/>
          <w:sz w:val="24"/>
          <w:szCs w:val="24"/>
          <w:shd w:fill="FFFFFF" w:val="clear"/>
          <w:lang w:val="ru-RU"/>
        </w:rPr>
        <w:t>Материально-технических ресурсов</w:t>
      </w:r>
      <w:r>
        <w:rPr>
          <w:bCs/>
          <w:sz w:val="24"/>
          <w:szCs w:val="24"/>
          <w:shd w:fill="FFFFFF" w:val="clear"/>
        </w:rPr>
        <w:t xml:space="preserve"> и оборудования</w:t>
      </w:r>
    </w:p>
    <w:p>
      <w:pPr>
        <w:pStyle w:val="Normal"/>
        <w:spacing w:lineRule="auto" w:line="240"/>
        <w:ind w:hanging="0"/>
        <w:rPr>
          <w:rFonts w:ascii="Times New Roman" w:hAnsi="Times New Roman"/>
          <w:sz w:val="24"/>
          <w:szCs w:val="24"/>
          <w:shd w:fill="FFFFFF" w:val="clear"/>
        </w:rPr>
      </w:pPr>
      <w:r>
        <w:rPr>
          <w:sz w:val="24"/>
          <w:szCs w:val="24"/>
          <w:shd w:fill="FFFFFF" w:val="clear"/>
        </w:rPr>
      </w:r>
    </w:p>
    <w:tbl>
      <w:tblPr>
        <w:tblW w:w="4900" w:type="pct"/>
        <w:jc w:val="left"/>
        <w:tblInd w:w="-2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68" w:type="dxa"/>
          <w:bottom w:w="0" w:type="dxa"/>
          <w:right w:w="108" w:type="dxa"/>
        </w:tblCellMar>
        <w:tblLook w:val="04a0" w:noVBand="1" w:noHBand="0" w:lastColumn="0" w:firstColumn="1" w:lastRow="0" w:firstRow="1"/>
      </w:tblPr>
      <w:tblGrid>
        <w:gridCol w:w="9444"/>
      </w:tblGrid>
      <w:tr>
        <w:trPr/>
        <w:tc>
          <w:tcPr>
            <w:tcW w:w="94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Style43"/>
              <w:widowControl w:val="false"/>
              <w:shd w:val="clear" w:color="auto" w:fill="auto"/>
              <w:ind w:hanging="0"/>
              <w:rPr>
                <w:rFonts w:ascii="Times New Roman" w:hAnsi="Times New Roman"/>
                <w:sz w:val="24"/>
                <w:szCs w:val="24"/>
                <w:highlight w:val="white"/>
              </w:rPr>
            </w:pPr>
            <w:r>
              <w:rPr>
                <w:b w:val="false"/>
                <w:bCs/>
                <w:sz w:val="24"/>
                <w:szCs w:val="24"/>
                <w:shd w:fill="FFFFFF" w:val="clear"/>
              </w:rPr>
              <w:t xml:space="preserve">Акт </w:t>
            </w:r>
          </w:p>
          <w:p>
            <w:pPr>
              <w:pStyle w:val="Style43"/>
              <w:widowControl w:val="false"/>
              <w:shd w:val="clear" w:color="auto" w:fill="auto"/>
              <w:ind w:hanging="0"/>
              <w:rPr>
                <w:sz w:val="24"/>
                <w:szCs w:val="24"/>
                <w:highlight w:val="white"/>
              </w:rPr>
            </w:pPr>
            <w:r>
              <w:rPr>
                <w:b w:val="false"/>
                <w:bCs/>
                <w:sz w:val="24"/>
                <w:szCs w:val="24"/>
                <w:shd w:fill="FFFFFF" w:val="clear"/>
              </w:rPr>
              <w:t xml:space="preserve">сдачи-приемки места производства </w:t>
            </w:r>
            <w:r>
              <w:rPr>
                <w:b w:val="false"/>
                <w:bCs/>
                <w:sz w:val="24"/>
                <w:szCs w:val="24"/>
                <w:shd w:fill="FFFFFF" w:val="clear"/>
                <w:lang w:val="ru-RU"/>
              </w:rPr>
              <w:t>Р</w:t>
            </w:r>
            <w:r>
              <w:rPr>
                <w:b w:val="false"/>
                <w:bCs/>
                <w:sz w:val="24"/>
                <w:szCs w:val="24"/>
                <w:shd w:fill="FFFFFF" w:val="clear"/>
              </w:rPr>
              <w:t>абот</w:t>
            </w:r>
            <w:r>
              <w:rPr>
                <w:sz w:val="24"/>
                <w:szCs w:val="24"/>
                <w:shd w:fill="FFFFFF" w:val="clear"/>
              </w:rPr>
              <w:t xml:space="preserve"> </w:t>
            </w:r>
            <w:r>
              <w:rPr>
                <w:b w:val="false"/>
                <w:sz w:val="24"/>
                <w:szCs w:val="24"/>
                <w:shd w:fill="FFFFFF" w:val="clear"/>
              </w:rPr>
              <w:t>и</w:t>
            </w:r>
            <w:r>
              <w:rPr>
                <w:b w:val="false"/>
                <w:sz w:val="24"/>
                <w:szCs w:val="24"/>
                <w:shd w:fill="FFFFFF" w:val="clear"/>
                <w:lang w:val="ru-RU"/>
              </w:rPr>
              <w:t xml:space="preserve"> </w:t>
            </w:r>
            <w:r>
              <w:rPr>
                <w:b w:val="false"/>
                <w:sz w:val="24"/>
                <w:szCs w:val="24"/>
                <w:shd w:fill="FFFFFF" w:val="clear"/>
              </w:rPr>
              <w:t>/</w:t>
            </w:r>
            <w:r>
              <w:rPr>
                <w:b w:val="false"/>
                <w:sz w:val="24"/>
                <w:szCs w:val="24"/>
                <w:shd w:fill="FFFFFF" w:val="clear"/>
                <w:lang w:val="ru-RU"/>
              </w:rPr>
              <w:t xml:space="preserve"> </w:t>
            </w:r>
            <w:r>
              <w:rPr>
                <w:b w:val="false"/>
                <w:sz w:val="24"/>
                <w:szCs w:val="24"/>
                <w:shd w:fill="FFFFFF" w:val="clear"/>
              </w:rPr>
              <w:t>или</w:t>
            </w:r>
            <w:r>
              <w:rPr>
                <w:b w:val="false"/>
                <w:bCs/>
                <w:sz w:val="24"/>
                <w:szCs w:val="24"/>
                <w:shd w:fill="FFFFFF" w:val="clear"/>
              </w:rPr>
              <w:t xml:space="preserve"> места (помещения) для складирования </w:t>
            </w:r>
            <w:r>
              <w:rPr>
                <w:b w:val="false"/>
                <w:bCs/>
                <w:sz w:val="24"/>
                <w:szCs w:val="24"/>
                <w:shd w:fill="FFFFFF" w:val="clear"/>
                <w:lang w:val="ru-RU"/>
              </w:rPr>
              <w:t>Материально-технических ресурсов и оборудования</w:t>
            </w:r>
          </w:p>
          <w:p>
            <w:pPr>
              <w:pStyle w:val="Normal"/>
              <w:widowControl w:val="false"/>
              <w:rPr>
                <w:rFonts w:ascii="Times New Roman" w:hAnsi="Times New Roman"/>
                <w:sz w:val="24"/>
                <w:szCs w:val="24"/>
                <w:shd w:fill="FFFFFF" w:val="clear"/>
              </w:rPr>
            </w:pPr>
            <w:r>
              <w:rPr>
                <w:sz w:val="24"/>
                <w:szCs w:val="24"/>
                <w:shd w:fill="FFFFFF" w:val="clear"/>
              </w:rPr>
            </w:r>
          </w:p>
          <w:p>
            <w:pPr>
              <w:pStyle w:val="Normal"/>
              <w:widowControl w:val="false"/>
              <w:ind w:hanging="0"/>
              <w:rPr>
                <w:rFonts w:ascii="Times New Roman" w:hAnsi="Times New Roman"/>
                <w:sz w:val="24"/>
                <w:szCs w:val="24"/>
                <w:highlight w:val="white"/>
              </w:rPr>
            </w:pPr>
            <w:r>
              <w:rPr>
                <w:sz w:val="24"/>
                <w:szCs w:val="24"/>
                <w:shd w:fill="FFFFFF" w:val="clear"/>
              </w:rPr>
              <w:t>г.___________                                                                                              «_____» _________201_г.</w:t>
            </w:r>
          </w:p>
          <w:p>
            <w:pPr>
              <w:pStyle w:val="Normal"/>
              <w:widowControl w:val="false"/>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 xml:space="preserve">____________________, именуемое далее «Подрядчик», в лице ________________, действующего на основании ______________, </w:t>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spacing w:lineRule="auto" w:line="240"/>
              <w:ind w:hanging="0"/>
              <w:rPr>
                <w:sz w:val="24"/>
                <w:szCs w:val="24"/>
                <w:highlight w:val="white"/>
              </w:rPr>
            </w:pPr>
            <w:r>
              <w:rPr>
                <w:sz w:val="24"/>
                <w:szCs w:val="24"/>
                <w:shd w:fill="FFFFFF" w:val="clear"/>
              </w:rPr>
              <w:t>Заказчик передал Подрядчику, а Подрядчик принял</w:t>
            </w:r>
            <w:r>
              <w:rPr>
                <w:bCs/>
                <w:sz w:val="24"/>
                <w:szCs w:val="24"/>
                <w:shd w:fill="FFFFFF" w:val="clear"/>
              </w:rPr>
              <w:t xml:space="preserve"> место производства Работ _____________________________ (указываются идентифицирующие признаки) и / или </w:t>
            </w:r>
            <w:r>
              <w:rPr>
                <w:sz w:val="24"/>
                <w:szCs w:val="24"/>
                <w:shd w:fill="FFFFFF" w:val="clear"/>
              </w:rPr>
              <w:t xml:space="preserve">место (помещение) для складирования </w:t>
            </w:r>
            <w:r>
              <w:rPr>
                <w:bCs/>
                <w:sz w:val="24"/>
                <w:szCs w:val="24"/>
                <w:shd w:fill="FFFFFF" w:val="clear"/>
              </w:rPr>
              <w:t>Материально-технических ресурсов и оборудования</w:t>
            </w:r>
            <w:r>
              <w:rPr>
                <w:sz w:val="24"/>
                <w:szCs w:val="24"/>
                <w:shd w:fill="FFFFFF" w:val="clear"/>
              </w:rPr>
              <w:t xml:space="preserve"> _____________________________ </w:t>
            </w:r>
            <w:r>
              <w:rPr>
                <w:bCs/>
                <w:sz w:val="24"/>
                <w:szCs w:val="24"/>
                <w:shd w:fill="FFFFFF" w:val="clear"/>
              </w:rPr>
              <w:t xml:space="preserve">(указываются идентифицирующие признаки) </w:t>
            </w:r>
            <w:r>
              <w:rPr>
                <w:sz w:val="24"/>
                <w:szCs w:val="24"/>
                <w:shd w:fill="FFFFFF" w:val="clear"/>
              </w:rPr>
              <w:t>по Договору по</w:t>
            </w:r>
            <w:r>
              <w:rPr>
                <w:bCs/>
                <w:sz w:val="24"/>
                <w:szCs w:val="24"/>
                <w:shd w:fill="FFFFFF" w:val="clear"/>
              </w:rPr>
              <w:t>дряда №______ от _____________.</w:t>
            </w:r>
          </w:p>
          <w:p>
            <w:pPr>
              <w:pStyle w:val="Normal"/>
              <w:widowControl w:val="false"/>
              <w:spacing w:lineRule="auto" w:line="240"/>
              <w:ind w:hanging="0"/>
              <w:rPr>
                <w:sz w:val="24"/>
                <w:szCs w:val="24"/>
                <w:highlight w:val="white"/>
              </w:rPr>
            </w:pPr>
            <w:r>
              <w:rPr>
                <w:bCs/>
                <w:sz w:val="24"/>
                <w:szCs w:val="24"/>
                <w:shd w:fill="FFFFFF" w:val="clear"/>
              </w:rPr>
              <w:t xml:space="preserve">Место для производства Работ и </w:t>
            </w:r>
            <w:r>
              <w:rPr>
                <w:sz w:val="24"/>
                <w:szCs w:val="24"/>
                <w:shd w:fill="FFFFFF" w:val="clear"/>
              </w:rPr>
              <w:t xml:space="preserve">место (помещение) для складирования </w:t>
            </w:r>
            <w:r>
              <w:rPr>
                <w:bCs/>
                <w:sz w:val="24"/>
                <w:szCs w:val="24"/>
                <w:shd w:fill="FFFFFF" w:val="clear"/>
              </w:rPr>
              <w:t xml:space="preserve">Материально-технических ресурсов и оборудования переданы / передано </w:t>
            </w:r>
            <w:r>
              <w:rPr>
                <w:sz w:val="24"/>
                <w:szCs w:val="24"/>
                <w:shd w:fill="FFFFFF" w:val="clear"/>
              </w:rPr>
              <w:t>Подрядчику</w:t>
            </w:r>
            <w:r>
              <w:rPr>
                <w:bCs/>
                <w:sz w:val="24"/>
                <w:szCs w:val="24"/>
                <w:shd w:fill="FFFFFF" w:val="clear"/>
              </w:rPr>
              <w:t xml:space="preserve"> в установленный Договором срок. </w:t>
            </w:r>
          </w:p>
          <w:p>
            <w:pPr>
              <w:pStyle w:val="Normal"/>
              <w:widowControl w:val="false"/>
              <w:spacing w:lineRule="auto" w:line="240"/>
              <w:ind w:hanging="0"/>
              <w:rPr>
                <w:sz w:val="24"/>
                <w:szCs w:val="24"/>
                <w:highlight w:val="white"/>
              </w:rPr>
            </w:pPr>
            <w:r>
              <w:rPr>
                <w:bCs/>
                <w:sz w:val="24"/>
                <w:szCs w:val="24"/>
                <w:shd w:fill="FFFFFF" w:val="clear"/>
              </w:rPr>
              <w:t xml:space="preserve">Претензии </w:t>
            </w:r>
            <w:r>
              <w:rPr>
                <w:sz w:val="24"/>
                <w:szCs w:val="24"/>
                <w:shd w:fill="FFFFFF" w:val="clear"/>
              </w:rPr>
              <w:t>Подрядчика</w:t>
            </w:r>
            <w:r>
              <w:rPr>
                <w:bCs/>
                <w:sz w:val="24"/>
                <w:szCs w:val="24"/>
                <w:shd w:fill="FFFFFF" w:val="clear"/>
              </w:rPr>
              <w:t xml:space="preserve"> (замечания и недостатки) к месту производства Работ: ____________________________________________________________________________</w:t>
            </w:r>
          </w:p>
          <w:p>
            <w:pPr>
              <w:pStyle w:val="Normal"/>
              <w:widowControl w:val="false"/>
              <w:spacing w:lineRule="auto" w:line="240"/>
              <w:ind w:hanging="0"/>
              <w:rPr>
                <w:sz w:val="24"/>
                <w:szCs w:val="24"/>
                <w:highlight w:val="white"/>
              </w:rPr>
            </w:pPr>
            <w:r>
              <w:rPr>
                <w:i/>
                <w:sz w:val="24"/>
                <w:szCs w:val="24"/>
                <w:shd w:fill="FFFFFF" w:val="clear"/>
              </w:rPr>
              <w:t>(указать конкретные претензии или указать «не имеются»)</w:t>
            </w:r>
            <w:r>
              <w:rPr>
                <w:sz w:val="24"/>
                <w:szCs w:val="24"/>
                <w:shd w:fill="FFFFFF" w:val="clear"/>
              </w:rPr>
              <w:t>.</w:t>
            </w:r>
          </w:p>
          <w:p>
            <w:pPr>
              <w:pStyle w:val="Normal"/>
              <w:widowControl w:val="false"/>
              <w:spacing w:lineRule="auto" w:line="240"/>
              <w:ind w:hanging="0"/>
              <w:rPr>
                <w:sz w:val="24"/>
                <w:szCs w:val="24"/>
                <w:highlight w:val="white"/>
              </w:rPr>
            </w:pPr>
            <w:r>
              <w:rPr>
                <w:bCs/>
                <w:sz w:val="24"/>
                <w:szCs w:val="24"/>
                <w:shd w:fill="FFFFFF" w:val="clear"/>
              </w:rPr>
              <w:t xml:space="preserve">Претензии </w:t>
            </w:r>
            <w:r>
              <w:rPr>
                <w:sz w:val="24"/>
                <w:szCs w:val="24"/>
                <w:shd w:fill="FFFFFF" w:val="clear"/>
              </w:rPr>
              <w:t>Подрядчика</w:t>
            </w:r>
            <w:r>
              <w:rPr>
                <w:bCs/>
                <w:sz w:val="24"/>
                <w:szCs w:val="24"/>
                <w:shd w:fill="FFFFFF" w:val="clear"/>
              </w:rPr>
              <w:t xml:space="preserve"> (замечания и недостатки) к месту</w:t>
            </w:r>
            <w:r>
              <w:rPr>
                <w:sz w:val="24"/>
                <w:szCs w:val="24"/>
                <w:shd w:fill="FFFFFF" w:val="clear"/>
              </w:rPr>
              <w:t xml:space="preserve"> складирования </w:t>
            </w:r>
            <w:r>
              <w:rPr>
                <w:bCs/>
                <w:sz w:val="24"/>
                <w:szCs w:val="24"/>
                <w:shd w:fill="FFFFFF" w:val="clear"/>
              </w:rPr>
              <w:t>Материально-технических ресурсов и оборудования: _____________________________________</w:t>
            </w:r>
          </w:p>
          <w:p>
            <w:pPr>
              <w:pStyle w:val="Normal"/>
              <w:widowControl w:val="false"/>
              <w:spacing w:lineRule="auto" w:line="240"/>
              <w:ind w:hanging="0"/>
              <w:rPr>
                <w:sz w:val="24"/>
                <w:szCs w:val="24"/>
                <w:highlight w:val="white"/>
              </w:rPr>
            </w:pPr>
            <w:r>
              <w:rPr>
                <w:sz w:val="24"/>
                <w:szCs w:val="24"/>
                <w:shd w:fill="FFFFFF" w:val="clear"/>
              </w:rPr>
              <w:t xml:space="preserve"> </w:t>
            </w:r>
            <w:r>
              <w:rPr>
                <w:sz w:val="24"/>
                <w:szCs w:val="24"/>
                <w:shd w:fill="FFFFFF" w:val="clear"/>
              </w:rPr>
              <w:t>(</w:t>
            </w:r>
            <w:r>
              <w:rPr>
                <w:i/>
                <w:sz w:val="24"/>
                <w:szCs w:val="24"/>
                <w:shd w:fill="FFFFFF" w:val="clear"/>
              </w:rPr>
              <w:t>указать конкретные претензии или указать «не имеются»)</w:t>
            </w:r>
            <w:r>
              <w:rPr>
                <w:sz w:val="24"/>
                <w:szCs w:val="24"/>
                <w:shd w:fill="FFFFFF" w:val="clear"/>
              </w:rPr>
              <w:t>.</w:t>
            </w:r>
          </w:p>
          <w:p>
            <w:pPr>
              <w:pStyle w:val="Normal"/>
              <w:widowControl w:val="false"/>
              <w:rPr>
                <w:rFonts w:ascii="Times New Roman" w:hAnsi="Times New Roman"/>
                <w:sz w:val="24"/>
                <w:szCs w:val="24"/>
                <w:shd w:fill="FFFFFF" w:val="clear"/>
              </w:rPr>
            </w:pPr>
            <w:r>
              <w:rPr>
                <w:sz w:val="24"/>
                <w:szCs w:val="24"/>
                <w:shd w:fill="FFFFFF" w:val="clear"/>
              </w:rPr>
            </w:r>
          </w:p>
          <w:tbl>
            <w:tblPr>
              <w:tblW w:w="9276" w:type="dxa"/>
              <w:jc w:val="left"/>
              <w:tblInd w:w="0" w:type="dxa"/>
              <w:tblBorders/>
              <w:tblCellMar>
                <w:top w:w="0" w:type="dxa"/>
                <w:left w:w="108" w:type="dxa"/>
                <w:bottom w:w="0" w:type="dxa"/>
                <w:right w:w="108" w:type="dxa"/>
              </w:tblCellMar>
              <w:tblLook w:val="0000" w:noVBand="0" w:noHBand="0" w:lastColumn="0" w:firstColumn="0" w:lastRow="0" w:firstRow="0"/>
            </w:tblPr>
            <w:tblGrid>
              <w:gridCol w:w="4638"/>
              <w:gridCol w:w="4637"/>
            </w:tblGrid>
            <w:tr>
              <w:trPr/>
              <w:tc>
                <w:tcPr>
                  <w:tcW w:w="4638" w:type="dxa"/>
                  <w:tcBorders/>
                  <w:shd w:fill="auto" w:val="clear"/>
                </w:tcPr>
                <w:p>
                  <w:pPr>
                    <w:pStyle w:val="Normal"/>
                    <w:widowControl w:val="false"/>
                    <w:spacing w:lineRule="auto" w:line="240"/>
                    <w:ind w:hanging="0"/>
                    <w:rPr>
                      <w:rFonts w:ascii="Times New Roman" w:hAnsi="Times New Roman"/>
                      <w:sz w:val="24"/>
                      <w:szCs w:val="24"/>
                      <w:highlight w:val="white"/>
                    </w:rPr>
                  </w:pPr>
                  <w:r>
                    <w:rPr>
                      <w:sz w:val="24"/>
                      <w:szCs w:val="24"/>
                      <w:shd w:fill="FFFFFF" w:val="clear"/>
                    </w:rPr>
                    <w:t>Заказчик:</w:t>
                  </w:r>
                </w:p>
              </w:tc>
              <w:tc>
                <w:tcPr>
                  <w:tcW w:w="4637" w:type="dxa"/>
                  <w:tcBorders/>
                  <w:shd w:fill="auto" w:val="clear"/>
                </w:tcPr>
                <w:p>
                  <w:pPr>
                    <w:pStyle w:val="Normal"/>
                    <w:widowControl w:val="false"/>
                    <w:spacing w:lineRule="auto" w:line="240"/>
                    <w:ind w:hanging="0"/>
                    <w:rPr>
                      <w:rFonts w:ascii="Times New Roman" w:hAnsi="Times New Roman"/>
                      <w:sz w:val="24"/>
                      <w:szCs w:val="24"/>
                      <w:highlight w:val="white"/>
                    </w:rPr>
                  </w:pPr>
                  <w:r>
                    <w:rPr>
                      <w:sz w:val="24"/>
                      <w:szCs w:val="24"/>
                      <w:shd w:fill="FFFFFF" w:val="clear"/>
                    </w:rPr>
                    <w:t>Подрядчик:</w:t>
                  </w:r>
                </w:p>
              </w:tc>
            </w:tr>
            <w:tr>
              <w:trPr/>
              <w:tc>
                <w:tcPr>
                  <w:tcW w:w="4638" w:type="dxa"/>
                  <w:tcBorders/>
                  <w:shd w:color="auto"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4637" w:type="dxa"/>
                  <w:tcBorders/>
                  <w:shd w:color="auto"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bl>
          <w:p>
            <w:pPr>
              <w:pStyle w:val="Style43"/>
              <w:widowControl w:val="false"/>
              <w:shd w:val="clear" w:color="auto" w:fill="auto"/>
              <w:spacing w:before="0" w:after="120"/>
              <w:ind w:hanging="0"/>
              <w:jc w:val="left"/>
              <w:rPr>
                <w:rFonts w:ascii="Times New Roman" w:hAnsi="Times New Roman"/>
                <w:i/>
                <w:i/>
                <w:iCs/>
                <w:sz w:val="24"/>
                <w:szCs w:val="24"/>
                <w:shd w:fill="FFFFFF" w:val="clear"/>
              </w:rPr>
            </w:pPr>
            <w:r>
              <w:rPr>
                <w:i/>
                <w:iCs/>
                <w:sz w:val="24"/>
                <w:szCs w:val="24"/>
                <w:shd w:fill="FFFFFF" w:val="clear"/>
              </w:rPr>
            </w:r>
          </w:p>
        </w:tc>
      </w:tr>
    </w:tbl>
    <w:p>
      <w:pPr>
        <w:pStyle w:val="Style43"/>
        <w:ind w:hanging="0"/>
        <w:jc w:val="left"/>
        <w:rPr>
          <w:rFonts w:ascii="Times New Roman" w:hAnsi="Times New Roman"/>
          <w:i/>
          <w:i/>
          <w:iCs/>
          <w:sz w:val="24"/>
          <w:szCs w:val="24"/>
          <w:shd w:fill="FFFFFF" w:val="clear"/>
        </w:rPr>
      </w:pPr>
      <w:r>
        <w:rPr>
          <w:i/>
          <w:iCs/>
          <w:sz w:val="24"/>
          <w:szCs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rFonts w:ascii="Times New Roman" w:hAnsi="Times New Roman"/>
                <w:sz w:val="24"/>
                <w:szCs w:val="24"/>
                <w:highlight w:val="white"/>
              </w:rPr>
            </w:pPr>
            <w:r>
              <w:rPr>
                <w:b/>
                <w:sz w:val="24"/>
                <w:szCs w:val="24"/>
                <w:shd w:fill="FFFFFF" w:val="clear"/>
              </w:rPr>
              <w:t>Заказчик:</w:t>
            </w:r>
          </w:p>
        </w:tc>
        <w:tc>
          <w:tcPr>
            <w:tcW w:w="4785" w:type="dxa"/>
            <w:tcBorders/>
            <w:shd w:fill="auto" w:val="clear"/>
          </w:tcPr>
          <w:p>
            <w:pPr>
              <w:pStyle w:val="Normal"/>
              <w:widowControl w:val="false"/>
              <w:spacing w:lineRule="auto" w:line="240"/>
              <w:ind w:hanging="0"/>
              <w:rPr>
                <w:rFonts w:ascii="Times New Roman" w:hAnsi="Times New Roman"/>
                <w:sz w:val="24"/>
                <w:szCs w:val="24"/>
                <w:highlight w:val="white"/>
              </w:rPr>
            </w:pPr>
            <w:r>
              <w:rPr>
                <w:b/>
                <w:sz w:val="24"/>
                <w:szCs w:val="24"/>
                <w:shd w:fill="FFFFFF" w:val="clear"/>
              </w:rPr>
              <w:t>Подрядчик:</w:t>
            </w:r>
          </w:p>
        </w:tc>
      </w:tr>
      <w:tr>
        <w:trPr/>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bl>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708" w:firstLine="708"/>
        <w:jc w:val="right"/>
        <w:rPr>
          <w:rFonts w:ascii="Times New Roman" w:hAnsi="Times New Roman"/>
          <w:sz w:val="24"/>
          <w:szCs w:val="24"/>
          <w:shd w:fill="FFFFFF" w:val="clear"/>
        </w:rPr>
      </w:pPr>
      <w:r>
        <w:rPr>
          <w:sz w:val="24"/>
          <w:szCs w:val="24"/>
          <w:shd w:fill="FFFFFF" w:val="clear"/>
        </w:rPr>
      </w:r>
    </w:p>
    <w:p>
      <w:pPr>
        <w:pStyle w:val="Normal"/>
        <w:spacing w:lineRule="auto" w:line="240"/>
        <w:ind w:left="708" w:firstLine="708"/>
        <w:jc w:val="right"/>
        <w:rPr>
          <w:rFonts w:ascii="Times New Roman" w:hAnsi="Times New Roman"/>
          <w:sz w:val="24"/>
          <w:szCs w:val="24"/>
          <w:shd w:fill="FFFFFF" w:val="clear"/>
        </w:rPr>
      </w:pPr>
      <w:r>
        <w:rPr>
          <w:sz w:val="24"/>
          <w:szCs w:val="24"/>
          <w:shd w:fill="FFFFFF" w:val="clear"/>
        </w:rPr>
      </w:r>
    </w:p>
    <w:p>
      <w:pPr>
        <w:pStyle w:val="Normal"/>
        <w:spacing w:lineRule="auto" w:line="240"/>
        <w:ind w:left="708" w:firstLine="708"/>
        <w:jc w:val="right"/>
        <w:rPr>
          <w:rFonts w:ascii="Times New Roman" w:hAnsi="Times New Roman"/>
          <w:sz w:val="24"/>
          <w:szCs w:val="24"/>
          <w:shd w:fill="FFFFFF" w:val="clear"/>
        </w:rPr>
      </w:pPr>
      <w:r>
        <w:rPr>
          <w:sz w:val="24"/>
          <w:szCs w:val="24"/>
          <w:shd w:fill="FFFFFF" w:val="clear"/>
        </w:rPr>
      </w:r>
    </w:p>
    <w:p>
      <w:pPr>
        <w:pStyle w:val="Normal"/>
        <w:spacing w:lineRule="auto" w:line="240"/>
        <w:ind w:left="708" w:firstLine="708"/>
        <w:jc w:val="right"/>
        <w:rPr>
          <w:rFonts w:ascii="Times New Roman" w:hAnsi="Times New Roman"/>
          <w:sz w:val="24"/>
          <w:szCs w:val="24"/>
          <w:shd w:fill="FFFFFF" w:val="clear"/>
        </w:rPr>
      </w:pPr>
      <w:r>
        <w:rPr>
          <w:sz w:val="24"/>
          <w:szCs w:val="24"/>
          <w:shd w:fill="FFFFFF" w:val="clear"/>
        </w:rPr>
      </w:r>
    </w:p>
    <w:p>
      <w:pPr>
        <w:pStyle w:val="Normal"/>
        <w:spacing w:lineRule="auto" w:line="240"/>
        <w:ind w:left="708" w:firstLine="708"/>
        <w:jc w:val="right"/>
        <w:rPr>
          <w:rFonts w:ascii="Times New Roman" w:hAnsi="Times New Roman"/>
          <w:sz w:val="24"/>
          <w:szCs w:val="24"/>
          <w:shd w:fill="FFFFFF" w:val="clear"/>
        </w:rPr>
      </w:pPr>
      <w:r>
        <w:rPr>
          <w:sz w:val="24"/>
          <w:szCs w:val="24"/>
          <w:shd w:fill="FFFFFF" w:val="clear"/>
        </w:rPr>
      </w:r>
    </w:p>
    <w:p>
      <w:pPr>
        <w:pStyle w:val="Normal"/>
        <w:spacing w:lineRule="auto" w:line="240"/>
        <w:ind w:left="708" w:firstLine="708"/>
        <w:jc w:val="right"/>
        <w:rPr>
          <w:rFonts w:ascii="Times New Roman" w:hAnsi="Times New Roman"/>
          <w:sz w:val="24"/>
          <w:szCs w:val="24"/>
          <w:shd w:fill="FFFFFF" w:val="clear"/>
        </w:rPr>
      </w:pPr>
      <w:r>
        <w:rPr>
          <w:sz w:val="24"/>
          <w:szCs w:val="24"/>
          <w:shd w:fill="FFFFFF" w:val="clear"/>
        </w:rPr>
      </w:r>
    </w:p>
    <w:p>
      <w:pPr>
        <w:pStyle w:val="Normal"/>
        <w:spacing w:lineRule="auto" w:line="240"/>
        <w:ind w:left="708" w:firstLine="708"/>
        <w:jc w:val="right"/>
        <w:rPr>
          <w:rFonts w:ascii="Times New Roman" w:hAnsi="Times New Roman"/>
          <w:sz w:val="24"/>
          <w:szCs w:val="24"/>
          <w:shd w:fill="FFFFFF" w:val="clear"/>
        </w:rPr>
      </w:pPr>
      <w:r>
        <w:rPr>
          <w:sz w:val="24"/>
          <w:szCs w:val="24"/>
          <w:shd w:fill="FFFFFF" w:val="clear"/>
        </w:rPr>
      </w:r>
    </w:p>
    <w:p>
      <w:pPr>
        <w:pStyle w:val="Normal"/>
        <w:spacing w:lineRule="auto" w:line="240"/>
        <w:ind w:left="708" w:firstLine="708"/>
        <w:jc w:val="right"/>
        <w:rPr>
          <w:rFonts w:ascii="Times New Roman" w:hAnsi="Times New Roman"/>
          <w:sz w:val="24"/>
          <w:szCs w:val="24"/>
          <w:shd w:fill="FFFFFF" w:val="clear"/>
        </w:rPr>
      </w:pPr>
      <w:r>
        <w:rPr>
          <w:sz w:val="24"/>
          <w:szCs w:val="24"/>
          <w:shd w:fill="FFFFFF" w:val="clear"/>
        </w:rPr>
      </w:r>
    </w:p>
    <w:p>
      <w:pPr>
        <w:pStyle w:val="Normal"/>
        <w:spacing w:lineRule="auto" w:line="240"/>
        <w:ind w:left="708" w:firstLine="708"/>
        <w:jc w:val="right"/>
        <w:rPr>
          <w:rFonts w:ascii="Times New Roman" w:hAnsi="Times New Roman"/>
          <w:sz w:val="24"/>
          <w:szCs w:val="24"/>
          <w:shd w:fill="FFFFFF" w:val="clear"/>
        </w:rPr>
      </w:pPr>
      <w:r>
        <w:rPr>
          <w:sz w:val="24"/>
          <w:szCs w:val="24"/>
          <w:shd w:fill="FFFFFF" w:val="clear"/>
        </w:rPr>
      </w:r>
    </w:p>
    <w:p>
      <w:pPr>
        <w:pStyle w:val="Normal"/>
        <w:spacing w:lineRule="auto" w:line="240"/>
        <w:ind w:left="708" w:firstLine="708"/>
        <w:jc w:val="right"/>
        <w:rPr>
          <w:rFonts w:ascii="Times New Roman" w:hAnsi="Times New Roman"/>
          <w:sz w:val="24"/>
          <w:szCs w:val="24"/>
          <w:shd w:fill="FFFFFF" w:val="clear"/>
        </w:rPr>
      </w:pPr>
      <w:r>
        <w:rPr>
          <w:sz w:val="24"/>
          <w:szCs w:val="24"/>
          <w:shd w:fill="FFFFFF" w:val="clear"/>
        </w:rPr>
      </w:r>
    </w:p>
    <w:p>
      <w:pPr>
        <w:pStyle w:val="Normal"/>
        <w:spacing w:lineRule="auto" w:line="240"/>
        <w:ind w:left="5103" w:hanging="0"/>
        <w:jc w:val="left"/>
        <w:rPr>
          <w:highlight w:val="white"/>
        </w:rPr>
      </w:pPr>
      <w:r>
        <w:rPr>
          <w:sz w:val="24"/>
          <w:szCs w:val="24"/>
          <w:shd w:fill="FFFFFF" w:val="clear"/>
        </w:rPr>
        <w:t>Приложение № 4.2</w:t>
      </w:r>
    </w:p>
    <w:p>
      <w:pPr>
        <w:pStyle w:val="Normal"/>
        <w:spacing w:lineRule="auto" w:line="240"/>
        <w:ind w:left="5103" w:hanging="0"/>
        <w:jc w:val="left"/>
        <w:rPr>
          <w:highlight w:val="white"/>
        </w:rPr>
      </w:pPr>
      <w:r>
        <w:rPr>
          <w:sz w:val="24"/>
          <w:szCs w:val="24"/>
          <w:shd w:fill="FFFFFF" w:val="clear"/>
        </w:rPr>
        <w:t>к Договору подряда</w:t>
      </w:r>
    </w:p>
    <w:p>
      <w:pPr>
        <w:pStyle w:val="Normal"/>
        <w:spacing w:lineRule="auto" w:line="240"/>
        <w:ind w:left="5103" w:hanging="0"/>
        <w:jc w:val="left"/>
        <w:rPr>
          <w:highlight w:val="white"/>
        </w:rPr>
      </w:pPr>
      <w:r>
        <w:rPr>
          <w:sz w:val="24"/>
          <w:szCs w:val="24"/>
          <w:shd w:fill="FFFFFF" w:val="clear"/>
        </w:rPr>
        <w:t xml:space="preserve">от «____» __________ 20 _ г. № ____ </w:t>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b/>
          <w:b/>
          <w:bCs/>
          <w:sz w:val="24"/>
          <w:szCs w:val="24"/>
          <w:shd w:fill="FFFFFF" w:val="clear"/>
        </w:rPr>
      </w:pPr>
      <w:r>
        <w:rPr>
          <w:b/>
          <w:bCs/>
          <w:sz w:val="24"/>
          <w:szCs w:val="24"/>
          <w:shd w:fill="FFFFFF" w:val="clear"/>
        </w:rPr>
      </w:r>
    </w:p>
    <w:p>
      <w:pPr>
        <w:pStyle w:val="Style43"/>
        <w:shd w:val="clear" w:color="auto" w:fill="auto"/>
        <w:ind w:hanging="0"/>
        <w:rPr>
          <w:highlight w:val="white"/>
        </w:rPr>
      </w:pPr>
      <w:r>
        <w:rPr>
          <w:sz w:val="24"/>
          <w:szCs w:val="24"/>
          <w:shd w:fill="FFFFFF" w:val="clear"/>
        </w:rPr>
        <w:t>ФОРМА</w:t>
      </w:r>
    </w:p>
    <w:p>
      <w:pPr>
        <w:pStyle w:val="Style43"/>
        <w:shd w:val="clear" w:color="auto" w:fill="auto"/>
        <w:ind w:hanging="0"/>
        <w:rPr>
          <w:highlight w:val="white"/>
        </w:rPr>
      </w:pPr>
      <w:r>
        <w:rPr>
          <w:sz w:val="24"/>
          <w:szCs w:val="24"/>
          <w:shd w:fill="FFFFFF" w:val="clear"/>
        </w:rPr>
        <w:t xml:space="preserve">Акта сдачи-приемки технической и иной документации </w:t>
      </w:r>
    </w:p>
    <w:p>
      <w:pPr>
        <w:pStyle w:val="Normal"/>
        <w:spacing w:lineRule="auto" w:line="240"/>
        <w:ind w:hanging="0"/>
        <w:rPr>
          <w:rFonts w:ascii="Times New Roman" w:hAnsi="Times New Roman"/>
          <w:sz w:val="24"/>
          <w:szCs w:val="24"/>
          <w:shd w:fill="FFFFFF" w:val="clear"/>
        </w:rPr>
      </w:pPr>
      <w:r>
        <w:rPr>
          <w:sz w:val="24"/>
          <w:szCs w:val="24"/>
          <w:shd w:fill="FFFFFF" w:val="clear"/>
        </w:rPr>
      </w:r>
    </w:p>
    <w:tbl>
      <w:tblPr>
        <w:tblW w:w="5000" w:type="pct"/>
        <w:jc w:val="left"/>
        <w:tblInd w:w="-2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68" w:type="dxa"/>
          <w:bottom w:w="0" w:type="dxa"/>
          <w:right w:w="108" w:type="dxa"/>
        </w:tblCellMar>
        <w:tblLook w:val="04a0" w:noVBand="1" w:noHBand="0" w:lastColumn="0" w:firstColumn="1" w:lastRow="0" w:firstRow="1"/>
      </w:tblPr>
      <w:tblGrid>
        <w:gridCol w:w="9637"/>
      </w:tblGrid>
      <w:tr>
        <w:trPr/>
        <w:tc>
          <w:tcPr>
            <w:tcW w:w="96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8" w:type="dxa"/>
            </w:tcMar>
          </w:tcPr>
          <w:p>
            <w:pPr>
              <w:pStyle w:val="Style43"/>
              <w:widowControl w:val="false"/>
              <w:shd w:val="clear" w:color="auto" w:fill="auto"/>
              <w:ind w:hanging="0"/>
              <w:rPr>
                <w:rFonts w:ascii="Times New Roman" w:hAnsi="Times New Roman"/>
                <w:sz w:val="24"/>
                <w:szCs w:val="24"/>
                <w:highlight w:val="white"/>
              </w:rPr>
            </w:pPr>
            <w:r>
              <w:rPr>
                <w:b w:val="false"/>
                <w:bCs/>
                <w:sz w:val="24"/>
                <w:szCs w:val="24"/>
                <w:shd w:fill="FFFFFF" w:val="clear"/>
              </w:rPr>
              <w:t xml:space="preserve">Акт </w:t>
            </w:r>
          </w:p>
          <w:p>
            <w:pPr>
              <w:pStyle w:val="Style43"/>
              <w:widowControl w:val="false"/>
              <w:shd w:val="clear" w:color="auto" w:fill="auto"/>
              <w:ind w:hanging="0"/>
              <w:rPr>
                <w:rFonts w:ascii="Times New Roman" w:hAnsi="Times New Roman"/>
                <w:sz w:val="24"/>
                <w:szCs w:val="24"/>
                <w:highlight w:val="white"/>
              </w:rPr>
            </w:pPr>
            <w:r>
              <w:rPr>
                <w:b w:val="false"/>
                <w:bCs/>
                <w:sz w:val="24"/>
                <w:szCs w:val="24"/>
                <w:shd w:fill="FFFFFF" w:val="clear"/>
              </w:rPr>
              <w:t>сдачи-приемки технической и иной документации</w:t>
            </w:r>
          </w:p>
          <w:p>
            <w:pPr>
              <w:pStyle w:val="Normal"/>
              <w:widowControl w:val="false"/>
              <w:rPr>
                <w:rFonts w:ascii="Times New Roman" w:hAnsi="Times New Roman"/>
                <w:sz w:val="24"/>
                <w:szCs w:val="24"/>
                <w:shd w:fill="FFFFFF" w:val="clear"/>
              </w:rPr>
            </w:pPr>
            <w:r>
              <w:rPr>
                <w:sz w:val="24"/>
                <w:szCs w:val="24"/>
                <w:shd w:fill="FFFFFF" w:val="clear"/>
              </w:rPr>
            </w:r>
          </w:p>
          <w:p>
            <w:pPr>
              <w:pStyle w:val="Normal"/>
              <w:widowControl w:val="false"/>
              <w:ind w:hanging="0"/>
              <w:rPr>
                <w:rFonts w:ascii="Times New Roman" w:hAnsi="Times New Roman"/>
                <w:sz w:val="24"/>
                <w:szCs w:val="24"/>
                <w:highlight w:val="white"/>
              </w:rPr>
            </w:pPr>
            <w:r>
              <w:rPr>
                <w:sz w:val="24"/>
                <w:szCs w:val="24"/>
                <w:shd w:fill="FFFFFF" w:val="clear"/>
              </w:rPr>
              <w:t>г.___________                                                                                               «_____» _________201_г.</w:t>
            </w:r>
          </w:p>
          <w:p>
            <w:pPr>
              <w:pStyle w:val="Normal"/>
              <w:widowControl w:val="false"/>
              <w:rPr>
                <w:rFonts w:ascii="Times New Roman" w:hAnsi="Times New Roman"/>
                <w:sz w:val="24"/>
                <w:szCs w:val="24"/>
                <w:shd w:fill="FFFFFF" w:val="clear"/>
              </w:rPr>
            </w:pPr>
            <w:r>
              <w:rPr>
                <w:sz w:val="24"/>
                <w:szCs w:val="24"/>
                <w:shd w:fill="FFFFFF" w:val="clear"/>
              </w:rPr>
            </w:r>
          </w:p>
          <w:p>
            <w:pPr>
              <w:pStyle w:val="Normal"/>
              <w:widowControl w:val="false"/>
              <w:ind w:hanging="0"/>
              <w:rPr>
                <w:rFonts w:ascii="Times New Roman" w:hAnsi="Times New Roman"/>
                <w:sz w:val="24"/>
                <w:szCs w:val="24"/>
                <w:highlight w:val="white"/>
              </w:rPr>
            </w:pPr>
            <w:r>
              <w:rPr>
                <w:sz w:val="24"/>
                <w:szCs w:val="24"/>
                <w:shd w:fill="FFFFFF" w:val="clear"/>
              </w:rPr>
              <w:t xml:space="preserve">____________________, именуемое далее «Подрядчик», в лице ________________, действующего на основании ______________, </w:t>
            </w:r>
          </w:p>
          <w:p>
            <w:pPr>
              <w:pStyle w:val="Normal"/>
              <w:widowControl w:val="false"/>
              <w:ind w:hanging="0"/>
              <w:rPr>
                <w:rFonts w:ascii="Times New Roman" w:hAnsi="Times New Roman"/>
                <w:sz w:val="24"/>
                <w:szCs w:val="24"/>
                <w:highlight w:val="white"/>
              </w:rPr>
            </w:pPr>
            <w:r>
              <w:rPr>
                <w:sz w:val="24"/>
                <w:szCs w:val="24"/>
                <w:shd w:fill="FFFFFF" w:val="clear"/>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ind w:hanging="0"/>
              <w:rPr>
                <w:sz w:val="24"/>
                <w:szCs w:val="24"/>
                <w:highlight w:val="white"/>
              </w:rPr>
            </w:pPr>
            <w:r>
              <w:rPr>
                <w:sz w:val="24"/>
                <w:szCs w:val="24"/>
                <w:shd w:fill="FFFFFF" w:val="clear"/>
              </w:rPr>
              <w:t>Заказчик передал Подрядчику, а Подрядчик принял</w:t>
            </w:r>
            <w:r>
              <w:rPr>
                <w:bCs/>
                <w:sz w:val="24"/>
                <w:szCs w:val="24"/>
                <w:shd w:fill="FFFFFF" w:val="clear"/>
              </w:rPr>
              <w:t xml:space="preserve"> следующую </w:t>
            </w:r>
            <w:r>
              <w:rPr>
                <w:sz w:val="24"/>
                <w:szCs w:val="24"/>
                <w:shd w:fill="FFFFFF" w:val="clear"/>
              </w:rPr>
              <w:t>техническую и иную документацию для выполнения Работ по Договору</w:t>
            </w:r>
            <w:r>
              <w:rPr>
                <w:bCs/>
                <w:sz w:val="24"/>
                <w:szCs w:val="24"/>
                <w:shd w:fill="FFFFFF" w:val="clear"/>
              </w:rPr>
              <w:t xml:space="preserve"> №______ от _____________:</w:t>
            </w:r>
          </w:p>
          <w:p>
            <w:pPr>
              <w:pStyle w:val="Normal"/>
              <w:widowControl w:val="false"/>
              <w:ind w:hanging="0"/>
              <w:rPr>
                <w:rFonts w:ascii="Times New Roman" w:hAnsi="Times New Roman"/>
                <w:sz w:val="24"/>
                <w:szCs w:val="24"/>
                <w:highlight w:val="white"/>
              </w:rPr>
            </w:pPr>
            <w:r>
              <w:rPr>
                <w:bCs/>
                <w:sz w:val="24"/>
                <w:szCs w:val="24"/>
                <w:shd w:fill="FFFFFF" w:val="clear"/>
              </w:rPr>
              <w:t xml:space="preserve">__________________________________________________________________________ </w:t>
            </w:r>
          </w:p>
          <w:p>
            <w:pPr>
              <w:pStyle w:val="Normal"/>
              <w:widowControl w:val="false"/>
              <w:ind w:hanging="0"/>
              <w:rPr>
                <w:rFonts w:ascii="Times New Roman" w:hAnsi="Times New Roman"/>
                <w:sz w:val="24"/>
                <w:szCs w:val="24"/>
                <w:highlight w:val="white"/>
              </w:rPr>
            </w:pPr>
            <w:r>
              <w:rPr>
                <w:bCs/>
                <w:sz w:val="24"/>
                <w:szCs w:val="24"/>
                <w:shd w:fill="FFFFFF" w:val="clear"/>
              </w:rPr>
              <w:t>__________________________________________________________________________</w:t>
            </w:r>
          </w:p>
          <w:p>
            <w:pPr>
              <w:pStyle w:val="Normal"/>
              <w:widowControl w:val="false"/>
              <w:ind w:hanging="0"/>
              <w:rPr>
                <w:rFonts w:ascii="Times New Roman" w:hAnsi="Times New Roman"/>
                <w:sz w:val="24"/>
                <w:szCs w:val="24"/>
                <w:highlight w:val="white"/>
              </w:rPr>
            </w:pPr>
            <w:r>
              <w:rPr>
                <w:bCs/>
                <w:sz w:val="24"/>
                <w:szCs w:val="24"/>
                <w:shd w:fill="FFFFFF" w:val="clear"/>
              </w:rPr>
              <w:t>__________________________________________________________________________</w:t>
            </w:r>
          </w:p>
          <w:p>
            <w:pPr>
              <w:pStyle w:val="Normal"/>
              <w:widowControl w:val="false"/>
              <w:ind w:hanging="0"/>
              <w:rPr>
                <w:sz w:val="24"/>
                <w:szCs w:val="24"/>
                <w:highlight w:val="white"/>
              </w:rPr>
            </w:pPr>
            <w:r>
              <w:rPr>
                <w:bCs/>
                <w:sz w:val="24"/>
                <w:szCs w:val="24"/>
                <w:shd w:fill="FFFFFF" w:val="clear"/>
              </w:rPr>
              <w:t xml:space="preserve">Документация передана </w:t>
            </w:r>
            <w:r>
              <w:rPr>
                <w:sz w:val="24"/>
                <w:szCs w:val="24"/>
                <w:shd w:fill="FFFFFF" w:val="clear"/>
              </w:rPr>
              <w:t>Подрядчик</w:t>
            </w:r>
            <w:r>
              <w:rPr>
                <w:bCs/>
                <w:sz w:val="24"/>
                <w:szCs w:val="24"/>
                <w:shd w:fill="FFFFFF" w:val="clear"/>
              </w:rPr>
              <w:t xml:space="preserve">у в установленный Договором срок.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rPr>
                <w:rFonts w:ascii="Times New Roman" w:hAnsi="Times New Roman"/>
                <w:sz w:val="24"/>
                <w:szCs w:val="24"/>
                <w:shd w:fill="FFFFFF" w:val="clear"/>
              </w:rPr>
            </w:pPr>
            <w:r>
              <w:rPr>
                <w:sz w:val="24"/>
                <w:szCs w:val="24"/>
                <w:shd w:fill="FFFFFF" w:val="clear"/>
              </w:rPr>
            </w:r>
          </w:p>
          <w:tbl>
            <w:tblPr>
              <w:tblW w:w="9411" w:type="dxa"/>
              <w:jc w:val="left"/>
              <w:tblInd w:w="0" w:type="dxa"/>
              <w:tblBorders/>
              <w:tblCellMar>
                <w:top w:w="0" w:type="dxa"/>
                <w:left w:w="108" w:type="dxa"/>
                <w:bottom w:w="0" w:type="dxa"/>
                <w:right w:w="108" w:type="dxa"/>
              </w:tblCellMar>
              <w:tblLook w:val="0000" w:noVBand="0" w:noHBand="0" w:lastColumn="0" w:firstColumn="0" w:lastRow="0" w:firstRow="0"/>
            </w:tblPr>
            <w:tblGrid>
              <w:gridCol w:w="4705"/>
              <w:gridCol w:w="4705"/>
            </w:tblGrid>
            <w:tr>
              <w:trPr/>
              <w:tc>
                <w:tcPr>
                  <w:tcW w:w="4705" w:type="dxa"/>
                  <w:tcBorders/>
                  <w:shd w:fill="auto" w:val="clear"/>
                </w:tcPr>
                <w:p>
                  <w:pPr>
                    <w:pStyle w:val="Normal"/>
                    <w:widowControl w:val="false"/>
                    <w:spacing w:lineRule="auto" w:line="240"/>
                    <w:ind w:hanging="0"/>
                    <w:rPr>
                      <w:rFonts w:ascii="Times New Roman" w:hAnsi="Times New Roman"/>
                      <w:sz w:val="24"/>
                      <w:szCs w:val="24"/>
                      <w:highlight w:val="white"/>
                    </w:rPr>
                  </w:pPr>
                  <w:r>
                    <w:rPr>
                      <w:bCs/>
                      <w:sz w:val="24"/>
                      <w:szCs w:val="24"/>
                      <w:shd w:fill="FFFFFF" w:val="clear"/>
                    </w:rPr>
                    <w:t>Заказчик:</w:t>
                  </w:r>
                </w:p>
              </w:tc>
              <w:tc>
                <w:tcPr>
                  <w:tcW w:w="4705" w:type="dxa"/>
                  <w:tcBorders/>
                  <w:shd w:fill="auto" w:val="clear"/>
                </w:tcPr>
                <w:p>
                  <w:pPr>
                    <w:pStyle w:val="Normal"/>
                    <w:widowControl w:val="false"/>
                    <w:spacing w:lineRule="auto" w:line="240"/>
                    <w:ind w:hanging="0"/>
                    <w:rPr>
                      <w:rFonts w:ascii="Times New Roman" w:hAnsi="Times New Roman"/>
                      <w:sz w:val="24"/>
                      <w:szCs w:val="24"/>
                      <w:highlight w:val="white"/>
                    </w:rPr>
                  </w:pPr>
                  <w:r>
                    <w:rPr>
                      <w:bCs/>
                      <w:sz w:val="24"/>
                      <w:szCs w:val="24"/>
                      <w:shd w:fill="FFFFFF" w:val="clear"/>
                    </w:rPr>
                    <w:t>Подрядчик:</w:t>
                  </w:r>
                </w:p>
              </w:tc>
            </w:tr>
            <w:tr>
              <w:trPr/>
              <w:tc>
                <w:tcPr>
                  <w:tcW w:w="4705" w:type="dxa"/>
                  <w:tcBorders/>
                  <w:shd w:color="auto"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4705" w:type="dxa"/>
                  <w:tcBorders/>
                  <w:shd w:color="auto"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bl>
          <w:p>
            <w:pPr>
              <w:pStyle w:val="Style43"/>
              <w:widowControl w:val="false"/>
              <w:shd w:val="clear" w:color="auto" w:fill="auto"/>
              <w:ind w:hanging="0"/>
              <w:jc w:val="left"/>
              <w:rPr>
                <w:rFonts w:ascii="Times New Roman" w:hAnsi="Times New Roman"/>
                <w:i/>
                <w:i/>
                <w:iCs/>
                <w:sz w:val="24"/>
                <w:szCs w:val="24"/>
                <w:shd w:fill="FFFFFF" w:val="clear"/>
              </w:rPr>
            </w:pPr>
            <w:r>
              <w:rPr>
                <w:i/>
                <w:iCs/>
                <w:sz w:val="24"/>
                <w:szCs w:val="24"/>
                <w:shd w:fill="FFFFFF" w:val="clear"/>
              </w:rPr>
            </w:r>
          </w:p>
          <w:p>
            <w:pPr>
              <w:pStyle w:val="Style43"/>
              <w:widowControl w:val="false"/>
              <w:shd w:val="clear" w:color="auto" w:fill="auto"/>
              <w:spacing w:before="0" w:after="120"/>
              <w:ind w:hanging="0"/>
              <w:jc w:val="left"/>
              <w:rPr>
                <w:rFonts w:ascii="Times New Roman" w:hAnsi="Times New Roman"/>
                <w:i/>
                <w:i/>
                <w:iCs/>
                <w:sz w:val="24"/>
                <w:szCs w:val="24"/>
                <w:shd w:fill="FFFFFF" w:val="clear"/>
              </w:rPr>
            </w:pPr>
            <w:r>
              <w:rPr>
                <w:i/>
                <w:iCs/>
                <w:sz w:val="24"/>
                <w:szCs w:val="24"/>
                <w:shd w:fill="FFFFFF" w:val="clear"/>
              </w:rPr>
            </w:r>
          </w:p>
        </w:tc>
      </w:tr>
    </w:tbl>
    <w:p>
      <w:pPr>
        <w:pStyle w:val="Style43"/>
        <w:ind w:hanging="0"/>
        <w:jc w:val="left"/>
        <w:rPr>
          <w:rFonts w:ascii="Times New Roman" w:hAnsi="Times New Roman"/>
          <w:i/>
          <w:i/>
          <w:iCs/>
          <w:sz w:val="24"/>
          <w:szCs w:val="24"/>
          <w:shd w:fill="FFFFFF" w:val="clear"/>
        </w:rPr>
      </w:pPr>
      <w:r>
        <w:rPr>
          <w:i/>
          <w:iCs/>
          <w:sz w:val="24"/>
          <w:szCs w:val="24"/>
          <w:shd w:fill="FFFFFF" w:val="clear"/>
        </w:rPr>
      </w:r>
    </w:p>
    <w:p>
      <w:pPr>
        <w:pStyle w:val="Style43"/>
        <w:ind w:hanging="0"/>
        <w:jc w:val="left"/>
        <w:rPr>
          <w:rFonts w:ascii="Times New Roman" w:hAnsi="Times New Roman"/>
          <w:i/>
          <w:i/>
          <w:iCs/>
          <w:sz w:val="24"/>
          <w:szCs w:val="24"/>
          <w:shd w:fill="FFFFFF" w:val="clear"/>
        </w:rPr>
      </w:pPr>
      <w:r>
        <w:rPr>
          <w:i/>
          <w:iCs/>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rFonts w:ascii="Times New Roman" w:hAnsi="Times New Roman"/>
                <w:sz w:val="24"/>
                <w:szCs w:val="24"/>
                <w:highlight w:val="white"/>
              </w:rPr>
            </w:pPr>
            <w:r>
              <w:rPr>
                <w:b/>
                <w:sz w:val="24"/>
                <w:szCs w:val="24"/>
                <w:shd w:fill="FFFFFF" w:val="clear"/>
              </w:rPr>
              <w:t>Заказчик:</w:t>
            </w:r>
          </w:p>
        </w:tc>
        <w:tc>
          <w:tcPr>
            <w:tcW w:w="4785" w:type="dxa"/>
            <w:tcBorders/>
            <w:shd w:fill="auto" w:val="clear"/>
          </w:tcPr>
          <w:p>
            <w:pPr>
              <w:pStyle w:val="Normal"/>
              <w:widowControl w:val="false"/>
              <w:spacing w:lineRule="auto" w:line="240"/>
              <w:ind w:hanging="0"/>
              <w:rPr>
                <w:rFonts w:ascii="Times New Roman" w:hAnsi="Times New Roman"/>
                <w:sz w:val="24"/>
                <w:szCs w:val="24"/>
                <w:highlight w:val="white"/>
              </w:rPr>
            </w:pPr>
            <w:r>
              <w:rPr>
                <w:b/>
                <w:sz w:val="24"/>
                <w:szCs w:val="24"/>
                <w:shd w:fill="FFFFFF" w:val="clear"/>
              </w:rPr>
              <w:t>Подрядчик:</w:t>
            </w:r>
          </w:p>
        </w:tc>
      </w:tr>
      <w:tr>
        <w:trPr/>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bl>
    <w:p>
      <w:pPr>
        <w:pStyle w:val="Normal"/>
        <w:spacing w:lineRule="auto" w:line="240"/>
        <w:ind w:left="5103" w:hanging="0"/>
        <w:rPr>
          <w:rFonts w:ascii="Times New Roman" w:hAnsi="Times New Roman"/>
          <w:sz w:val="24"/>
          <w:szCs w:val="24"/>
          <w:shd w:fill="FFFFFF" w:val="clear"/>
        </w:rPr>
      </w:pPr>
      <w:r>
        <w:rPr>
          <w:sz w:val="24"/>
          <w:szCs w:val="24"/>
          <w:shd w:fill="FFFFFF" w:val="clear"/>
        </w:rPr>
      </w:r>
      <w:r>
        <w:br w:type="page"/>
      </w:r>
    </w:p>
    <w:p>
      <w:pPr>
        <w:pStyle w:val="Normal"/>
        <w:spacing w:lineRule="auto" w:line="240"/>
        <w:ind w:left="5103" w:hanging="0"/>
        <w:rPr>
          <w:highlight w:val="white"/>
        </w:rPr>
      </w:pPr>
      <w:r>
        <w:rPr>
          <w:sz w:val="24"/>
          <w:szCs w:val="24"/>
          <w:shd w:fill="FFFFFF" w:val="clear"/>
        </w:rPr>
        <w:t xml:space="preserve"> </w:t>
      </w:r>
      <w:r>
        <w:rPr>
          <w:sz w:val="24"/>
          <w:szCs w:val="24"/>
          <w:shd w:fill="FFFFFF" w:val="clear"/>
        </w:rPr>
        <w:t>Приложение № 5</w:t>
      </w:r>
    </w:p>
    <w:p>
      <w:pPr>
        <w:pStyle w:val="Normal"/>
        <w:spacing w:lineRule="auto" w:line="240"/>
        <w:ind w:left="5103" w:hanging="0"/>
        <w:rPr>
          <w:highlight w:val="white"/>
        </w:rPr>
      </w:pPr>
      <w:r>
        <w:rPr>
          <w:sz w:val="24"/>
          <w:szCs w:val="24"/>
          <w:shd w:fill="FFFFFF" w:val="clear"/>
        </w:rPr>
        <w:t>к Договору подряда</w:t>
      </w:r>
    </w:p>
    <w:p>
      <w:pPr>
        <w:pStyle w:val="Normal"/>
        <w:spacing w:lineRule="auto" w:line="240"/>
        <w:ind w:left="5103" w:hanging="0"/>
        <w:rPr>
          <w:highlight w:val="white"/>
        </w:rPr>
      </w:pPr>
      <w:r>
        <w:rPr>
          <w:sz w:val="24"/>
          <w:szCs w:val="24"/>
          <w:shd w:fill="FFFFFF" w:val="clear"/>
        </w:rPr>
        <w:t>от «____» __________ 20 _ г. № ____</w:t>
      </w:r>
    </w:p>
    <w:p>
      <w:pPr>
        <w:pStyle w:val="Normal"/>
        <w:spacing w:lineRule="auto" w:line="240"/>
        <w:ind w:hanging="0"/>
        <w:rPr>
          <w:rFonts w:ascii="Times New Roman" w:hAnsi="Times New Roman"/>
          <w:b/>
          <w:b/>
          <w:bCs/>
          <w:sz w:val="24"/>
          <w:szCs w:val="24"/>
          <w:shd w:fill="FFFFFF" w:val="clear"/>
        </w:rPr>
      </w:pPr>
      <w:r>
        <w:rPr>
          <w:b/>
          <w:bCs/>
          <w:sz w:val="24"/>
          <w:szCs w:val="24"/>
          <w:shd w:fill="FFFFFF" w:val="clear"/>
        </w:rPr>
      </w:r>
    </w:p>
    <w:p>
      <w:pPr>
        <w:pStyle w:val="Normal"/>
        <w:spacing w:lineRule="auto" w:line="240"/>
        <w:jc w:val="center"/>
        <w:rPr>
          <w:rFonts w:ascii="Times New Roman" w:hAnsi="Times New Roman"/>
          <w:b/>
          <w:b/>
          <w:bCs/>
          <w:sz w:val="24"/>
          <w:szCs w:val="24"/>
          <w:shd w:fill="FFFFFF" w:val="clear"/>
        </w:rPr>
      </w:pPr>
      <w:r>
        <w:rPr>
          <w:b/>
          <w:bCs/>
          <w:sz w:val="24"/>
          <w:szCs w:val="24"/>
          <w:shd w:fill="FFFFFF" w:val="clear"/>
        </w:rPr>
      </w:r>
    </w:p>
    <w:p>
      <w:pPr>
        <w:pStyle w:val="Normal"/>
        <w:spacing w:lineRule="auto" w:line="240"/>
        <w:jc w:val="center"/>
        <w:rPr>
          <w:highlight w:val="white"/>
        </w:rPr>
      </w:pPr>
      <w:r>
        <w:rPr>
          <w:b/>
          <w:sz w:val="24"/>
          <w:szCs w:val="24"/>
          <w:shd w:fill="FFFFFF" w:val="clear"/>
        </w:rPr>
        <w:t>Перечень допусков, разрешений и лицензий Подрядчика</w:t>
      </w:r>
    </w:p>
    <w:p>
      <w:pPr>
        <w:pStyle w:val="Normal"/>
        <w:spacing w:lineRule="auto" w:line="240"/>
        <w:jc w:val="center"/>
        <w:rPr>
          <w:rFonts w:ascii="Times New Roman" w:hAnsi="Times New Roman"/>
          <w:b/>
          <w:b/>
          <w:bCs/>
          <w:sz w:val="24"/>
          <w:szCs w:val="24"/>
          <w:shd w:fill="FFFFFF" w:val="clear"/>
        </w:rPr>
      </w:pPr>
      <w:r>
        <w:rPr>
          <w:b/>
          <w:bCs/>
          <w:sz w:val="24"/>
          <w:szCs w:val="24"/>
          <w:shd w:fill="FFFFFF" w:val="clear"/>
        </w:rPr>
      </w:r>
    </w:p>
    <w:tbl>
      <w:tblPr>
        <w:tblW w:w="5000" w:type="pct"/>
        <w:jc w:val="left"/>
        <w:tblInd w:w="-2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68" w:type="dxa"/>
          <w:bottom w:w="0" w:type="dxa"/>
          <w:right w:w="108" w:type="dxa"/>
        </w:tblCellMar>
        <w:tblLook w:val="04a0" w:noVBand="1" w:noHBand="0" w:lastColumn="0" w:firstColumn="1" w:lastRow="0" w:firstRow="1"/>
      </w:tblPr>
      <w:tblGrid>
        <w:gridCol w:w="679"/>
        <w:gridCol w:w="2159"/>
        <w:gridCol w:w="1226"/>
        <w:gridCol w:w="1090"/>
        <w:gridCol w:w="939"/>
        <w:gridCol w:w="1284"/>
        <w:gridCol w:w="2259"/>
      </w:tblGrid>
      <w:tr>
        <w:trPr>
          <w:trHeight w:val="2142" w:hRule="atLeast"/>
        </w:trPr>
        <w:tc>
          <w:tcPr>
            <w:tcW w:w="6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jc w:val="center"/>
              <w:rPr>
                <w:rFonts w:ascii="Times New Roman" w:hAnsi="Times New Roman"/>
                <w:sz w:val="24"/>
                <w:szCs w:val="24"/>
                <w:highlight w:val="white"/>
              </w:rPr>
            </w:pPr>
            <w:r>
              <w:rPr>
                <w:bCs/>
                <w:sz w:val="24"/>
                <w:szCs w:val="24"/>
                <w:shd w:fill="FFFFFF" w:val="clear"/>
              </w:rPr>
              <w:t xml:space="preserve">№ </w:t>
            </w:r>
            <w:r>
              <w:rPr>
                <w:bCs/>
                <w:sz w:val="24"/>
                <w:szCs w:val="24"/>
                <w:shd w:fill="FFFFFF" w:val="clear"/>
              </w:rPr>
              <w:t>п/п</w:t>
            </w:r>
          </w:p>
        </w:tc>
        <w:tc>
          <w:tcPr>
            <w:tcW w:w="21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jc w:val="center"/>
              <w:rPr>
                <w:rFonts w:ascii="Times New Roman" w:hAnsi="Times New Roman"/>
                <w:sz w:val="24"/>
                <w:szCs w:val="24"/>
                <w:highlight w:val="white"/>
              </w:rPr>
            </w:pPr>
            <w:r>
              <w:rPr>
                <w:bCs/>
                <w:sz w:val="24"/>
                <w:szCs w:val="24"/>
                <w:shd w:fill="FFFFFF" w:val="clear"/>
              </w:rPr>
              <w:t>Разрешительный документ</w:t>
            </w:r>
          </w:p>
        </w:tc>
        <w:tc>
          <w:tcPr>
            <w:tcW w:w="12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jc w:val="center"/>
              <w:rPr>
                <w:rFonts w:ascii="Times New Roman" w:hAnsi="Times New Roman"/>
                <w:sz w:val="24"/>
                <w:szCs w:val="24"/>
                <w:highlight w:val="white"/>
              </w:rPr>
            </w:pPr>
            <w:r>
              <w:rPr>
                <w:bCs/>
                <w:sz w:val="24"/>
                <w:szCs w:val="24"/>
                <w:shd w:fill="FFFFFF" w:val="clear"/>
              </w:rPr>
              <w:t xml:space="preserve">Номер, дата выдачи, </w:t>
            </w:r>
          </w:p>
          <w:p>
            <w:pPr>
              <w:pStyle w:val="Normal"/>
              <w:widowControl w:val="false"/>
              <w:spacing w:lineRule="auto" w:line="240"/>
              <w:ind w:hanging="0"/>
              <w:jc w:val="center"/>
              <w:rPr>
                <w:rFonts w:ascii="Times New Roman" w:hAnsi="Times New Roman"/>
                <w:sz w:val="24"/>
                <w:szCs w:val="24"/>
                <w:highlight w:val="white"/>
              </w:rPr>
            </w:pPr>
            <w:r>
              <w:rPr>
                <w:bCs/>
                <w:sz w:val="24"/>
                <w:szCs w:val="24"/>
                <w:shd w:fill="FFFFFF" w:val="clear"/>
              </w:rPr>
              <w:t xml:space="preserve">кем выдан </w:t>
            </w:r>
          </w:p>
        </w:tc>
        <w:tc>
          <w:tcPr>
            <w:tcW w:w="10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jc w:val="center"/>
              <w:rPr>
                <w:rFonts w:ascii="Times New Roman" w:hAnsi="Times New Roman"/>
                <w:sz w:val="24"/>
                <w:szCs w:val="24"/>
                <w:highlight w:val="white"/>
              </w:rPr>
            </w:pPr>
            <w:r>
              <w:rPr>
                <w:bCs/>
                <w:sz w:val="24"/>
                <w:szCs w:val="24"/>
                <w:shd w:fill="FFFFFF" w:val="clear"/>
              </w:rPr>
              <w:t>Разрешаемая деятельность (виды деятельности)</w:t>
            </w:r>
          </w:p>
        </w:tc>
        <w:tc>
          <w:tcPr>
            <w:tcW w:w="9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jc w:val="center"/>
              <w:rPr>
                <w:rFonts w:ascii="Times New Roman" w:hAnsi="Times New Roman"/>
                <w:sz w:val="24"/>
                <w:szCs w:val="24"/>
                <w:highlight w:val="white"/>
              </w:rPr>
            </w:pPr>
            <w:r>
              <w:rPr>
                <w:bCs/>
                <w:sz w:val="24"/>
                <w:szCs w:val="24"/>
                <w:shd w:fill="FFFFFF" w:val="clear"/>
              </w:rPr>
              <w:t>Начало действия разрешительного документа</w:t>
            </w:r>
          </w:p>
        </w:tc>
        <w:tc>
          <w:tcPr>
            <w:tcW w:w="12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jc w:val="center"/>
              <w:rPr>
                <w:rFonts w:ascii="Times New Roman" w:hAnsi="Times New Roman"/>
                <w:sz w:val="24"/>
                <w:szCs w:val="24"/>
                <w:highlight w:val="white"/>
              </w:rPr>
            </w:pPr>
            <w:r>
              <w:rPr>
                <w:bCs/>
                <w:sz w:val="24"/>
                <w:szCs w:val="24"/>
                <w:shd w:fill="FFFFFF" w:val="clear"/>
              </w:rPr>
              <w:t xml:space="preserve">Окончание действия разрешительного документа </w:t>
            </w:r>
          </w:p>
        </w:tc>
        <w:tc>
          <w:tcPr>
            <w:tcW w:w="22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jc w:val="center"/>
              <w:rPr>
                <w:rFonts w:ascii="Times New Roman" w:hAnsi="Times New Roman"/>
                <w:sz w:val="24"/>
                <w:szCs w:val="24"/>
                <w:highlight w:val="white"/>
              </w:rPr>
            </w:pPr>
            <w:r>
              <w:rPr>
                <w:bCs/>
                <w:sz w:val="24"/>
                <w:szCs w:val="24"/>
                <w:shd w:fill="FFFFFF" w:val="clear"/>
              </w:rPr>
              <w:t>Ограничения (условия) использования разрешительного документа (осуществления разрешаемой деятельности)</w:t>
            </w:r>
          </w:p>
        </w:tc>
      </w:tr>
      <w:tr>
        <w:trPr>
          <w:trHeight w:val="557" w:hRule="atLeast"/>
        </w:trPr>
        <w:tc>
          <w:tcPr>
            <w:tcW w:w="6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21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12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10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9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12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22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r>
      <w:tr>
        <w:trPr>
          <w:trHeight w:val="532" w:hRule="atLeast"/>
        </w:trPr>
        <w:tc>
          <w:tcPr>
            <w:tcW w:w="6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21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12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10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9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12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22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r>
      <w:tr>
        <w:trPr>
          <w:trHeight w:val="505" w:hRule="atLeast"/>
        </w:trPr>
        <w:tc>
          <w:tcPr>
            <w:tcW w:w="6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21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122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10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9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12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c>
          <w:tcPr>
            <w:tcW w:w="22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jc w:val="center"/>
              <w:rPr>
                <w:rFonts w:ascii="Times New Roman" w:hAnsi="Times New Roman"/>
                <w:bCs/>
                <w:sz w:val="24"/>
                <w:szCs w:val="24"/>
                <w:shd w:fill="FFFFFF" w:val="clear"/>
              </w:rPr>
            </w:pPr>
            <w:r>
              <w:rPr>
                <w:bCs/>
                <w:sz w:val="24"/>
                <w:szCs w:val="24"/>
                <w:shd w:fill="FFFFFF" w:val="clear"/>
              </w:rPr>
            </w:r>
          </w:p>
        </w:tc>
      </w:tr>
    </w:tbl>
    <w:p>
      <w:pPr>
        <w:pStyle w:val="Normal"/>
        <w:spacing w:lineRule="auto" w:line="240"/>
        <w:jc w:val="center"/>
        <w:rPr>
          <w:rFonts w:ascii="Times New Roman" w:hAnsi="Times New Roman"/>
          <w:b/>
          <w:b/>
          <w:bCs/>
          <w:sz w:val="24"/>
          <w:szCs w:val="24"/>
          <w:shd w:fill="FFFFFF" w:val="clear"/>
        </w:rPr>
      </w:pPr>
      <w:r>
        <w:rPr>
          <w:b/>
          <w:bCs/>
          <w:sz w:val="24"/>
          <w:szCs w:val="24"/>
          <w:shd w:fill="FFFFFF" w:val="clear"/>
        </w:rPr>
      </w:r>
    </w:p>
    <w:p>
      <w:pPr>
        <w:pStyle w:val="Normal"/>
        <w:spacing w:lineRule="auto" w:line="240"/>
        <w:jc w:val="center"/>
        <w:rPr>
          <w:rFonts w:ascii="Times New Roman" w:hAnsi="Times New Roman"/>
          <w:b/>
          <w:b/>
          <w:sz w:val="24"/>
          <w:szCs w:val="24"/>
          <w:shd w:fill="FFFFFF" w:val="clear"/>
        </w:rPr>
      </w:pPr>
      <w:r>
        <w:rPr>
          <w:b/>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rFonts w:ascii="Times New Roman" w:hAnsi="Times New Roman"/>
                <w:sz w:val="24"/>
                <w:szCs w:val="24"/>
                <w:highlight w:val="white"/>
              </w:rPr>
            </w:pPr>
            <w:r>
              <w:rPr>
                <w:b/>
                <w:sz w:val="24"/>
                <w:szCs w:val="24"/>
                <w:shd w:fill="FFFFFF" w:val="clear"/>
              </w:rPr>
              <w:t>Заказчик:</w:t>
            </w:r>
          </w:p>
        </w:tc>
        <w:tc>
          <w:tcPr>
            <w:tcW w:w="4785" w:type="dxa"/>
            <w:tcBorders/>
            <w:shd w:fill="auto" w:val="clear"/>
          </w:tcPr>
          <w:p>
            <w:pPr>
              <w:pStyle w:val="Normal"/>
              <w:widowControl w:val="false"/>
              <w:spacing w:lineRule="auto" w:line="240"/>
              <w:ind w:hanging="0"/>
              <w:rPr>
                <w:rFonts w:ascii="Times New Roman" w:hAnsi="Times New Roman"/>
                <w:sz w:val="24"/>
                <w:szCs w:val="24"/>
                <w:highlight w:val="white"/>
              </w:rPr>
            </w:pPr>
            <w:r>
              <w:rPr>
                <w:b/>
                <w:sz w:val="24"/>
                <w:szCs w:val="24"/>
                <w:shd w:fill="FFFFFF" w:val="clear"/>
              </w:rPr>
              <w:t>Подрядчик:</w:t>
            </w:r>
          </w:p>
        </w:tc>
      </w:tr>
      <w:tr>
        <w:trPr/>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bl>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r>
        <w:br w:type="page"/>
      </w:r>
    </w:p>
    <w:p>
      <w:pPr>
        <w:pStyle w:val="Normal"/>
        <w:spacing w:lineRule="auto" w:line="240"/>
        <w:ind w:left="5103" w:hanging="0"/>
        <w:rPr>
          <w:highlight w:val="white"/>
        </w:rPr>
      </w:pPr>
      <w:r>
        <w:rPr>
          <w:sz w:val="24"/>
          <w:szCs w:val="24"/>
          <w:shd w:fill="FFFFFF" w:val="clear"/>
        </w:rPr>
        <w:t>Приложение № 6</w:t>
      </w:r>
    </w:p>
    <w:p>
      <w:pPr>
        <w:pStyle w:val="Normal"/>
        <w:spacing w:lineRule="auto" w:line="240"/>
        <w:ind w:left="5103" w:hanging="0"/>
        <w:rPr>
          <w:highlight w:val="white"/>
        </w:rPr>
      </w:pPr>
      <w:r>
        <w:rPr>
          <w:sz w:val="24"/>
          <w:szCs w:val="24"/>
          <w:shd w:fill="FFFFFF" w:val="clear"/>
        </w:rPr>
        <w:t>к Договору подряда</w:t>
      </w:r>
    </w:p>
    <w:p>
      <w:pPr>
        <w:pStyle w:val="Normal"/>
        <w:spacing w:lineRule="auto" w:line="240"/>
        <w:ind w:left="5103" w:hanging="0"/>
        <w:rPr>
          <w:highlight w:val="white"/>
        </w:rPr>
      </w:pPr>
      <w:r>
        <w:rPr>
          <w:sz w:val="24"/>
          <w:szCs w:val="24"/>
          <w:shd w:fill="FFFFFF" w:val="clear"/>
        </w:rPr>
        <w:t xml:space="preserve">от «____» __________ 20 _ г. № ____ </w:t>
      </w:r>
    </w:p>
    <w:p>
      <w:pPr>
        <w:pStyle w:val="Normal"/>
        <w:spacing w:lineRule="auto" w:line="24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b/>
          <w:b/>
          <w:sz w:val="24"/>
          <w:szCs w:val="24"/>
          <w:shd w:fill="FFFFFF" w:val="clear"/>
        </w:rPr>
      </w:pPr>
      <w:r>
        <w:rPr>
          <w:b/>
          <w:sz w:val="24"/>
          <w:szCs w:val="24"/>
          <w:shd w:fill="FFFFFF" w:val="clear"/>
        </w:rPr>
      </w:r>
    </w:p>
    <w:p>
      <w:pPr>
        <w:pStyle w:val="Normal"/>
        <w:spacing w:lineRule="auto" w:line="240"/>
        <w:ind w:hanging="0"/>
        <w:jc w:val="center"/>
        <w:rPr>
          <w:highlight w:val="white"/>
        </w:rPr>
      </w:pPr>
      <w:r>
        <w:rPr>
          <w:b/>
          <w:bCs/>
          <w:sz w:val="24"/>
          <w:szCs w:val="24"/>
          <w:shd w:fill="FFFFFF" w:val="clear"/>
        </w:rPr>
        <w:t>Размер ответственности Подрядчика за нарушения</w:t>
      </w:r>
    </w:p>
    <w:p>
      <w:pPr>
        <w:pStyle w:val="Normal"/>
        <w:spacing w:lineRule="auto" w:line="240"/>
        <w:ind w:hanging="0"/>
        <w:jc w:val="center"/>
        <w:rPr>
          <w:highlight w:val="white"/>
        </w:rPr>
      </w:pPr>
      <w:r>
        <w:rPr>
          <w:b/>
          <w:bCs/>
          <w:sz w:val="24"/>
          <w:szCs w:val="24"/>
          <w:shd w:fill="FFFFFF" w:val="clear"/>
        </w:rPr>
        <w:t>пропускного и внутриобъектового режима, требований охраны труда,</w:t>
      </w:r>
    </w:p>
    <w:p>
      <w:pPr>
        <w:pStyle w:val="Normal"/>
        <w:spacing w:lineRule="auto" w:line="240"/>
        <w:ind w:hanging="0"/>
        <w:jc w:val="center"/>
        <w:rPr>
          <w:highlight w:val="white"/>
        </w:rPr>
      </w:pPr>
      <w:r>
        <w:rPr>
          <w:b/>
          <w:bCs/>
          <w:sz w:val="24"/>
          <w:szCs w:val="24"/>
          <w:shd w:fill="FFFFFF" w:val="clear"/>
        </w:rPr>
        <w:t>пожарной и промышленной безопасности</w:t>
      </w:r>
    </w:p>
    <w:p>
      <w:pPr>
        <w:pStyle w:val="Normal"/>
        <w:spacing w:lineRule="auto" w:line="240"/>
        <w:rPr>
          <w:rFonts w:ascii="Times New Roman" w:hAnsi="Times New Roman"/>
          <w:b/>
          <w:b/>
          <w:sz w:val="24"/>
          <w:szCs w:val="24"/>
          <w:shd w:fill="FFFFFF" w:val="clear"/>
        </w:rPr>
      </w:pPr>
      <w:r>
        <w:rPr>
          <w:b/>
          <w:sz w:val="24"/>
          <w:szCs w:val="24"/>
          <w:shd w:fill="FFFFFF" w:val="clear"/>
        </w:rPr>
      </w:r>
    </w:p>
    <w:tbl>
      <w:tblPr>
        <w:tblW w:w="4850" w:type="pct"/>
        <w:jc w:val="left"/>
        <w:tblInd w:w="-2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68" w:type="dxa"/>
          <w:bottom w:w="0" w:type="dxa"/>
          <w:right w:w="108" w:type="dxa"/>
        </w:tblCellMar>
        <w:tblLook w:val="01e0" w:noVBand="0" w:noHBand="0" w:lastColumn="1" w:firstColumn="1" w:lastRow="1" w:firstRow="1"/>
      </w:tblPr>
      <w:tblGrid>
        <w:gridCol w:w="3655"/>
        <w:gridCol w:w="5691"/>
      </w:tblGrid>
      <w:tr>
        <w:trPr/>
        <w:tc>
          <w:tcPr>
            <w:tcW w:w="36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rPr>
                <w:rFonts w:ascii="Times New Roman" w:hAnsi="Times New Roman"/>
                <w:sz w:val="24"/>
                <w:szCs w:val="24"/>
                <w:highlight w:val="white"/>
              </w:rPr>
            </w:pPr>
            <w:r>
              <w:rPr>
                <w:b/>
                <w:sz w:val="24"/>
                <w:szCs w:val="24"/>
                <w:shd w:fill="FFFFFF" w:val="clear"/>
              </w:rPr>
              <w:t>Виды нарушений</w:t>
            </w:r>
          </w:p>
        </w:tc>
        <w:tc>
          <w:tcPr>
            <w:tcW w:w="56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rPr>
                <w:rFonts w:ascii="Times New Roman" w:hAnsi="Times New Roman"/>
                <w:sz w:val="24"/>
                <w:szCs w:val="24"/>
                <w:highlight w:val="white"/>
              </w:rPr>
            </w:pPr>
            <w:r>
              <w:rPr>
                <w:b/>
                <w:sz w:val="24"/>
                <w:szCs w:val="24"/>
                <w:shd w:fill="FFFFFF" w:val="clear"/>
              </w:rPr>
              <w:t>Штрафные санкции</w:t>
            </w:r>
          </w:p>
        </w:tc>
      </w:tr>
      <w:tr>
        <w:trPr/>
        <w:tc>
          <w:tcPr>
            <w:tcW w:w="36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rPr>
                <w:rFonts w:ascii="Times New Roman" w:hAnsi="Times New Roman"/>
                <w:sz w:val="24"/>
                <w:szCs w:val="24"/>
                <w:highlight w:val="white"/>
              </w:rPr>
            </w:pPr>
            <w:r>
              <w:rPr>
                <w:sz w:val="24"/>
                <w:szCs w:val="24"/>
                <w:shd w:fill="FFFFFF" w:val="clear"/>
              </w:rPr>
              <w:t>1. Нарушение правил пожарной безопасности (ППБ):</w:t>
            </w:r>
          </w:p>
        </w:tc>
        <w:tc>
          <w:tcPr>
            <w:tcW w:w="56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r>
        <w:trPr/>
        <w:tc>
          <w:tcPr>
            <w:tcW w:w="36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rPr>
                <w:rFonts w:ascii="Times New Roman" w:hAnsi="Times New Roman"/>
                <w:sz w:val="24"/>
                <w:szCs w:val="24"/>
                <w:highlight w:val="white"/>
              </w:rPr>
            </w:pPr>
            <w:r>
              <w:rPr>
                <w:sz w:val="24"/>
                <w:szCs w:val="24"/>
                <w:shd w:fill="FFFFFF" w:val="clear"/>
              </w:rPr>
              <w:t>1.1. Нарушение ППБ без возникновения пожара</w:t>
            </w:r>
          </w:p>
          <w:p>
            <w:pPr>
              <w:pStyle w:val="Normal"/>
              <w:widowControl w:val="false"/>
              <w:spacing w:lineRule="auto" w:line="240"/>
              <w:ind w:hanging="0"/>
              <w:rPr>
                <w:rFonts w:ascii="Times New Roman" w:hAnsi="Times New Roman"/>
                <w:b/>
                <w:b/>
                <w:sz w:val="24"/>
                <w:szCs w:val="24"/>
                <w:shd w:fill="FFFFFF" w:val="clear"/>
              </w:rPr>
            </w:pPr>
            <w:r>
              <w:rPr>
                <w:b/>
                <w:sz w:val="24"/>
                <w:szCs w:val="24"/>
                <w:shd w:fill="FFFFFF" w:val="clear"/>
              </w:rPr>
            </w:r>
          </w:p>
        </w:tc>
        <w:tc>
          <w:tcPr>
            <w:tcW w:w="56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left="0" w:right="0" w:hanging="0"/>
              <w:jc w:val="both"/>
              <w:rPr>
                <w:rFonts w:ascii="Times New Roman" w:hAnsi="Times New Roman"/>
                <w:sz w:val="24"/>
                <w:szCs w:val="24"/>
                <w:highlight w:val="white"/>
              </w:rPr>
            </w:pPr>
            <w:r>
              <w:rPr>
                <w:sz w:val="24"/>
                <w:szCs w:val="24"/>
                <w:shd w:fill="FFFFFF" w:val="clear"/>
              </w:rPr>
              <w:t>100 000 (сто тысяч) рублей за каждый случай нарушения.</w:t>
            </w:r>
          </w:p>
          <w:p>
            <w:pPr>
              <w:pStyle w:val="Normal"/>
              <w:widowControl w:val="false"/>
              <w:spacing w:lineRule="auto" w:line="240"/>
              <w:ind w:left="0" w:right="0" w:hanging="0"/>
              <w:jc w:val="both"/>
              <w:rPr>
                <w:rFonts w:ascii="Times New Roman" w:hAnsi="Times New Roman"/>
                <w:sz w:val="24"/>
                <w:szCs w:val="24"/>
                <w:highlight w:val="white"/>
              </w:rPr>
            </w:pPr>
            <w:r>
              <w:rPr>
                <w:sz w:val="24"/>
                <w:szCs w:val="24"/>
                <w:shd w:fill="FFFFFF" w:val="clear"/>
              </w:rPr>
              <w:t>Сумма штрафа, установленная настоящим пунктом, увеличивается на 50 (пятьдесят) % по отношению к предыдущему случаю за каждое следующее нарушение.</w:t>
            </w:r>
          </w:p>
        </w:tc>
      </w:tr>
      <w:tr>
        <w:trPr/>
        <w:tc>
          <w:tcPr>
            <w:tcW w:w="36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rPr>
                <w:rFonts w:ascii="Times New Roman" w:hAnsi="Times New Roman"/>
                <w:sz w:val="24"/>
                <w:szCs w:val="24"/>
                <w:highlight w:val="white"/>
              </w:rPr>
            </w:pPr>
            <w:r>
              <w:rPr>
                <w:sz w:val="24"/>
                <w:szCs w:val="24"/>
                <w:shd w:fill="FFFFFF" w:val="clear"/>
              </w:rPr>
              <w:t>1.2. Нарушение ППБ, ставшее причиной возникновения пожара, не причинившего ущерб имуществу Заказчика</w:t>
            </w:r>
          </w:p>
        </w:tc>
        <w:tc>
          <w:tcPr>
            <w:tcW w:w="56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left="0" w:right="0" w:hanging="0"/>
              <w:jc w:val="both"/>
              <w:rPr>
                <w:rFonts w:ascii="Times New Roman" w:hAnsi="Times New Roman"/>
                <w:sz w:val="24"/>
                <w:szCs w:val="24"/>
                <w:highlight w:val="white"/>
              </w:rPr>
            </w:pPr>
            <w:r>
              <w:rPr>
                <w:sz w:val="24"/>
                <w:szCs w:val="24"/>
                <w:shd w:fill="FFFFFF" w:val="clear"/>
              </w:rPr>
              <w:t>200 000 (двести тысяч) рублей за каждый случай нарушения.</w:t>
            </w:r>
          </w:p>
          <w:p>
            <w:pPr>
              <w:pStyle w:val="Normal"/>
              <w:widowControl w:val="false"/>
              <w:spacing w:lineRule="auto" w:line="240"/>
              <w:ind w:left="0" w:right="0" w:hanging="0"/>
              <w:jc w:val="both"/>
              <w:rPr>
                <w:rFonts w:ascii="Times New Roman" w:hAnsi="Times New Roman"/>
                <w:sz w:val="24"/>
                <w:szCs w:val="24"/>
                <w:highlight w:val="white"/>
              </w:rPr>
            </w:pPr>
            <w:r>
              <w:rPr>
                <w:sz w:val="24"/>
                <w:szCs w:val="24"/>
                <w:shd w:fill="FFFFFF" w:val="clear"/>
              </w:rPr>
              <w:t>Сумма штрафа, установленная настоящим пунктом, увеличивается на 100 (сто) % по отношению к предыдущему случаю за каждое следующее нарушение.</w:t>
            </w:r>
          </w:p>
        </w:tc>
      </w:tr>
      <w:tr>
        <w:trPr/>
        <w:tc>
          <w:tcPr>
            <w:tcW w:w="36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hanging="0"/>
              <w:rPr>
                <w:rFonts w:ascii="Times New Roman" w:hAnsi="Times New Roman"/>
                <w:sz w:val="24"/>
                <w:szCs w:val="24"/>
                <w:highlight w:val="white"/>
              </w:rPr>
            </w:pPr>
            <w:r>
              <w:rPr>
                <w:sz w:val="24"/>
                <w:szCs w:val="24"/>
                <w:shd w:fill="FFFFFF" w:val="clear"/>
              </w:rPr>
              <w:t>1.3. Нарушение ППБ, ставшее причиной возникновения пожара, причинившего ущерб имуществу Заказчика.</w:t>
            </w:r>
          </w:p>
        </w:tc>
        <w:tc>
          <w:tcPr>
            <w:tcW w:w="56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left="0" w:right="0" w:hanging="0"/>
              <w:rPr>
                <w:rFonts w:ascii="Times New Roman" w:hAnsi="Times New Roman"/>
                <w:sz w:val="24"/>
                <w:szCs w:val="24"/>
                <w:highlight w:val="white"/>
              </w:rPr>
            </w:pPr>
            <w:r>
              <w:rPr>
                <w:sz w:val="24"/>
                <w:szCs w:val="24"/>
                <w:shd w:fill="FFFFFF" w:val="clear"/>
              </w:rPr>
              <w:t xml:space="preserve"> </w:t>
            </w:r>
            <w:r>
              <w:rPr>
                <w:sz w:val="24"/>
                <w:szCs w:val="24"/>
                <w:shd w:fill="FFFFFF" w:val="clear"/>
              </w:rPr>
              <w:t>500 000 (пятьсот тысяч) рублей за каждый случай нарушения.</w:t>
            </w:r>
          </w:p>
        </w:tc>
      </w:tr>
      <w:tr>
        <w:trPr/>
        <w:tc>
          <w:tcPr>
            <w:tcW w:w="36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left="0" w:right="0" w:hanging="0"/>
              <w:rPr>
                <w:sz w:val="24"/>
                <w:szCs w:val="24"/>
                <w:highlight w:val="white"/>
              </w:rPr>
            </w:pPr>
            <w:r>
              <w:rPr>
                <w:b w:val="false"/>
                <w:bCs w:val="false"/>
                <w:sz w:val="24"/>
                <w:szCs w:val="24"/>
                <w:shd w:fill="FFFFFF" w:val="clear"/>
              </w:rPr>
              <w:t>2. Нарушение пропускного и внутриобъектового режима</w:t>
            </w:r>
            <w:r>
              <w:rPr>
                <w:b w:val="false"/>
                <w:bCs w:val="false"/>
                <w:color w:val="000000"/>
                <w:sz w:val="24"/>
                <w:szCs w:val="24"/>
                <w:shd w:fill="FFFFFF" w:val="clear"/>
              </w:rPr>
              <w:t>, промышленной безопасности, охраны окружающей среды, санитарно-эпидемиологических правил и норм.</w:t>
            </w:r>
            <w:r>
              <w:rPr>
                <w:b w:val="false"/>
                <w:bCs w:val="false"/>
                <w:sz w:val="24"/>
                <w:szCs w:val="24"/>
                <w:shd w:fill="FFFFFF" w:val="clear"/>
              </w:rPr>
              <w:t xml:space="preserve"> </w:t>
            </w:r>
          </w:p>
        </w:tc>
        <w:tc>
          <w:tcPr>
            <w:tcW w:w="56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left="0" w:right="0" w:hanging="0"/>
              <w:rPr>
                <w:rFonts w:ascii="Times New Roman" w:hAnsi="Times New Roman"/>
                <w:sz w:val="24"/>
                <w:szCs w:val="24"/>
                <w:highlight w:val="white"/>
              </w:rPr>
            </w:pPr>
            <w:r>
              <w:rPr>
                <w:sz w:val="24"/>
                <w:szCs w:val="24"/>
                <w:shd w:fill="FFFFFF" w:val="clear"/>
              </w:rPr>
              <w:t>- 50 000 (пятьдесят тысяч) рублей за каждый случай нарушения;</w:t>
            </w:r>
          </w:p>
          <w:p>
            <w:pPr>
              <w:pStyle w:val="Normal"/>
              <w:widowControl w:val="false"/>
              <w:spacing w:lineRule="auto" w:line="240"/>
              <w:ind w:left="0" w:right="0" w:hanging="0"/>
              <w:rPr>
                <w:rFonts w:ascii="Times New Roman" w:hAnsi="Times New Roman"/>
                <w:sz w:val="24"/>
                <w:szCs w:val="24"/>
                <w:highlight w:val="white"/>
              </w:rPr>
            </w:pPr>
            <w:r>
              <w:rPr>
                <w:sz w:val="24"/>
                <w:szCs w:val="24"/>
                <w:shd w:fill="FFFFFF" w:val="clear"/>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spacing w:lineRule="auto" w:line="240"/>
              <w:ind w:left="0" w:right="0" w:hanging="0"/>
              <w:rPr>
                <w:rFonts w:ascii="Times New Roman" w:hAnsi="Times New Roman"/>
                <w:sz w:val="24"/>
                <w:szCs w:val="24"/>
                <w:highlight w:val="white"/>
              </w:rPr>
            </w:pPr>
            <w:r>
              <w:rPr>
                <w:sz w:val="24"/>
                <w:szCs w:val="24"/>
                <w:shd w:fill="FFFFFF" w:val="clear"/>
              </w:rPr>
              <w:t>Сумма штрафа, установленная настоящим пунктом, увеличивается на 100% по отношению к предыдущему случаю за каждое следующее нарушение.</w:t>
            </w:r>
          </w:p>
        </w:tc>
      </w:tr>
      <w:tr>
        <w:trPr/>
        <w:tc>
          <w:tcPr>
            <w:tcW w:w="36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left="0" w:right="0" w:hanging="0"/>
              <w:rPr>
                <w:sz w:val="24"/>
                <w:szCs w:val="24"/>
                <w:highlight w:val="white"/>
              </w:rPr>
            </w:pPr>
            <w:r>
              <w:rPr>
                <w:b w:val="false"/>
                <w:bCs w:val="false"/>
                <w:sz w:val="24"/>
                <w:szCs w:val="24"/>
                <w:shd w:fill="FFFFFF" w:val="clear"/>
              </w:rPr>
              <w:t xml:space="preserve">3. Нарушение </w:t>
            </w:r>
            <w:r>
              <w:rPr>
                <w:b w:val="false"/>
                <w:bCs w:val="false"/>
                <w:color w:val="000000"/>
                <w:sz w:val="24"/>
                <w:szCs w:val="24"/>
                <w:shd w:fill="FFFFFF" w:val="clear"/>
              </w:rPr>
              <w:t>требований охраны труда</w:t>
            </w:r>
          </w:p>
        </w:tc>
        <w:tc>
          <w:tcPr>
            <w:tcW w:w="56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8" w:type="dxa"/>
            </w:tcMar>
          </w:tcPr>
          <w:p>
            <w:pPr>
              <w:pStyle w:val="Normal"/>
              <w:widowControl w:val="false"/>
              <w:spacing w:lineRule="auto" w:line="240"/>
              <w:ind w:left="0" w:right="0" w:hanging="0"/>
              <w:rPr>
                <w:rFonts w:ascii="Times New Roman" w:hAnsi="Times New Roman"/>
                <w:sz w:val="24"/>
                <w:szCs w:val="24"/>
                <w:highlight w:val="white"/>
              </w:rPr>
            </w:pPr>
            <w:r>
              <w:rPr>
                <w:sz w:val="24"/>
                <w:szCs w:val="24"/>
                <w:shd w:fill="FFFFFF" w:val="clear"/>
              </w:rPr>
              <w:t>100 000 (сто тысяч) рублей за каждый случай нарушения.</w:t>
            </w:r>
          </w:p>
          <w:p>
            <w:pPr>
              <w:pStyle w:val="Normal"/>
              <w:widowControl w:val="false"/>
              <w:spacing w:lineRule="auto" w:line="240"/>
              <w:ind w:left="0" w:right="0" w:hanging="0"/>
              <w:rPr>
                <w:rFonts w:ascii="Times New Roman" w:hAnsi="Times New Roman"/>
                <w:sz w:val="24"/>
                <w:szCs w:val="24"/>
                <w:highlight w:val="white"/>
              </w:rPr>
            </w:pPr>
            <w:r>
              <w:rPr>
                <w:sz w:val="24"/>
                <w:szCs w:val="24"/>
                <w:shd w:fill="FFFFFF" w:val="clear"/>
              </w:rPr>
              <w:t>Сумма штрафа, установленная настоящим пунктом, увеличивается на 100% по отношению к предыдущему случаю за каждое следующее нарушение.</w:t>
            </w:r>
          </w:p>
        </w:tc>
      </w:tr>
    </w:tbl>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left="5103"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tbl>
      <w:tblPr>
        <w:tblW w:w="9571" w:type="dxa"/>
        <w:jc w:val="left"/>
        <w:tblInd w:w="0" w:type="dxa"/>
        <w:tblBorders/>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shd w:fill="auto" w:val="clear"/>
          </w:tcPr>
          <w:p>
            <w:pPr>
              <w:pStyle w:val="Normal"/>
              <w:widowControl w:val="false"/>
              <w:spacing w:lineRule="auto" w:line="240"/>
              <w:ind w:hanging="0"/>
              <w:rPr>
                <w:rFonts w:ascii="Times New Roman" w:hAnsi="Times New Roman"/>
                <w:sz w:val="24"/>
                <w:szCs w:val="24"/>
                <w:highlight w:val="white"/>
              </w:rPr>
            </w:pPr>
            <w:r>
              <w:rPr>
                <w:b/>
                <w:sz w:val="24"/>
                <w:szCs w:val="24"/>
                <w:shd w:fill="FFFFFF" w:val="clear"/>
              </w:rPr>
              <w:t>Заказчик:</w:t>
            </w:r>
          </w:p>
        </w:tc>
        <w:tc>
          <w:tcPr>
            <w:tcW w:w="4785" w:type="dxa"/>
            <w:tcBorders/>
            <w:shd w:fill="auto" w:val="clear"/>
          </w:tcPr>
          <w:p>
            <w:pPr>
              <w:pStyle w:val="Normal"/>
              <w:widowControl w:val="false"/>
              <w:spacing w:lineRule="auto" w:line="240"/>
              <w:ind w:hanging="0"/>
              <w:rPr>
                <w:rFonts w:ascii="Times New Roman" w:hAnsi="Times New Roman"/>
                <w:sz w:val="24"/>
                <w:szCs w:val="24"/>
                <w:highlight w:val="white"/>
              </w:rPr>
            </w:pPr>
            <w:r>
              <w:rPr>
                <w:b/>
                <w:sz w:val="24"/>
                <w:szCs w:val="24"/>
                <w:shd w:fill="FFFFFF" w:val="clear"/>
              </w:rPr>
              <w:t>Подрядчик:</w:t>
            </w:r>
          </w:p>
        </w:tc>
      </w:tr>
      <w:tr>
        <w:trPr/>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c>
          <w:tcPr>
            <w:tcW w:w="4785" w:type="dxa"/>
            <w:tcBorders/>
            <w:shd w:fill="auto" w:val="clear"/>
          </w:tcPr>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 xml:space="preserve">_______________ / _______________ </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tc>
      </w:tr>
    </w:tbl>
    <w:p>
      <w:pPr>
        <w:pStyle w:val="Normal"/>
        <w:spacing w:lineRule="auto" w:line="240"/>
        <w:ind w:hanging="0"/>
        <w:rPr>
          <w:rFonts w:ascii="Times New Roman" w:hAnsi="Times New Roman"/>
          <w:sz w:val="24"/>
          <w:szCs w:val="24"/>
          <w:shd w:fill="FFFFFF" w:val="clear"/>
        </w:rPr>
      </w:pPr>
      <w:r>
        <w:rPr>
          <w:sz w:val="24"/>
          <w:szCs w:val="24"/>
          <w:shd w:fill="FFFFFF" w:val="clear"/>
        </w:rPr>
      </w:r>
      <w:r>
        <w:br w:type="page"/>
      </w:r>
    </w:p>
    <w:tbl>
      <w:tblPr>
        <w:tblW w:w="9571" w:type="dxa"/>
        <w:jc w:val="left"/>
        <w:tblInd w:w="0" w:type="dxa"/>
        <w:tblBorders/>
        <w:tblCellMar>
          <w:top w:w="0" w:type="dxa"/>
          <w:left w:w="108" w:type="dxa"/>
          <w:bottom w:w="0" w:type="dxa"/>
          <w:right w:w="108" w:type="dxa"/>
        </w:tblCellMar>
        <w:tblLook w:val="04a0" w:noVBand="1" w:noHBand="0" w:lastColumn="0" w:firstColumn="1" w:lastRow="0" w:firstRow="1"/>
      </w:tblPr>
      <w:tblGrid>
        <w:gridCol w:w="4785"/>
        <w:gridCol w:w="4785"/>
      </w:tblGrid>
      <w:tr>
        <w:trPr/>
        <w:tc>
          <w:tcPr>
            <w:tcW w:w="4785" w:type="dxa"/>
            <w:tcBorders/>
            <w:shd w:fill="auto" w:val="clear"/>
          </w:tcPr>
          <w:p>
            <w:pPr>
              <w:pStyle w:val="Normal"/>
              <w:pageBreakBefore/>
              <w:widowControl w:val="false"/>
              <w:snapToGrid w:val="false"/>
              <w:spacing w:lineRule="auto" w:line="240"/>
              <w:rPr>
                <w:rFonts w:ascii="Times New Roman" w:hAnsi="Times New Roman"/>
                <w:b/>
                <w:b/>
                <w:bCs/>
                <w:sz w:val="24"/>
                <w:szCs w:val="24"/>
                <w:shd w:fill="FFFFFF" w:val="clear"/>
              </w:rPr>
            </w:pPr>
            <w:r>
              <w:rPr>
                <w:b/>
                <w:bCs/>
                <w:sz w:val="24"/>
                <w:szCs w:val="24"/>
                <w:shd w:fill="FFFFFF" w:val="clear"/>
              </w:rPr>
            </w:r>
          </w:p>
        </w:tc>
        <w:tc>
          <w:tcPr>
            <w:tcW w:w="4785" w:type="dxa"/>
            <w:tcBorders/>
            <w:shd w:fill="auto" w:val="clear"/>
          </w:tcPr>
          <w:p>
            <w:pPr>
              <w:pStyle w:val="Normal"/>
              <w:widowControl w:val="false"/>
              <w:shd w:val="clear" w:color="auto" w:fill="FFFFFF"/>
              <w:spacing w:lineRule="auto" w:line="240"/>
              <w:ind w:firstLine="352"/>
              <w:rPr>
                <w:rFonts w:ascii="Times New Roman" w:hAnsi="Times New Roman"/>
                <w:sz w:val="24"/>
                <w:szCs w:val="24"/>
                <w:highlight w:val="white"/>
              </w:rPr>
            </w:pPr>
            <w:r>
              <w:rPr>
                <w:bCs/>
                <w:sz w:val="24"/>
                <w:szCs w:val="24"/>
                <w:shd w:fill="FFFFFF" w:val="clear"/>
              </w:rPr>
              <w:t>Приложение № 7</w:t>
            </w:r>
          </w:p>
          <w:p>
            <w:pPr>
              <w:pStyle w:val="Normal"/>
              <w:widowControl w:val="false"/>
              <w:shd w:val="clear" w:color="auto" w:fill="FFFFFF"/>
              <w:spacing w:lineRule="auto" w:line="240"/>
              <w:ind w:firstLine="352"/>
              <w:rPr>
                <w:rFonts w:ascii="Times New Roman" w:hAnsi="Times New Roman"/>
                <w:sz w:val="24"/>
                <w:szCs w:val="24"/>
                <w:highlight w:val="white"/>
              </w:rPr>
            </w:pPr>
            <w:r>
              <w:rPr>
                <w:bCs/>
                <w:sz w:val="24"/>
                <w:szCs w:val="24"/>
                <w:shd w:fill="FFFFFF" w:val="clear"/>
              </w:rPr>
              <w:t xml:space="preserve">к Договору подряда </w:t>
            </w:r>
          </w:p>
          <w:p>
            <w:pPr>
              <w:pStyle w:val="Normal"/>
              <w:widowControl w:val="false"/>
              <w:shd w:val="clear" w:color="auto" w:fill="FFFFFF"/>
              <w:spacing w:lineRule="auto" w:line="240"/>
              <w:ind w:firstLine="352"/>
              <w:rPr>
                <w:rFonts w:ascii="Times New Roman" w:hAnsi="Times New Roman"/>
                <w:sz w:val="24"/>
                <w:szCs w:val="24"/>
                <w:highlight w:val="white"/>
              </w:rPr>
            </w:pPr>
            <w:r>
              <w:rPr>
                <w:bCs/>
                <w:sz w:val="24"/>
                <w:szCs w:val="24"/>
                <w:shd w:fill="FFFFFF" w:val="clear"/>
              </w:rPr>
              <w:t>от «___» ________20__ г. № ___</w:t>
            </w:r>
          </w:p>
          <w:p>
            <w:pPr>
              <w:pStyle w:val="Normal"/>
              <w:widowControl w:val="false"/>
              <w:snapToGrid w:val="false"/>
              <w:spacing w:lineRule="auto" w:line="240"/>
              <w:rPr>
                <w:rFonts w:ascii="Times New Roman" w:hAnsi="Times New Roman"/>
                <w:b/>
                <w:b/>
                <w:bCs/>
                <w:sz w:val="24"/>
                <w:szCs w:val="24"/>
                <w:shd w:fill="FFFFFF" w:val="clear"/>
              </w:rPr>
            </w:pPr>
            <w:r>
              <w:rPr>
                <w:b/>
                <w:bCs/>
                <w:sz w:val="24"/>
                <w:szCs w:val="24"/>
                <w:shd w:fill="FFFFFF" w:val="clear"/>
              </w:rPr>
            </w:r>
          </w:p>
        </w:tc>
      </w:tr>
    </w:tbl>
    <w:p>
      <w:pPr>
        <w:pStyle w:val="Normal"/>
        <w:shd w:val="clear" w:color="auto" w:fill="FFFFFF"/>
        <w:spacing w:lineRule="auto" w:line="240"/>
        <w:jc w:val="center"/>
        <w:rPr>
          <w:highlight w:val="white"/>
        </w:rPr>
      </w:pPr>
      <w:r>
        <w:rPr>
          <w:b/>
          <w:bCs/>
          <w:sz w:val="24"/>
          <w:szCs w:val="24"/>
          <w:shd w:fill="FFFFFF" w:val="clear"/>
        </w:rPr>
        <w:t>Акт сдачи-приемки выполненных работ</w:t>
      </w:r>
    </w:p>
    <w:p>
      <w:pPr>
        <w:pStyle w:val="Normal"/>
        <w:shd w:val="clear" w:color="auto" w:fill="FFFFFF"/>
        <w:spacing w:lineRule="auto" w:line="240"/>
        <w:jc w:val="center"/>
        <w:rPr>
          <w:highlight w:val="white"/>
        </w:rPr>
      </w:pPr>
      <w:r>
        <w:rPr>
          <w:b/>
          <w:bCs/>
          <w:sz w:val="24"/>
          <w:szCs w:val="24"/>
          <w:shd w:fill="FFFFFF" w:val="clear"/>
        </w:rPr>
        <w:t>(форма)</w:t>
      </w:r>
    </w:p>
    <w:p>
      <w:pPr>
        <w:pStyle w:val="Normal"/>
        <w:shd w:val="clear" w:color="auto" w:fill="FFFFFF"/>
        <w:spacing w:lineRule="auto" w:line="240"/>
        <w:jc w:val="center"/>
        <w:rPr>
          <w:rFonts w:ascii="Times New Roman" w:hAnsi="Times New Roman"/>
          <w:b/>
          <w:b/>
          <w:bCs/>
          <w:sz w:val="24"/>
          <w:szCs w:val="24"/>
          <w:shd w:fill="FFFFFF" w:val="clear"/>
        </w:rPr>
      </w:pPr>
      <w:r>
        <w:rPr>
          <w:b/>
          <w:bCs/>
          <w:sz w:val="24"/>
          <w:szCs w:val="24"/>
          <w:shd w:fill="FFFFFF" w:val="clear"/>
        </w:rPr>
      </w:r>
    </w:p>
    <w:tbl>
      <w:tblPr>
        <w:tblW w:w="10070" w:type="dxa"/>
        <w:jc w:val="left"/>
        <w:tblInd w:w="-138"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0" w:type="dxa"/>
          <w:left w:w="-10" w:type="dxa"/>
          <w:bottom w:w="0" w:type="dxa"/>
          <w:right w:w="10" w:type="dxa"/>
        </w:tblCellMar>
        <w:tblLook w:val="04a0" w:noVBand="1" w:noHBand="0" w:lastColumn="0" w:firstColumn="1" w:lastRow="0" w:firstRow="1"/>
      </w:tblPr>
      <w:tblGrid>
        <w:gridCol w:w="26"/>
        <w:gridCol w:w="10043"/>
      </w:tblGrid>
      <w:tr>
        <w:trPr/>
        <w:tc>
          <w:tcPr>
            <w:tcW w:w="26"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Normal"/>
              <w:widowControl w:val="false"/>
              <w:spacing w:lineRule="auto" w:line="240"/>
              <w:jc w:val="center"/>
              <w:rPr>
                <w:rFonts w:ascii="Times New Roman" w:hAnsi="Times New Roman"/>
                <w:b/>
                <w:b/>
                <w:bCs/>
                <w:sz w:val="24"/>
                <w:szCs w:val="24"/>
                <w:shd w:fill="FFFFFF" w:val="clear"/>
              </w:rPr>
            </w:pPr>
            <w:r>
              <w:rPr>
                <w:b/>
                <w:bCs/>
                <w:sz w:val="24"/>
                <w:szCs w:val="24"/>
                <w:shd w:fill="FFFFFF" w:val="clear"/>
              </w:rPr>
            </w:r>
          </w:p>
        </w:tc>
        <w:tc>
          <w:tcPr>
            <w:tcW w:w="10043"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28" w:type="dxa"/>
              <w:right w:w="108" w:type="dxa"/>
            </w:tcMar>
          </w:tcPr>
          <w:p>
            <w:pPr>
              <w:pStyle w:val="Normal"/>
              <w:widowControl w:val="false"/>
              <w:spacing w:lineRule="auto" w:line="240"/>
              <w:jc w:val="center"/>
              <w:rPr>
                <w:rFonts w:ascii="Times New Roman" w:hAnsi="Times New Roman"/>
                <w:b/>
                <w:b/>
                <w:bCs/>
                <w:sz w:val="24"/>
                <w:szCs w:val="24"/>
                <w:shd w:fill="FFFFFF" w:val="clear"/>
              </w:rPr>
            </w:pPr>
            <w:r>
              <w:rPr>
                <w:b/>
                <w:bCs/>
                <w:sz w:val="24"/>
                <w:szCs w:val="24"/>
                <w:shd w:fill="FFFFFF" w:val="clear"/>
              </w:rPr>
            </w:r>
          </w:p>
          <w:p>
            <w:pPr>
              <w:pStyle w:val="Normal"/>
              <w:widowControl w:val="false"/>
              <w:spacing w:lineRule="auto" w:line="240"/>
              <w:jc w:val="center"/>
              <w:rPr>
                <w:rFonts w:ascii="Times New Roman" w:hAnsi="Times New Roman"/>
                <w:sz w:val="24"/>
                <w:szCs w:val="24"/>
                <w:highlight w:val="white"/>
              </w:rPr>
            </w:pPr>
            <w:r>
              <w:rPr>
                <w:b/>
                <w:bCs/>
                <w:sz w:val="24"/>
                <w:szCs w:val="24"/>
                <w:shd w:fill="FFFFFF" w:val="clear"/>
              </w:rPr>
              <w:t>АКТ СДАЧИ-ПРЕМКИ ВЫПОЛНЕННЫХ РАБОТ №  _________</w:t>
            </w:r>
          </w:p>
          <w:tbl>
            <w:tblPr>
              <w:tblW w:w="9735" w:type="dxa"/>
              <w:jc w:val="left"/>
              <w:tblInd w:w="0" w:type="dxa"/>
              <w:tblBorders/>
              <w:tblCellMar>
                <w:top w:w="15" w:type="dxa"/>
                <w:left w:w="15" w:type="dxa"/>
                <w:bottom w:w="0" w:type="dxa"/>
                <w:right w:w="15" w:type="dxa"/>
              </w:tblCellMar>
              <w:tblLook w:val="04a0" w:noVBand="1" w:noHBand="0" w:lastColumn="0" w:firstColumn="1" w:lastRow="0" w:firstRow="1"/>
            </w:tblPr>
            <w:tblGrid>
              <w:gridCol w:w="1216"/>
              <w:gridCol w:w="1217"/>
              <w:gridCol w:w="1218"/>
              <w:gridCol w:w="157"/>
              <w:gridCol w:w="1069"/>
              <w:gridCol w:w="413"/>
              <w:gridCol w:w="808"/>
              <w:gridCol w:w="1201"/>
              <w:gridCol w:w="19"/>
              <w:gridCol w:w="1219"/>
              <w:gridCol w:w="102"/>
              <w:gridCol w:w="1094"/>
            </w:tblGrid>
            <w:tr>
              <w:trPr>
                <w:trHeight w:val="255" w:hRule="atLeast"/>
              </w:trPr>
              <w:tc>
                <w:tcPr>
                  <w:tcW w:w="9733" w:type="dxa"/>
                  <w:gridSpan w:val="12"/>
                  <w:tcBorders/>
                  <w:shd w:fill="auto" w:val="clear"/>
                  <w:vAlign w:val="bottom"/>
                </w:tcPr>
                <w:p>
                  <w:pPr>
                    <w:pStyle w:val="Normal"/>
                    <w:widowControl w:val="false"/>
                    <w:spacing w:lineRule="auto" w:line="240"/>
                    <w:rPr>
                      <w:rFonts w:ascii="Times New Roman" w:hAnsi="Times New Roman"/>
                      <w:sz w:val="24"/>
                      <w:szCs w:val="24"/>
                      <w:shd w:fill="FFFFFF" w:val="clear"/>
                    </w:rPr>
                  </w:pPr>
                  <w:r>
                    <w:rPr>
                      <w:sz w:val="24"/>
                      <w:szCs w:val="24"/>
                      <w:shd w:fill="FFFFFF" w:val="clear"/>
                    </w:rPr>
                  </w:r>
                </w:p>
                <w:p>
                  <w:pPr>
                    <w:pStyle w:val="Normal"/>
                    <w:widowControl w:val="false"/>
                    <w:spacing w:lineRule="auto" w:line="240"/>
                    <w:rPr>
                      <w:rFonts w:ascii="Times New Roman" w:hAnsi="Times New Roman"/>
                      <w:sz w:val="24"/>
                      <w:szCs w:val="24"/>
                      <w:highlight w:val="white"/>
                    </w:rPr>
                  </w:pPr>
                  <w:r>
                    <w:rPr>
                      <w:sz w:val="24"/>
                      <w:szCs w:val="24"/>
                      <w:shd w:fill="FFFFFF" w:val="clear"/>
                    </w:rPr>
                    <w:t>г.___________                                                                                       «_____» _________201_г.</w:t>
                  </w:r>
                </w:p>
                <w:tbl>
                  <w:tblPr>
                    <w:tblW w:w="9590" w:type="dxa"/>
                    <w:jc w:val="left"/>
                    <w:tblInd w:w="0" w:type="dxa"/>
                    <w:tblBorders/>
                    <w:tblCellMar>
                      <w:top w:w="15" w:type="dxa"/>
                      <w:left w:w="15" w:type="dxa"/>
                      <w:bottom w:w="0" w:type="dxa"/>
                      <w:right w:w="15" w:type="dxa"/>
                    </w:tblCellMar>
                    <w:tblLook w:val="04a0" w:noVBand="1" w:noHBand="0" w:lastColumn="0" w:firstColumn="1" w:lastRow="0" w:firstRow="1"/>
                  </w:tblPr>
                  <w:tblGrid>
                    <w:gridCol w:w="1356"/>
                    <w:gridCol w:w="8163"/>
                    <w:gridCol w:w="71"/>
                  </w:tblGrid>
                  <w:tr>
                    <w:trPr>
                      <w:trHeight w:val="255" w:hRule="atLeast"/>
                    </w:trPr>
                    <w:tc>
                      <w:tcPr>
                        <w:tcW w:w="1356" w:type="dxa"/>
                        <w:tcBorders/>
                        <w:shd w:fill="auto" w:val="clear"/>
                        <w:vAlign w:val="bottom"/>
                      </w:tcPr>
                      <w:p>
                        <w:pPr>
                          <w:pStyle w:val="Normal"/>
                          <w:widowControl w:val="false"/>
                          <w:snapToGrid w:val="false"/>
                          <w:spacing w:lineRule="auto" w:line="240"/>
                          <w:ind w:hanging="0"/>
                          <w:jc w:val="left"/>
                          <w:rPr>
                            <w:rFonts w:ascii="Times New Roman" w:hAnsi="Times New Roman"/>
                            <w:sz w:val="24"/>
                            <w:szCs w:val="24"/>
                            <w:shd w:fill="FFFFFF" w:val="clear"/>
                          </w:rPr>
                        </w:pPr>
                        <w:r>
                          <w:rPr>
                            <w:sz w:val="24"/>
                            <w:szCs w:val="24"/>
                            <w:shd w:fill="FFFFFF" w:val="clear"/>
                          </w:rPr>
                        </w:r>
                      </w:p>
                      <w:p>
                        <w:pPr>
                          <w:pStyle w:val="Normal"/>
                          <w:widowControl w:val="false"/>
                          <w:snapToGrid w:val="false"/>
                          <w:spacing w:lineRule="auto" w:line="240"/>
                          <w:ind w:hanging="0"/>
                          <w:jc w:val="left"/>
                          <w:rPr>
                            <w:rFonts w:ascii="Times New Roman" w:hAnsi="Times New Roman"/>
                            <w:sz w:val="24"/>
                            <w:szCs w:val="24"/>
                            <w:highlight w:val="white"/>
                          </w:rPr>
                        </w:pPr>
                        <w:r>
                          <w:rPr>
                            <w:sz w:val="24"/>
                            <w:szCs w:val="24"/>
                            <w:shd w:fill="FFFFFF" w:val="clear"/>
                          </w:rPr>
                          <w:t xml:space="preserve">Заказчик: </w:t>
                        </w:r>
                      </w:p>
                    </w:tc>
                    <w:tc>
                      <w:tcPr>
                        <w:tcW w:w="8163" w:type="dxa"/>
                        <w:tcBorders>
                          <w:bottom w:val="single" w:sz="4" w:space="0" w:color="000001"/>
                          <w:insideH w:val="single" w:sz="4" w:space="0" w:color="000001"/>
                        </w:tcBorders>
                        <w:shd w:fill="auto" w:val="clear"/>
                        <w:vAlign w:val="bottom"/>
                      </w:tcPr>
                      <w:p>
                        <w:pPr>
                          <w:pStyle w:val="Normal"/>
                          <w:widowControl w:val="false"/>
                          <w:snapToGrid w:val="false"/>
                          <w:spacing w:lineRule="auto" w:line="240"/>
                          <w:ind w:hanging="0"/>
                          <w:jc w:val="left"/>
                          <w:rPr>
                            <w:rFonts w:ascii="Times New Roman" w:hAnsi="Times New Roman"/>
                            <w:sz w:val="24"/>
                            <w:szCs w:val="24"/>
                            <w:shd w:fill="FFFFFF" w:val="clear"/>
                          </w:rPr>
                        </w:pPr>
                        <w:r>
                          <w:rPr>
                            <w:sz w:val="24"/>
                            <w:szCs w:val="24"/>
                            <w:shd w:fill="FFFFFF" w:val="clear"/>
                          </w:rPr>
                        </w:r>
                      </w:p>
                    </w:tc>
                    <w:tc>
                      <w:tcPr>
                        <w:tcW w:w="71" w:type="dxa"/>
                        <w:tcBorders/>
                        <w:shd w:fill="auto" w:val="clear"/>
                        <w:tcMar>
                          <w:top w:w="0" w:type="dxa"/>
                          <w:left w:w="0" w:type="dxa"/>
                          <w:right w:w="0" w:type="dxa"/>
                        </w:tcMar>
                      </w:tcPr>
                      <w:p>
                        <w:pPr>
                          <w:pStyle w:val="Normal"/>
                          <w:widowControl w:val="false"/>
                          <w:rPr>
                            <w:rFonts w:ascii="Times New Roman" w:hAnsi="Times New Roman"/>
                            <w:sz w:val="24"/>
                            <w:szCs w:val="24"/>
                            <w:shd w:fill="FFFFFF" w:val="clear"/>
                          </w:rPr>
                        </w:pPr>
                        <w:r>
                          <w:rPr>
                            <w:sz w:val="24"/>
                            <w:szCs w:val="24"/>
                            <w:shd w:fill="FFFFFF" w:val="clear"/>
                          </w:rPr>
                        </w:r>
                      </w:p>
                    </w:tc>
                  </w:tr>
                  <w:tr>
                    <w:trPr>
                      <w:trHeight w:val="255" w:hRule="atLeast"/>
                    </w:trPr>
                    <w:tc>
                      <w:tcPr>
                        <w:tcW w:w="1356" w:type="dxa"/>
                        <w:tcBorders/>
                        <w:shd w:fill="auto" w:val="clear"/>
                        <w:vAlign w:val="bottom"/>
                      </w:tcPr>
                      <w:p>
                        <w:pPr>
                          <w:pStyle w:val="Normal"/>
                          <w:widowControl w:val="false"/>
                          <w:snapToGrid w:val="false"/>
                          <w:spacing w:lineRule="auto" w:line="240"/>
                          <w:ind w:hanging="0"/>
                          <w:jc w:val="left"/>
                          <w:rPr>
                            <w:rFonts w:ascii="Times New Roman" w:hAnsi="Times New Roman"/>
                            <w:sz w:val="24"/>
                            <w:szCs w:val="24"/>
                            <w:shd w:fill="FFFFFF" w:val="clear"/>
                          </w:rPr>
                        </w:pPr>
                        <w:r>
                          <w:rPr>
                            <w:sz w:val="24"/>
                            <w:szCs w:val="24"/>
                            <w:shd w:fill="FFFFFF" w:val="clear"/>
                          </w:rPr>
                        </w:r>
                      </w:p>
                    </w:tc>
                    <w:tc>
                      <w:tcPr>
                        <w:tcW w:w="8234" w:type="dxa"/>
                        <w:gridSpan w:val="2"/>
                        <w:tcBorders>
                          <w:top w:val="single" w:sz="4" w:space="0" w:color="000001"/>
                        </w:tcBorders>
                        <w:shd w:fill="auto" w:val="clear"/>
                      </w:tcPr>
                      <w:p>
                        <w:pPr>
                          <w:pStyle w:val="Normal"/>
                          <w:widowControl w:val="false"/>
                          <w:snapToGrid w:val="false"/>
                          <w:spacing w:lineRule="auto" w:line="240"/>
                          <w:ind w:hanging="0"/>
                          <w:jc w:val="center"/>
                          <w:rPr>
                            <w:sz w:val="24"/>
                            <w:szCs w:val="24"/>
                            <w:highlight w:val="white"/>
                          </w:rPr>
                        </w:pPr>
                        <w:r>
                          <w:rPr>
                            <w:i/>
                            <w:iCs/>
                            <w:sz w:val="24"/>
                            <w:szCs w:val="24"/>
                            <w:shd w:fill="FFFFFF" w:val="clear"/>
                          </w:rPr>
                          <w:t>(наименование организации, адрес, телефон, факс</w:t>
                        </w:r>
                        <w:r>
                          <w:rPr>
                            <w:sz w:val="24"/>
                            <w:szCs w:val="24"/>
                            <w:shd w:fill="FFFFFF" w:val="clear"/>
                          </w:rPr>
                          <w:t>, ИНН, КПП, ОГРН</w:t>
                        </w:r>
                        <w:r>
                          <w:rPr>
                            <w:i/>
                            <w:iCs/>
                            <w:sz w:val="24"/>
                            <w:szCs w:val="24"/>
                            <w:shd w:fill="FFFFFF" w:val="clear"/>
                          </w:rPr>
                          <w:t>)</w:t>
                        </w:r>
                      </w:p>
                    </w:tc>
                  </w:tr>
                  <w:tr>
                    <w:trPr>
                      <w:trHeight w:val="255" w:hRule="atLeast"/>
                    </w:trPr>
                    <w:tc>
                      <w:tcPr>
                        <w:tcW w:w="1356" w:type="dxa"/>
                        <w:tcBorders/>
                        <w:shd w:fill="auto" w:val="clear"/>
                        <w:vAlign w:val="bottom"/>
                      </w:tcPr>
                      <w:p>
                        <w:pPr>
                          <w:pStyle w:val="Normal"/>
                          <w:widowControl w:val="false"/>
                          <w:snapToGrid w:val="false"/>
                          <w:spacing w:lineRule="auto" w:line="240"/>
                          <w:ind w:hanging="0"/>
                          <w:jc w:val="left"/>
                          <w:rPr>
                            <w:rFonts w:ascii="Times New Roman" w:hAnsi="Times New Roman"/>
                            <w:sz w:val="24"/>
                            <w:szCs w:val="24"/>
                            <w:highlight w:val="white"/>
                          </w:rPr>
                        </w:pPr>
                        <w:r>
                          <w:rPr>
                            <w:sz w:val="24"/>
                            <w:szCs w:val="24"/>
                            <w:shd w:fill="FFFFFF" w:val="clear"/>
                          </w:rPr>
                          <w:t xml:space="preserve">Подрядчик: </w:t>
                        </w:r>
                      </w:p>
                    </w:tc>
                    <w:tc>
                      <w:tcPr>
                        <w:tcW w:w="8234" w:type="dxa"/>
                        <w:gridSpan w:val="2"/>
                        <w:tcBorders>
                          <w:top w:val="single" w:sz="4" w:space="0" w:color="000001"/>
                          <w:bottom w:val="single" w:sz="4" w:space="0" w:color="000001"/>
                          <w:insideH w:val="single" w:sz="4" w:space="0" w:color="000001"/>
                        </w:tcBorders>
                        <w:shd w:fill="auto" w:val="clear"/>
                        <w:vAlign w:val="bottom"/>
                      </w:tcPr>
                      <w:p>
                        <w:pPr>
                          <w:pStyle w:val="Normal"/>
                          <w:widowControl w:val="false"/>
                          <w:snapToGrid w:val="false"/>
                          <w:spacing w:lineRule="auto" w:line="240"/>
                          <w:ind w:hanging="0"/>
                          <w:jc w:val="left"/>
                          <w:rPr>
                            <w:rFonts w:ascii="Times New Roman" w:hAnsi="Times New Roman"/>
                            <w:sz w:val="24"/>
                            <w:szCs w:val="24"/>
                            <w:shd w:fill="FFFFFF" w:val="clear"/>
                          </w:rPr>
                        </w:pPr>
                        <w:r>
                          <w:rPr>
                            <w:sz w:val="24"/>
                            <w:szCs w:val="24"/>
                            <w:shd w:fill="FFFFFF" w:val="clear"/>
                          </w:rPr>
                        </w:r>
                      </w:p>
                    </w:tc>
                  </w:tr>
                  <w:tr>
                    <w:trPr>
                      <w:trHeight w:val="255" w:hRule="atLeast"/>
                    </w:trPr>
                    <w:tc>
                      <w:tcPr>
                        <w:tcW w:w="1356" w:type="dxa"/>
                        <w:tcBorders/>
                        <w:shd w:fill="auto" w:val="clear"/>
                        <w:vAlign w:val="bottom"/>
                      </w:tcPr>
                      <w:p>
                        <w:pPr>
                          <w:pStyle w:val="Normal"/>
                          <w:widowControl w:val="false"/>
                          <w:snapToGrid w:val="false"/>
                          <w:spacing w:lineRule="auto" w:line="240"/>
                          <w:ind w:hanging="0"/>
                          <w:jc w:val="left"/>
                          <w:rPr>
                            <w:rFonts w:ascii="Times New Roman" w:hAnsi="Times New Roman"/>
                            <w:sz w:val="24"/>
                            <w:szCs w:val="24"/>
                            <w:shd w:fill="FFFFFF" w:val="clear"/>
                          </w:rPr>
                        </w:pPr>
                        <w:r>
                          <w:rPr>
                            <w:sz w:val="24"/>
                            <w:szCs w:val="24"/>
                            <w:shd w:fill="FFFFFF" w:val="clear"/>
                          </w:rPr>
                        </w:r>
                      </w:p>
                    </w:tc>
                    <w:tc>
                      <w:tcPr>
                        <w:tcW w:w="8234" w:type="dxa"/>
                        <w:gridSpan w:val="2"/>
                        <w:tcBorders/>
                        <w:shd w:fill="auto" w:val="clear"/>
                      </w:tcPr>
                      <w:p>
                        <w:pPr>
                          <w:pStyle w:val="Normal"/>
                          <w:widowControl w:val="false"/>
                          <w:snapToGrid w:val="false"/>
                          <w:spacing w:lineRule="auto" w:line="240"/>
                          <w:ind w:hanging="0"/>
                          <w:jc w:val="center"/>
                          <w:rPr>
                            <w:sz w:val="24"/>
                            <w:szCs w:val="24"/>
                            <w:highlight w:val="white"/>
                          </w:rPr>
                        </w:pPr>
                        <w:r>
                          <w:rPr>
                            <w:i/>
                            <w:iCs/>
                            <w:sz w:val="24"/>
                            <w:szCs w:val="24"/>
                            <w:shd w:fill="FFFFFF" w:val="clear"/>
                          </w:rPr>
                          <w:t>(наименование организации, адрес, телефон, факс</w:t>
                        </w:r>
                        <w:r>
                          <w:rPr>
                            <w:sz w:val="24"/>
                            <w:szCs w:val="24"/>
                            <w:shd w:fill="FFFFFF" w:val="clear"/>
                          </w:rPr>
                          <w:t>, ИНН, КПП, ОГРН</w:t>
                        </w:r>
                        <w:r>
                          <w:rPr>
                            <w:i/>
                            <w:iCs/>
                            <w:sz w:val="24"/>
                            <w:szCs w:val="24"/>
                            <w:shd w:fill="FFFFFF" w:val="clear"/>
                          </w:rPr>
                          <w:t>)</w:t>
                        </w:r>
                      </w:p>
                    </w:tc>
                  </w:tr>
                </w:tbl>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ind w:hanging="0"/>
                    <w:rPr>
                      <w:rFonts w:ascii="Times New Roman" w:hAnsi="Times New Roman"/>
                      <w:sz w:val="24"/>
                      <w:szCs w:val="24"/>
                      <w:highlight w:val="white"/>
                    </w:rPr>
                  </w:pPr>
                  <w:r>
                    <w:rPr>
                      <w:sz w:val="24"/>
                      <w:szCs w:val="24"/>
                      <w:shd w:fill="FFFFFF" w:val="clear"/>
                    </w:rPr>
                    <w:t>составили настоящий акт о нижеследующем:</w:t>
                  </w:r>
                </w:p>
                <w:p>
                  <w:pPr>
                    <w:pStyle w:val="Normal"/>
                    <w:widowControl w:val="false"/>
                    <w:spacing w:lineRule="auto" w:line="240"/>
                    <w:ind w:hanging="0"/>
                    <w:rPr>
                      <w:rFonts w:ascii="Times New Roman" w:hAnsi="Times New Roman"/>
                      <w:sz w:val="24"/>
                      <w:szCs w:val="24"/>
                      <w:shd w:fill="FFFFFF" w:val="clear"/>
                    </w:rPr>
                  </w:pPr>
                  <w:r>
                    <w:rPr>
                      <w:sz w:val="24"/>
                      <w:szCs w:val="24"/>
                      <w:shd w:fill="FFFFFF" w:val="clear"/>
                    </w:rPr>
                  </w:r>
                </w:p>
                <w:p>
                  <w:pPr>
                    <w:pStyle w:val="Normal"/>
                    <w:widowControl w:val="false"/>
                    <w:spacing w:lineRule="auto" w:line="240"/>
                    <w:rPr>
                      <w:rFonts w:ascii="Times New Roman" w:hAnsi="Times New Roman"/>
                      <w:sz w:val="24"/>
                      <w:szCs w:val="24"/>
                      <w:shd w:fill="FFFFFF" w:val="clear"/>
                    </w:rPr>
                  </w:pPr>
                  <w:r>
                    <w:rPr>
                      <w:sz w:val="24"/>
                      <w:szCs w:val="24"/>
                      <w:shd w:fill="FFFFFF" w:val="clear"/>
                    </w:rPr>
                  </w:r>
                </w:p>
              </w:tc>
            </w:tr>
            <w:tr>
              <w:trPr>
                <w:trHeight w:val="255" w:hRule="atLeast"/>
              </w:trPr>
              <w:tc>
                <w:tcPr>
                  <w:tcW w:w="9733" w:type="dxa"/>
                  <w:gridSpan w:val="12"/>
                  <w:tcBorders/>
                  <w:shd w:fill="auto" w:val="clear"/>
                  <w:vAlign w:val="bottom"/>
                </w:tcPr>
                <w:p>
                  <w:pPr>
                    <w:pStyle w:val="Normal"/>
                    <w:widowControl w:val="false"/>
                    <w:snapToGrid w:val="false"/>
                    <w:spacing w:lineRule="auto" w:line="240"/>
                    <w:rPr>
                      <w:rFonts w:ascii="Times New Roman" w:hAnsi="Times New Roman"/>
                      <w:sz w:val="24"/>
                      <w:szCs w:val="24"/>
                      <w:highlight w:val="white"/>
                    </w:rPr>
                  </w:pPr>
                  <w:r>
                    <w:rPr>
                      <w:sz w:val="24"/>
                      <w:szCs w:val="24"/>
                      <w:shd w:fill="FFFFFF" w:val="clear"/>
                    </w:rPr>
                    <w:t>Сметная (договорная) стоимость по договору № _____  от  _________ 200__ г.  -  ___________ руб.</w:t>
                  </w:r>
                </w:p>
                <w:p>
                  <w:pPr>
                    <w:pStyle w:val="Normal"/>
                    <w:widowControl w:val="false"/>
                    <w:snapToGrid w:val="false"/>
                    <w:spacing w:lineRule="auto" w:line="240"/>
                    <w:rPr>
                      <w:rFonts w:ascii="Times New Roman" w:hAnsi="Times New Roman"/>
                      <w:sz w:val="24"/>
                      <w:szCs w:val="24"/>
                      <w:highlight w:val="white"/>
                    </w:rPr>
                  </w:pPr>
                  <w:r>
                    <w:rPr>
                      <w:i/>
                      <w:iCs/>
                      <w:sz w:val="24"/>
                      <w:szCs w:val="24"/>
                      <w:shd w:fill="FFFFFF" w:val="clear"/>
                    </w:rPr>
                    <w:t xml:space="preserve"> </w:t>
                  </w:r>
                </w:p>
              </w:tc>
            </w:tr>
            <w:tr>
              <w:trPr>
                <w:trHeight w:val="255" w:hRule="atLeast"/>
              </w:trPr>
              <w:tc>
                <w:tcPr>
                  <w:tcW w:w="5290" w:type="dxa"/>
                  <w:gridSpan w:val="6"/>
                  <w:tcBorders/>
                  <w:shd w:fill="auto" w:val="clear"/>
                  <w:vAlign w:val="bottom"/>
                </w:tcPr>
                <w:p>
                  <w:pPr>
                    <w:pStyle w:val="Normal"/>
                    <w:widowControl w:val="false"/>
                    <w:spacing w:lineRule="auto" w:line="240"/>
                    <w:rPr>
                      <w:rFonts w:ascii="Times New Roman" w:hAnsi="Times New Roman"/>
                      <w:sz w:val="24"/>
                      <w:szCs w:val="24"/>
                      <w:shd w:fill="FFFFFF" w:val="clear"/>
                    </w:rPr>
                  </w:pPr>
                  <w:r>
                    <w:rPr>
                      <w:sz w:val="24"/>
                      <w:szCs w:val="24"/>
                      <w:shd w:fill="FFFFFF" w:val="clear"/>
                    </w:rPr>
                  </w:r>
                </w:p>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4443" w:type="dxa"/>
                  <w:gridSpan w:val="6"/>
                  <w:tcBorders/>
                  <w:shd w:fill="auto" w:val="clear"/>
                  <w:tcMar>
                    <w:top w:w="0" w:type="dxa"/>
                    <w:left w:w="0" w:type="dxa"/>
                    <w:right w:w="0" w:type="dxa"/>
                  </w:tcMar>
                </w:tcPr>
                <w:p>
                  <w:pPr>
                    <w:pStyle w:val="Normal"/>
                    <w:widowControl w:val="false"/>
                    <w:snapToGrid w:val="false"/>
                    <w:spacing w:lineRule="auto" w:line="240"/>
                    <w:ind w:right="180" w:firstLine="567"/>
                    <w:jc w:val="right"/>
                    <w:rPr>
                      <w:rFonts w:ascii="Times New Roman" w:hAnsi="Times New Roman"/>
                      <w:sz w:val="24"/>
                      <w:szCs w:val="24"/>
                      <w:highlight w:val="white"/>
                    </w:rPr>
                  </w:pPr>
                  <w:r>
                    <w:rPr>
                      <w:sz w:val="24"/>
                      <w:szCs w:val="24"/>
                      <w:shd w:fill="FFFFFF" w:val="clear"/>
                    </w:rPr>
                    <w:t>               </w:t>
                  </w:r>
                  <w:r>
                    <w:rPr>
                      <w:sz w:val="24"/>
                      <w:szCs w:val="24"/>
                      <w:shd w:fill="FFFFFF" w:val="clear"/>
                    </w:rPr>
                    <w:t xml:space="preserve">Этап № ______ </w:t>
                  </w:r>
                </w:p>
              </w:tc>
            </w:tr>
            <w:tr>
              <w:trPr>
                <w:cantSplit w:val="true"/>
              </w:trPr>
              <w:tc>
                <w:tcPr>
                  <w:tcW w:w="1216" w:type="dxa"/>
                  <w:tcBorders/>
                  <w:shd w:fill="auto" w:val="clear"/>
                  <w:tcMar>
                    <w:top w:w="0" w:type="dxa"/>
                    <w:left w:w="0" w:type="dxa"/>
                    <w:right w:w="0" w:type="dxa"/>
                  </w:tcMar>
                </w:tcPr>
                <w:p>
                  <w:pPr>
                    <w:pStyle w:val="Normal"/>
                    <w:widowControl w:val="false"/>
                    <w:snapToGrid w:val="false"/>
                    <w:spacing w:lineRule="auto" w:line="240"/>
                    <w:ind w:hanging="0"/>
                    <w:jc w:val="center"/>
                    <w:rPr>
                      <w:rFonts w:ascii="Times New Roman" w:hAnsi="Times New Roman"/>
                      <w:b/>
                      <w:b/>
                      <w:bCs/>
                      <w:sz w:val="24"/>
                      <w:szCs w:val="24"/>
                      <w:shd w:fill="FFFFFF" w:val="clear"/>
                    </w:rPr>
                  </w:pPr>
                  <w:r>
                    <w:rPr>
                      <w:b/>
                      <w:bCs/>
                      <w:sz w:val="24"/>
                      <w:szCs w:val="24"/>
                      <w:shd w:fill="FFFFFF" w:val="clear"/>
                    </w:rPr>
                  </w:r>
                </w:p>
              </w:tc>
              <w:tc>
                <w:tcPr>
                  <w:tcW w:w="1217"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28" w:type="dxa"/>
                    <w:right w:w="108" w:type="dxa"/>
                  </w:tcMar>
                  <w:vAlign w:val="center"/>
                </w:tcPr>
                <w:p>
                  <w:pPr>
                    <w:pStyle w:val="Normal"/>
                    <w:widowControl w:val="false"/>
                    <w:snapToGrid w:val="false"/>
                    <w:spacing w:lineRule="auto" w:line="240"/>
                    <w:ind w:hanging="0"/>
                    <w:jc w:val="center"/>
                    <w:rPr>
                      <w:rFonts w:ascii="Times New Roman" w:hAnsi="Times New Roman"/>
                      <w:sz w:val="24"/>
                      <w:szCs w:val="24"/>
                      <w:highlight w:val="white"/>
                    </w:rPr>
                  </w:pPr>
                  <w:r>
                    <w:rPr>
                      <w:b/>
                      <w:bCs/>
                      <w:sz w:val="24"/>
                      <w:szCs w:val="24"/>
                      <w:shd w:fill="FFFFFF" w:val="clear"/>
                    </w:rPr>
                    <w:t xml:space="preserve">№ </w:t>
                  </w:r>
                  <w:r>
                    <w:rPr>
                      <w:b/>
                      <w:bCs/>
                      <w:sz w:val="24"/>
                      <w:szCs w:val="24"/>
                      <w:shd w:fill="FFFFFF" w:val="clear"/>
                    </w:rPr>
                    <w:t>п/п</w:t>
                  </w:r>
                </w:p>
              </w:tc>
              <w:tc>
                <w:tcPr>
                  <w:tcW w:w="1218" w:type="dxa"/>
                  <w:vMerge w:val="restart"/>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vAlign w:val="center"/>
                </w:tcPr>
                <w:p>
                  <w:pPr>
                    <w:pStyle w:val="Normal"/>
                    <w:widowControl w:val="false"/>
                    <w:snapToGrid w:val="false"/>
                    <w:spacing w:lineRule="auto" w:line="240"/>
                    <w:ind w:hanging="0"/>
                    <w:jc w:val="center"/>
                    <w:rPr>
                      <w:rFonts w:ascii="Times New Roman" w:hAnsi="Times New Roman"/>
                      <w:sz w:val="24"/>
                      <w:szCs w:val="24"/>
                      <w:highlight w:val="white"/>
                    </w:rPr>
                  </w:pPr>
                  <w:r>
                    <w:rPr>
                      <w:b/>
                      <w:bCs/>
                      <w:sz w:val="24"/>
                      <w:szCs w:val="24"/>
                      <w:shd w:fill="FFFFFF" w:val="clear"/>
                    </w:rPr>
                    <w:t>Наименование работ</w:t>
                  </w:r>
                </w:p>
              </w:tc>
              <w:tc>
                <w:tcPr>
                  <w:tcW w:w="6082" w:type="dxa"/>
                  <w:gridSpan w:val="9"/>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tcPr>
                <w:p>
                  <w:pPr>
                    <w:pStyle w:val="Normal"/>
                    <w:widowControl w:val="false"/>
                    <w:snapToGrid w:val="false"/>
                    <w:spacing w:lineRule="auto" w:line="240"/>
                    <w:ind w:hanging="0"/>
                    <w:jc w:val="center"/>
                    <w:rPr>
                      <w:rFonts w:ascii="Times New Roman" w:hAnsi="Times New Roman"/>
                      <w:sz w:val="24"/>
                      <w:szCs w:val="24"/>
                      <w:highlight w:val="white"/>
                    </w:rPr>
                  </w:pPr>
                  <w:r>
                    <w:rPr>
                      <w:b/>
                      <w:bCs/>
                      <w:sz w:val="24"/>
                      <w:szCs w:val="24"/>
                      <w:shd w:fill="FFFFFF" w:val="clear"/>
                    </w:rPr>
                    <w:t>Выполнено работ</w:t>
                  </w:r>
                </w:p>
              </w:tc>
            </w:tr>
            <w:tr>
              <w:trPr>
                <w:trHeight w:val="693" w:hRule="atLeast"/>
                <w:cantSplit w:val="true"/>
              </w:trPr>
              <w:tc>
                <w:tcPr>
                  <w:tcW w:w="1216" w:type="dxa"/>
                  <w:tcBorders/>
                  <w:shd w:fill="auto" w:val="clear"/>
                  <w:tcMar>
                    <w:top w:w="0" w:type="dxa"/>
                    <w:left w:w="0" w:type="dxa"/>
                    <w:right w:w="0" w:type="dxa"/>
                  </w:tcMar>
                </w:tcPr>
                <w:p>
                  <w:pPr>
                    <w:pStyle w:val="Normal"/>
                    <w:widowControl w:val="false"/>
                    <w:spacing w:lineRule="auto" w:line="240"/>
                    <w:ind w:hanging="0"/>
                    <w:rPr>
                      <w:rFonts w:ascii="Times New Roman" w:hAnsi="Times New Roman"/>
                      <w:b/>
                      <w:b/>
                      <w:bCs/>
                      <w:sz w:val="24"/>
                      <w:szCs w:val="24"/>
                      <w:shd w:fill="FFFFFF" w:val="clear"/>
                    </w:rPr>
                  </w:pPr>
                  <w:r>
                    <w:rPr>
                      <w:b/>
                      <w:bCs/>
                      <w:sz w:val="24"/>
                      <w:szCs w:val="24"/>
                      <w:shd w:fill="FFFFFF" w:val="clear"/>
                    </w:rPr>
                  </w:r>
                </w:p>
              </w:tc>
              <w:tc>
                <w:tcPr>
                  <w:tcW w:w="1217"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10" w:type="dxa"/>
                    <w:right w:w="0" w:type="dxa"/>
                  </w:tcMar>
                  <w:vAlign w:val="center"/>
                </w:tcPr>
                <w:p>
                  <w:pPr>
                    <w:pStyle w:val="Normal"/>
                    <w:widowControl w:val="false"/>
                    <w:spacing w:lineRule="auto" w:line="240"/>
                    <w:ind w:hanging="0"/>
                    <w:rPr>
                      <w:rFonts w:ascii="Times New Roman" w:hAnsi="Times New Roman"/>
                      <w:b/>
                      <w:b/>
                      <w:bCs/>
                      <w:sz w:val="24"/>
                      <w:szCs w:val="24"/>
                      <w:shd w:fill="FFFFFF" w:val="clear"/>
                    </w:rPr>
                  </w:pPr>
                  <w:r>
                    <w:rPr>
                      <w:b/>
                      <w:bCs/>
                      <w:sz w:val="24"/>
                      <w:szCs w:val="24"/>
                      <w:shd w:fill="FFFFFF" w:val="clear"/>
                    </w:rPr>
                  </w:r>
                </w:p>
              </w:tc>
              <w:tc>
                <w:tcPr>
                  <w:tcW w:w="1218" w:type="dxa"/>
                  <w:vMerge w:val="continue"/>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10" w:type="dxa"/>
                    <w:right w:w="0" w:type="dxa"/>
                  </w:tcMar>
                  <w:vAlign w:val="center"/>
                </w:tcPr>
                <w:p>
                  <w:pPr>
                    <w:pStyle w:val="Normal"/>
                    <w:widowControl w:val="false"/>
                    <w:spacing w:lineRule="auto" w:line="240"/>
                    <w:ind w:hanging="0"/>
                    <w:rPr>
                      <w:rFonts w:ascii="Times New Roman" w:hAnsi="Times New Roman"/>
                      <w:b/>
                      <w:b/>
                      <w:bCs/>
                      <w:sz w:val="24"/>
                      <w:szCs w:val="24"/>
                      <w:shd w:fill="FFFFFF" w:val="clear"/>
                    </w:rPr>
                  </w:pPr>
                  <w:r>
                    <w:rPr>
                      <w:b/>
                      <w:bCs/>
                      <w:sz w:val="24"/>
                      <w:szCs w:val="24"/>
                      <w:shd w:fill="FFFFFF" w:val="clear"/>
                    </w:rPr>
                  </w:r>
                </w:p>
              </w:tc>
              <w:tc>
                <w:tcPr>
                  <w:tcW w:w="1226"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vAlign w:val="center"/>
                </w:tcPr>
                <w:p>
                  <w:pPr>
                    <w:pStyle w:val="Normal"/>
                    <w:widowControl w:val="false"/>
                    <w:spacing w:lineRule="auto" w:line="240"/>
                    <w:ind w:hanging="0"/>
                    <w:jc w:val="center"/>
                    <w:rPr>
                      <w:rFonts w:ascii="Times New Roman" w:hAnsi="Times New Roman"/>
                      <w:sz w:val="24"/>
                      <w:szCs w:val="24"/>
                      <w:highlight w:val="white"/>
                    </w:rPr>
                  </w:pPr>
                  <w:r>
                    <w:rPr>
                      <w:b/>
                      <w:bCs/>
                      <w:sz w:val="24"/>
                      <w:szCs w:val="24"/>
                      <w:shd w:fill="FFFFFF" w:val="clear"/>
                    </w:rPr>
                    <w:t xml:space="preserve">ед. </w:t>
                  </w:r>
                </w:p>
                <w:p>
                  <w:pPr>
                    <w:pStyle w:val="Normal"/>
                    <w:widowControl w:val="false"/>
                    <w:snapToGrid w:val="false"/>
                    <w:spacing w:lineRule="auto" w:line="240"/>
                    <w:ind w:hanging="0"/>
                    <w:jc w:val="center"/>
                    <w:rPr>
                      <w:rFonts w:ascii="Times New Roman" w:hAnsi="Times New Roman"/>
                      <w:sz w:val="24"/>
                      <w:szCs w:val="24"/>
                      <w:highlight w:val="white"/>
                    </w:rPr>
                  </w:pPr>
                  <w:r>
                    <w:rPr>
                      <w:b/>
                      <w:bCs/>
                      <w:sz w:val="24"/>
                      <w:szCs w:val="24"/>
                      <w:shd w:fill="FFFFFF" w:val="clear"/>
                    </w:rPr>
                    <w:t>изм.</w:t>
                  </w:r>
                </w:p>
              </w:tc>
              <w:tc>
                <w:tcPr>
                  <w:tcW w:w="1221"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vAlign w:val="center"/>
                </w:tcPr>
                <w:p>
                  <w:pPr>
                    <w:pStyle w:val="Normal"/>
                    <w:widowControl w:val="false"/>
                    <w:snapToGrid w:val="false"/>
                    <w:spacing w:lineRule="auto" w:line="240"/>
                    <w:ind w:hanging="0"/>
                    <w:jc w:val="center"/>
                    <w:rPr>
                      <w:rFonts w:ascii="Times New Roman" w:hAnsi="Times New Roman"/>
                      <w:sz w:val="24"/>
                      <w:szCs w:val="24"/>
                      <w:highlight w:val="white"/>
                    </w:rPr>
                  </w:pPr>
                  <w:r>
                    <w:rPr>
                      <w:b/>
                      <w:bCs/>
                      <w:sz w:val="24"/>
                      <w:szCs w:val="24"/>
                      <w:shd w:fill="FFFFFF" w:val="clear"/>
                    </w:rPr>
                    <w:t>коли-чество</w:t>
                  </w:r>
                </w:p>
              </w:tc>
              <w:tc>
                <w:tcPr>
                  <w:tcW w:w="1220"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vAlign w:val="center"/>
                </w:tcPr>
                <w:p>
                  <w:pPr>
                    <w:pStyle w:val="Normal"/>
                    <w:widowControl w:val="false"/>
                    <w:spacing w:lineRule="auto" w:line="240"/>
                    <w:ind w:hanging="0"/>
                    <w:jc w:val="center"/>
                    <w:rPr>
                      <w:rFonts w:ascii="Times New Roman" w:hAnsi="Times New Roman"/>
                      <w:sz w:val="24"/>
                      <w:szCs w:val="24"/>
                      <w:highlight w:val="white"/>
                    </w:rPr>
                  </w:pPr>
                  <w:r>
                    <w:rPr>
                      <w:b/>
                      <w:bCs/>
                      <w:sz w:val="24"/>
                      <w:szCs w:val="24"/>
                      <w:shd w:fill="FFFFFF" w:val="clear"/>
                    </w:rPr>
                    <w:t xml:space="preserve">цена за </w:t>
                  </w:r>
                </w:p>
                <w:p>
                  <w:pPr>
                    <w:pStyle w:val="Normal"/>
                    <w:widowControl w:val="false"/>
                    <w:snapToGrid w:val="false"/>
                    <w:spacing w:lineRule="auto" w:line="240"/>
                    <w:ind w:hanging="0"/>
                    <w:jc w:val="center"/>
                    <w:rPr>
                      <w:rFonts w:ascii="Times New Roman" w:hAnsi="Times New Roman"/>
                      <w:sz w:val="24"/>
                      <w:szCs w:val="24"/>
                      <w:highlight w:val="white"/>
                    </w:rPr>
                  </w:pPr>
                  <w:r>
                    <w:rPr>
                      <w:b/>
                      <w:bCs/>
                      <w:sz w:val="24"/>
                      <w:szCs w:val="24"/>
                      <w:shd w:fill="FFFFFF" w:val="clear"/>
                    </w:rPr>
                    <w:t>1 ед., руб.</w:t>
                  </w:r>
                </w:p>
              </w:tc>
              <w:tc>
                <w:tcPr>
                  <w:tcW w:w="1219"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vAlign w:val="center"/>
                </w:tcPr>
                <w:p>
                  <w:pPr>
                    <w:pStyle w:val="Normal"/>
                    <w:widowControl w:val="false"/>
                    <w:spacing w:lineRule="auto" w:line="240"/>
                    <w:ind w:hanging="0"/>
                    <w:jc w:val="center"/>
                    <w:rPr>
                      <w:rFonts w:ascii="Times New Roman" w:hAnsi="Times New Roman"/>
                      <w:sz w:val="24"/>
                      <w:szCs w:val="24"/>
                      <w:highlight w:val="white"/>
                    </w:rPr>
                  </w:pPr>
                  <w:r>
                    <w:rPr>
                      <w:b/>
                      <w:bCs/>
                      <w:sz w:val="24"/>
                      <w:szCs w:val="24"/>
                      <w:shd w:fill="FFFFFF" w:val="clear"/>
                    </w:rPr>
                    <w:t xml:space="preserve">стоимость, </w:t>
                  </w:r>
                </w:p>
                <w:p>
                  <w:pPr>
                    <w:pStyle w:val="Normal"/>
                    <w:widowControl w:val="false"/>
                    <w:snapToGrid w:val="false"/>
                    <w:spacing w:lineRule="auto" w:line="240"/>
                    <w:ind w:hanging="0"/>
                    <w:jc w:val="center"/>
                    <w:rPr>
                      <w:rFonts w:ascii="Times New Roman" w:hAnsi="Times New Roman"/>
                      <w:sz w:val="24"/>
                      <w:szCs w:val="24"/>
                      <w:highlight w:val="white"/>
                    </w:rPr>
                  </w:pPr>
                  <w:r>
                    <w:rPr>
                      <w:b/>
                      <w:bCs/>
                      <w:sz w:val="24"/>
                      <w:szCs w:val="24"/>
                      <w:shd w:fill="FFFFFF" w:val="clear"/>
                    </w:rPr>
                    <w:t>руб.</w:t>
                  </w:r>
                </w:p>
              </w:tc>
              <w:tc>
                <w:tcPr>
                  <w:tcW w:w="1196"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vAlign w:val="center"/>
                </w:tcPr>
                <w:p>
                  <w:pPr>
                    <w:pStyle w:val="Normal"/>
                    <w:widowControl w:val="false"/>
                    <w:snapToGrid w:val="false"/>
                    <w:spacing w:lineRule="auto" w:line="240"/>
                    <w:ind w:hanging="0"/>
                    <w:jc w:val="center"/>
                    <w:rPr>
                      <w:rFonts w:ascii="Times New Roman" w:hAnsi="Times New Roman"/>
                      <w:sz w:val="24"/>
                      <w:szCs w:val="24"/>
                      <w:highlight w:val="white"/>
                    </w:rPr>
                  </w:pPr>
                  <w:r>
                    <w:rPr>
                      <w:b/>
                      <w:bCs/>
                      <w:sz w:val="24"/>
                      <w:szCs w:val="24"/>
                      <w:shd w:fill="FFFFFF" w:val="clear"/>
                    </w:rPr>
                    <w:t>в т.ч. НДС, руб.</w:t>
                  </w:r>
                </w:p>
              </w:tc>
            </w:tr>
            <w:tr>
              <w:trPr/>
              <w:tc>
                <w:tcPr>
                  <w:tcW w:w="1216" w:type="dxa"/>
                  <w:tcBorders/>
                  <w:shd w:fill="auto" w:val="clear"/>
                  <w:tcMar>
                    <w:top w:w="0" w:type="dxa"/>
                    <w:left w:w="0" w:type="dxa"/>
                    <w:right w:w="0" w:type="dxa"/>
                  </w:tcMar>
                </w:tcPr>
                <w:p>
                  <w:pPr>
                    <w:pStyle w:val="Normal"/>
                    <w:widowControl w:val="false"/>
                    <w:snapToGrid w:val="false"/>
                    <w:spacing w:lineRule="auto" w:line="240"/>
                    <w:ind w:hanging="0"/>
                    <w:jc w:val="center"/>
                    <w:rPr>
                      <w:rFonts w:ascii="Times New Roman" w:hAnsi="Times New Roman"/>
                      <w:b/>
                      <w:b/>
                      <w:bCs/>
                      <w:sz w:val="24"/>
                      <w:szCs w:val="24"/>
                      <w:shd w:fill="FFFFFF" w:val="clear"/>
                    </w:rPr>
                  </w:pPr>
                  <w:r>
                    <w:rPr>
                      <w:b/>
                      <w:bCs/>
                      <w:sz w:val="24"/>
                      <w:szCs w:val="24"/>
                      <w:shd w:fill="FFFFFF" w:val="clear"/>
                    </w:rPr>
                  </w:r>
                </w:p>
              </w:tc>
              <w:tc>
                <w:tcPr>
                  <w:tcW w:w="1217"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28" w:type="dxa"/>
                    <w:right w:w="108" w:type="dxa"/>
                  </w:tcMar>
                </w:tcPr>
                <w:p>
                  <w:pPr>
                    <w:pStyle w:val="Normal"/>
                    <w:widowControl w:val="false"/>
                    <w:snapToGrid w:val="false"/>
                    <w:spacing w:lineRule="auto" w:line="240"/>
                    <w:ind w:hanging="0"/>
                    <w:jc w:val="center"/>
                    <w:rPr>
                      <w:rFonts w:ascii="Times New Roman" w:hAnsi="Times New Roman"/>
                      <w:sz w:val="24"/>
                      <w:szCs w:val="24"/>
                      <w:highlight w:val="white"/>
                    </w:rPr>
                  </w:pPr>
                  <w:r>
                    <w:rPr>
                      <w:b/>
                      <w:bCs/>
                      <w:sz w:val="24"/>
                      <w:szCs w:val="24"/>
                      <w:shd w:fill="FFFFFF" w:val="clear"/>
                    </w:rPr>
                    <w:t>1</w:t>
                  </w:r>
                </w:p>
              </w:tc>
              <w:tc>
                <w:tcPr>
                  <w:tcW w:w="1218"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tcPr>
                <w:p>
                  <w:pPr>
                    <w:pStyle w:val="Normal"/>
                    <w:widowControl w:val="false"/>
                    <w:snapToGrid w:val="false"/>
                    <w:spacing w:lineRule="auto" w:line="240"/>
                    <w:ind w:hanging="0"/>
                    <w:jc w:val="center"/>
                    <w:rPr>
                      <w:rFonts w:ascii="Times New Roman" w:hAnsi="Times New Roman"/>
                      <w:sz w:val="24"/>
                      <w:szCs w:val="24"/>
                      <w:highlight w:val="white"/>
                    </w:rPr>
                  </w:pPr>
                  <w:r>
                    <w:rPr>
                      <w:b/>
                      <w:bCs/>
                      <w:sz w:val="24"/>
                      <w:szCs w:val="24"/>
                      <w:shd w:fill="FFFFFF" w:val="clear"/>
                    </w:rPr>
                    <w:t>2</w:t>
                  </w:r>
                </w:p>
              </w:tc>
              <w:tc>
                <w:tcPr>
                  <w:tcW w:w="1226"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tcPr>
                <w:p>
                  <w:pPr>
                    <w:pStyle w:val="Normal"/>
                    <w:widowControl w:val="false"/>
                    <w:snapToGrid w:val="false"/>
                    <w:spacing w:lineRule="auto" w:line="240"/>
                    <w:ind w:hanging="0"/>
                    <w:jc w:val="center"/>
                    <w:rPr>
                      <w:rFonts w:ascii="Times New Roman" w:hAnsi="Times New Roman"/>
                      <w:sz w:val="24"/>
                      <w:szCs w:val="24"/>
                      <w:highlight w:val="white"/>
                    </w:rPr>
                  </w:pPr>
                  <w:r>
                    <w:rPr>
                      <w:b/>
                      <w:bCs/>
                      <w:sz w:val="24"/>
                      <w:szCs w:val="24"/>
                      <w:shd w:fill="FFFFFF" w:val="clear"/>
                    </w:rPr>
                    <w:t>3</w:t>
                  </w:r>
                </w:p>
              </w:tc>
              <w:tc>
                <w:tcPr>
                  <w:tcW w:w="1221"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tcPr>
                <w:p>
                  <w:pPr>
                    <w:pStyle w:val="Normal"/>
                    <w:widowControl w:val="false"/>
                    <w:snapToGrid w:val="false"/>
                    <w:spacing w:lineRule="auto" w:line="240"/>
                    <w:ind w:hanging="0"/>
                    <w:jc w:val="center"/>
                    <w:rPr>
                      <w:rFonts w:ascii="Times New Roman" w:hAnsi="Times New Roman"/>
                      <w:sz w:val="24"/>
                      <w:szCs w:val="24"/>
                      <w:highlight w:val="white"/>
                    </w:rPr>
                  </w:pPr>
                  <w:r>
                    <w:rPr>
                      <w:b/>
                      <w:bCs/>
                      <w:sz w:val="24"/>
                      <w:szCs w:val="24"/>
                      <w:shd w:fill="FFFFFF" w:val="clear"/>
                    </w:rPr>
                    <w:t>4</w:t>
                  </w:r>
                </w:p>
              </w:tc>
              <w:tc>
                <w:tcPr>
                  <w:tcW w:w="1220"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tcPr>
                <w:p>
                  <w:pPr>
                    <w:pStyle w:val="Normal"/>
                    <w:widowControl w:val="false"/>
                    <w:snapToGrid w:val="false"/>
                    <w:spacing w:lineRule="auto" w:line="240"/>
                    <w:ind w:hanging="0"/>
                    <w:jc w:val="center"/>
                    <w:rPr>
                      <w:rFonts w:ascii="Times New Roman" w:hAnsi="Times New Roman"/>
                      <w:sz w:val="24"/>
                      <w:szCs w:val="24"/>
                      <w:highlight w:val="white"/>
                    </w:rPr>
                  </w:pPr>
                  <w:r>
                    <w:rPr>
                      <w:b/>
                      <w:bCs/>
                      <w:sz w:val="24"/>
                      <w:szCs w:val="24"/>
                      <w:shd w:fill="FFFFFF" w:val="clear"/>
                    </w:rPr>
                    <w:t>5</w:t>
                  </w:r>
                </w:p>
              </w:tc>
              <w:tc>
                <w:tcPr>
                  <w:tcW w:w="1219"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tcPr>
                <w:p>
                  <w:pPr>
                    <w:pStyle w:val="Normal"/>
                    <w:widowControl w:val="false"/>
                    <w:snapToGrid w:val="false"/>
                    <w:spacing w:lineRule="auto" w:line="240"/>
                    <w:ind w:hanging="0"/>
                    <w:jc w:val="center"/>
                    <w:rPr>
                      <w:rFonts w:ascii="Times New Roman" w:hAnsi="Times New Roman"/>
                      <w:sz w:val="24"/>
                      <w:szCs w:val="24"/>
                      <w:highlight w:val="white"/>
                    </w:rPr>
                  </w:pPr>
                  <w:r>
                    <w:rPr>
                      <w:b/>
                      <w:bCs/>
                      <w:sz w:val="24"/>
                      <w:szCs w:val="24"/>
                      <w:shd w:fill="FFFFFF" w:val="clear"/>
                    </w:rPr>
                    <w:t>6</w:t>
                  </w:r>
                </w:p>
              </w:tc>
              <w:tc>
                <w:tcPr>
                  <w:tcW w:w="1196"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tcPr>
                <w:p>
                  <w:pPr>
                    <w:pStyle w:val="Normal"/>
                    <w:widowControl w:val="false"/>
                    <w:snapToGrid w:val="false"/>
                    <w:spacing w:lineRule="auto" w:line="240"/>
                    <w:ind w:hanging="0"/>
                    <w:jc w:val="center"/>
                    <w:rPr>
                      <w:rFonts w:ascii="Times New Roman" w:hAnsi="Times New Roman"/>
                      <w:sz w:val="24"/>
                      <w:szCs w:val="24"/>
                      <w:highlight w:val="white"/>
                    </w:rPr>
                  </w:pPr>
                  <w:r>
                    <w:rPr>
                      <w:b/>
                      <w:bCs/>
                      <w:sz w:val="24"/>
                      <w:szCs w:val="24"/>
                      <w:shd w:fill="FFFFFF" w:val="clear"/>
                    </w:rPr>
                    <w:t>7</w:t>
                  </w:r>
                </w:p>
              </w:tc>
            </w:tr>
            <w:tr>
              <w:trPr/>
              <w:tc>
                <w:tcPr>
                  <w:tcW w:w="1216" w:type="dxa"/>
                  <w:tcBorders/>
                  <w:shd w:fill="auto" w:val="clear"/>
                  <w:tcMar>
                    <w:top w:w="0" w:type="dxa"/>
                    <w:left w:w="0" w:type="dxa"/>
                    <w:right w:w="0" w:type="dxa"/>
                  </w:tcMar>
                </w:tcPr>
                <w:p>
                  <w:pPr>
                    <w:pStyle w:val="Normal"/>
                    <w:widowControl w:val="false"/>
                    <w:snapToGrid w:val="false"/>
                    <w:spacing w:lineRule="auto" w:line="240"/>
                    <w:jc w:val="center"/>
                    <w:rPr>
                      <w:rFonts w:ascii="Times New Roman" w:hAnsi="Times New Roman"/>
                      <w:sz w:val="24"/>
                      <w:szCs w:val="24"/>
                      <w:shd w:fill="FFFFFF" w:val="clear"/>
                    </w:rPr>
                  </w:pPr>
                  <w:r>
                    <w:rPr>
                      <w:sz w:val="24"/>
                      <w:szCs w:val="24"/>
                      <w:shd w:fill="FFFFFF" w:val="clear"/>
                    </w:rPr>
                  </w:r>
                </w:p>
              </w:tc>
              <w:tc>
                <w:tcPr>
                  <w:tcW w:w="1217"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28" w:type="dxa"/>
                    <w:right w:w="108" w:type="dxa"/>
                  </w:tcMar>
                </w:tcPr>
                <w:p>
                  <w:pPr>
                    <w:pStyle w:val="Normal"/>
                    <w:widowControl w:val="false"/>
                    <w:snapToGrid w:val="false"/>
                    <w:spacing w:lineRule="auto" w:line="240"/>
                    <w:jc w:val="center"/>
                    <w:rPr>
                      <w:rFonts w:ascii="Times New Roman" w:hAnsi="Times New Roman"/>
                      <w:sz w:val="24"/>
                      <w:szCs w:val="24"/>
                      <w:shd w:fill="FFFFFF" w:val="clear"/>
                    </w:rPr>
                  </w:pPr>
                  <w:r>
                    <w:rPr>
                      <w:sz w:val="24"/>
                      <w:szCs w:val="24"/>
                      <w:shd w:fill="FFFFFF" w:val="clear"/>
                    </w:rPr>
                  </w:r>
                </w:p>
              </w:tc>
              <w:tc>
                <w:tcPr>
                  <w:tcW w:w="1218"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1226"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1221"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1220"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1219"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1196"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r>
            <w:tr>
              <w:trPr/>
              <w:tc>
                <w:tcPr>
                  <w:tcW w:w="1216" w:type="dxa"/>
                  <w:tcBorders/>
                  <w:shd w:fill="auto" w:val="clear"/>
                  <w:tcMar>
                    <w:top w:w="0" w:type="dxa"/>
                    <w:left w:w="0" w:type="dxa"/>
                    <w:right w:w="0" w:type="dxa"/>
                  </w:tcMar>
                </w:tcPr>
                <w:p>
                  <w:pPr>
                    <w:pStyle w:val="Normal"/>
                    <w:widowControl w:val="false"/>
                    <w:snapToGrid w:val="false"/>
                    <w:spacing w:lineRule="auto" w:line="240"/>
                    <w:jc w:val="center"/>
                    <w:rPr>
                      <w:rFonts w:ascii="Times New Roman" w:hAnsi="Times New Roman"/>
                      <w:sz w:val="24"/>
                      <w:szCs w:val="24"/>
                      <w:shd w:fill="FFFFFF" w:val="clear"/>
                    </w:rPr>
                  </w:pPr>
                  <w:r>
                    <w:rPr>
                      <w:sz w:val="24"/>
                      <w:szCs w:val="24"/>
                      <w:shd w:fill="FFFFFF" w:val="clear"/>
                    </w:rPr>
                  </w:r>
                </w:p>
              </w:tc>
              <w:tc>
                <w:tcPr>
                  <w:tcW w:w="1217"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28" w:type="dxa"/>
                    <w:right w:w="108" w:type="dxa"/>
                  </w:tcMar>
                </w:tcPr>
                <w:p>
                  <w:pPr>
                    <w:pStyle w:val="Normal"/>
                    <w:widowControl w:val="false"/>
                    <w:snapToGrid w:val="false"/>
                    <w:spacing w:lineRule="auto" w:line="240"/>
                    <w:jc w:val="center"/>
                    <w:rPr>
                      <w:rFonts w:ascii="Times New Roman" w:hAnsi="Times New Roman"/>
                      <w:sz w:val="24"/>
                      <w:szCs w:val="24"/>
                      <w:shd w:fill="FFFFFF" w:val="clear"/>
                    </w:rPr>
                  </w:pPr>
                  <w:r>
                    <w:rPr>
                      <w:sz w:val="24"/>
                      <w:szCs w:val="24"/>
                      <w:shd w:fill="FFFFFF" w:val="clear"/>
                    </w:rPr>
                  </w:r>
                </w:p>
              </w:tc>
              <w:tc>
                <w:tcPr>
                  <w:tcW w:w="1218"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1226"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1221"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1220"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1219"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1196"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r>
            <w:tr>
              <w:trPr/>
              <w:tc>
                <w:tcPr>
                  <w:tcW w:w="1216" w:type="dxa"/>
                  <w:tcBorders/>
                  <w:shd w:fill="auto" w:val="clear"/>
                  <w:tcMar>
                    <w:top w:w="0" w:type="dxa"/>
                    <w:left w:w="0" w:type="dxa"/>
                    <w:right w:w="0" w:type="dxa"/>
                  </w:tcMar>
                </w:tcPr>
                <w:p>
                  <w:pPr>
                    <w:pStyle w:val="Normal"/>
                    <w:widowControl w:val="false"/>
                    <w:snapToGrid w:val="false"/>
                    <w:spacing w:lineRule="auto" w:line="240"/>
                    <w:jc w:val="center"/>
                    <w:rPr>
                      <w:rFonts w:ascii="Times New Roman" w:hAnsi="Times New Roman"/>
                      <w:sz w:val="24"/>
                      <w:szCs w:val="24"/>
                      <w:shd w:fill="FFFFFF" w:val="clear"/>
                    </w:rPr>
                  </w:pPr>
                  <w:r>
                    <w:rPr>
                      <w:sz w:val="24"/>
                      <w:szCs w:val="24"/>
                      <w:shd w:fill="FFFFFF" w:val="clear"/>
                    </w:rPr>
                  </w:r>
                </w:p>
              </w:tc>
              <w:tc>
                <w:tcPr>
                  <w:tcW w:w="1217"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28" w:type="dxa"/>
                    <w:right w:w="108" w:type="dxa"/>
                  </w:tcMar>
                </w:tcPr>
                <w:p>
                  <w:pPr>
                    <w:pStyle w:val="Normal"/>
                    <w:widowControl w:val="false"/>
                    <w:snapToGrid w:val="false"/>
                    <w:spacing w:lineRule="auto" w:line="240"/>
                    <w:jc w:val="center"/>
                    <w:rPr>
                      <w:rFonts w:ascii="Times New Roman" w:hAnsi="Times New Roman"/>
                      <w:sz w:val="24"/>
                      <w:szCs w:val="24"/>
                      <w:shd w:fill="FFFFFF" w:val="clear"/>
                    </w:rPr>
                  </w:pPr>
                  <w:r>
                    <w:rPr>
                      <w:sz w:val="24"/>
                      <w:szCs w:val="24"/>
                      <w:shd w:fill="FFFFFF" w:val="clear"/>
                    </w:rPr>
                  </w:r>
                </w:p>
              </w:tc>
              <w:tc>
                <w:tcPr>
                  <w:tcW w:w="1218"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1226"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1221"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1220"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1219"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1196" w:type="dxa"/>
                  <w:gridSpan w:val="2"/>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r>
            <w:tr>
              <w:trPr/>
              <w:tc>
                <w:tcPr>
                  <w:tcW w:w="1216" w:type="dxa"/>
                  <w:tcBorders/>
                  <w:shd w:fill="auto" w:val="clear"/>
                  <w:tcMar>
                    <w:top w:w="0" w:type="dxa"/>
                    <w:left w:w="0" w:type="dxa"/>
                    <w:right w:w="0"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2592" w:type="dxa"/>
                  <w:gridSpan w:val="3"/>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28" w:type="dxa"/>
                    <w:right w:w="108" w:type="dxa"/>
                  </w:tcMar>
                </w:tcPr>
                <w:p>
                  <w:pPr>
                    <w:pStyle w:val="Normal"/>
                    <w:widowControl w:val="false"/>
                    <w:snapToGrid w:val="false"/>
                    <w:spacing w:lineRule="auto" w:line="240"/>
                    <w:rPr>
                      <w:rFonts w:ascii="Times New Roman" w:hAnsi="Times New Roman"/>
                      <w:sz w:val="24"/>
                      <w:szCs w:val="24"/>
                      <w:highlight w:val="white"/>
                    </w:rPr>
                  </w:pPr>
                  <w:r>
                    <w:rPr>
                      <w:sz w:val="24"/>
                      <w:szCs w:val="24"/>
                      <w:shd w:fill="FFFFFF" w:val="clear"/>
                    </w:rPr>
                    <w:t>Выполнено работ по этапу</w:t>
                  </w:r>
                </w:p>
              </w:tc>
              <w:tc>
                <w:tcPr>
                  <w:tcW w:w="3491" w:type="dxa"/>
                  <w:gridSpan w:val="4"/>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vAlign w:val="center"/>
                </w:tcPr>
                <w:p>
                  <w:pPr>
                    <w:pStyle w:val="Normal"/>
                    <w:widowControl w:val="false"/>
                    <w:snapToGrid w:val="false"/>
                    <w:spacing w:lineRule="auto" w:line="240"/>
                    <w:jc w:val="center"/>
                    <w:rPr>
                      <w:rFonts w:ascii="Times New Roman" w:hAnsi="Times New Roman"/>
                      <w:sz w:val="24"/>
                      <w:szCs w:val="24"/>
                      <w:highlight w:val="white"/>
                    </w:rPr>
                  </w:pPr>
                  <w:r>
                    <w:rPr>
                      <w:b/>
                      <w:bCs/>
                      <w:sz w:val="24"/>
                      <w:szCs w:val="24"/>
                      <w:shd w:fill="FFFFFF" w:val="clear"/>
                    </w:rPr>
                    <w:t>ИТОГО</w:t>
                  </w:r>
                </w:p>
              </w:tc>
              <w:tc>
                <w:tcPr>
                  <w:tcW w:w="1340" w:type="dxa"/>
                  <w:gridSpan w:val="3"/>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109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top w:w="0" w:type="dxa"/>
                    <w:left w:w="38" w:type="dxa"/>
                    <w:right w:w="108" w:type="dxa"/>
                  </w:tcM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r>
          </w:tbl>
          <w:p>
            <w:pPr>
              <w:pStyle w:val="Normal"/>
              <w:widowControl w:val="false"/>
              <w:spacing w:lineRule="auto" w:line="240"/>
              <w:rPr>
                <w:rFonts w:ascii="Times New Roman" w:hAnsi="Times New Roman"/>
                <w:sz w:val="24"/>
                <w:szCs w:val="24"/>
                <w:shd w:fill="FFFFFF" w:val="clear"/>
              </w:rPr>
            </w:pPr>
            <w:r>
              <w:rPr>
                <w:sz w:val="24"/>
                <w:szCs w:val="24"/>
                <w:shd w:fill="FFFFFF" w:val="clear"/>
              </w:rPr>
            </w:r>
          </w:p>
          <w:p>
            <w:pPr>
              <w:pStyle w:val="Normal"/>
              <w:widowControl w:val="false"/>
              <w:spacing w:lineRule="auto" w:line="240"/>
              <w:rPr>
                <w:rFonts w:ascii="Times New Roman" w:hAnsi="Times New Roman"/>
                <w:sz w:val="24"/>
                <w:szCs w:val="24"/>
                <w:highlight w:val="white"/>
              </w:rPr>
            </w:pPr>
            <w:r>
              <w:rPr>
                <w:sz w:val="24"/>
                <w:szCs w:val="24"/>
                <w:shd w:fill="FFFFFF" w:val="clear"/>
              </w:rPr>
              <w:t>Выполненные работы удовлетворяют условиям договора (техническому заданию).</w:t>
            </w:r>
          </w:p>
          <w:p>
            <w:pPr>
              <w:pStyle w:val="Normal"/>
              <w:widowControl w:val="false"/>
              <w:spacing w:lineRule="auto" w:line="240"/>
              <w:rPr>
                <w:rFonts w:ascii="Times New Roman" w:hAnsi="Times New Roman"/>
                <w:sz w:val="24"/>
                <w:szCs w:val="24"/>
                <w:highlight w:val="white"/>
              </w:rPr>
            </w:pPr>
            <w:r>
              <w:rPr>
                <w:sz w:val="24"/>
                <w:szCs w:val="24"/>
                <w:shd w:fill="FFFFFF" w:val="clear"/>
              </w:rPr>
              <w:t>Подрядчиком переданы Заказчику следующие документы (с указанием количества оригиналов/копий, на каком носителе, в каком формате)</w:t>
            </w:r>
          </w:p>
          <w:p>
            <w:pPr>
              <w:pStyle w:val="Normal"/>
              <w:widowControl w:val="false"/>
              <w:spacing w:lineRule="auto" w:line="240"/>
              <w:rPr>
                <w:rFonts w:ascii="Times New Roman" w:hAnsi="Times New Roman"/>
                <w:sz w:val="24"/>
                <w:szCs w:val="24"/>
                <w:highlight w:val="white"/>
              </w:rPr>
            </w:pPr>
            <w:r>
              <w:rPr>
                <w:sz w:val="24"/>
                <w:szCs w:val="24"/>
                <w:shd w:fill="FFFFFF" w:val="clear"/>
              </w:rPr>
              <w:t>____________________________________________________________________</w:t>
            </w:r>
          </w:p>
          <w:tbl>
            <w:tblPr>
              <w:tblW w:w="9720" w:type="dxa"/>
              <w:jc w:val="left"/>
              <w:tblInd w:w="108" w:type="dxa"/>
              <w:tblBorders/>
              <w:tblCellMar>
                <w:top w:w="0" w:type="dxa"/>
                <w:left w:w="108" w:type="dxa"/>
                <w:bottom w:w="0" w:type="dxa"/>
                <w:right w:w="108" w:type="dxa"/>
              </w:tblCellMar>
              <w:tblLook w:val="04a0" w:noVBand="1" w:noHBand="0" w:lastColumn="0" w:firstColumn="1" w:lastRow="0" w:firstRow="1"/>
            </w:tblPr>
            <w:tblGrid>
              <w:gridCol w:w="451"/>
              <w:gridCol w:w="4049"/>
              <w:gridCol w:w="707"/>
              <w:gridCol w:w="347"/>
              <w:gridCol w:w="4166"/>
            </w:tblGrid>
            <w:tr>
              <w:trPr>
                <w:cantSplit w:val="true"/>
              </w:trPr>
              <w:tc>
                <w:tcPr>
                  <w:tcW w:w="4500" w:type="dxa"/>
                  <w:gridSpan w:val="2"/>
                  <w:tcBorders/>
                  <w:shd w:fill="auto" w:val="clear"/>
                </w:tcPr>
                <w:p>
                  <w:pPr>
                    <w:pStyle w:val="Normal"/>
                    <w:widowControl w:val="false"/>
                    <w:spacing w:lineRule="auto" w:line="240"/>
                    <w:rPr>
                      <w:rFonts w:ascii="Times New Roman" w:hAnsi="Times New Roman"/>
                      <w:sz w:val="24"/>
                      <w:szCs w:val="24"/>
                      <w:highlight w:val="white"/>
                    </w:rPr>
                  </w:pPr>
                  <w:r>
                    <w:rPr>
                      <w:b/>
                      <w:bCs/>
                      <w:sz w:val="24"/>
                      <w:szCs w:val="24"/>
                      <w:shd w:fill="FFFFFF" w:val="clear"/>
                    </w:rPr>
                    <w:t>Заказчика:</w:t>
                  </w:r>
                </w:p>
              </w:tc>
              <w:tc>
                <w:tcPr>
                  <w:tcW w:w="707" w:type="dxa"/>
                  <w:vMerge w:val="restart"/>
                  <w:tcBorders/>
                  <w:shd w:fill="auto" w:val="cle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4513" w:type="dxa"/>
                  <w:gridSpan w:val="2"/>
                  <w:tcBorders/>
                  <w:shd w:fill="auto" w:val="clear"/>
                </w:tcPr>
                <w:p>
                  <w:pPr>
                    <w:pStyle w:val="Normal"/>
                    <w:widowControl w:val="false"/>
                    <w:spacing w:lineRule="auto" w:line="240"/>
                    <w:rPr>
                      <w:rFonts w:ascii="Times New Roman" w:hAnsi="Times New Roman"/>
                      <w:sz w:val="24"/>
                      <w:szCs w:val="24"/>
                      <w:highlight w:val="white"/>
                    </w:rPr>
                  </w:pPr>
                  <w:r>
                    <w:rPr>
                      <w:b/>
                      <w:bCs/>
                      <w:sz w:val="24"/>
                      <w:szCs w:val="24"/>
                      <w:shd w:fill="FFFFFF" w:val="clear"/>
                    </w:rPr>
                    <w:t>Подрядчика:</w:t>
                  </w:r>
                </w:p>
              </w:tc>
            </w:tr>
            <w:tr>
              <w:trPr>
                <w:cantSplit w:val="true"/>
              </w:trPr>
              <w:tc>
                <w:tcPr>
                  <w:tcW w:w="4500" w:type="dxa"/>
                  <w:gridSpan w:val="2"/>
                  <w:tcBorders/>
                  <w:shd w:fill="auto" w:val="clear"/>
                </w:tcPr>
                <w:p>
                  <w:pPr>
                    <w:pStyle w:val="Normal"/>
                    <w:widowControl w:val="false"/>
                    <w:snapToGrid w:val="false"/>
                    <w:spacing w:lineRule="auto" w:line="240"/>
                    <w:rPr>
                      <w:rFonts w:ascii="Times New Roman" w:hAnsi="Times New Roman"/>
                      <w:b/>
                      <w:b/>
                      <w:bCs/>
                      <w:sz w:val="24"/>
                      <w:szCs w:val="24"/>
                      <w:shd w:fill="FFFFFF" w:val="clear"/>
                    </w:rPr>
                  </w:pPr>
                  <w:r>
                    <w:rPr>
                      <w:b/>
                      <w:bCs/>
                      <w:sz w:val="24"/>
                      <w:szCs w:val="24"/>
                      <w:shd w:fill="FFFFFF" w:val="clear"/>
                    </w:rPr>
                  </w:r>
                </w:p>
              </w:tc>
              <w:tc>
                <w:tcPr>
                  <w:tcW w:w="707"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4513" w:type="dxa"/>
                  <w:gridSpan w:val="2"/>
                  <w:tcBorders/>
                  <w:shd w:fill="auto" w:val="clear"/>
                </w:tcPr>
                <w:p>
                  <w:pPr>
                    <w:pStyle w:val="Normal"/>
                    <w:widowControl w:val="false"/>
                    <w:snapToGrid w:val="false"/>
                    <w:spacing w:lineRule="auto" w:line="240"/>
                    <w:rPr>
                      <w:rFonts w:ascii="Times New Roman" w:hAnsi="Times New Roman"/>
                      <w:b/>
                      <w:b/>
                      <w:bCs/>
                      <w:sz w:val="24"/>
                      <w:szCs w:val="24"/>
                      <w:shd w:fill="FFFFFF" w:val="clear"/>
                    </w:rPr>
                  </w:pPr>
                  <w:r>
                    <w:rPr>
                      <w:b/>
                      <w:bCs/>
                      <w:sz w:val="24"/>
                      <w:szCs w:val="24"/>
                      <w:shd w:fill="FFFFFF" w:val="clear"/>
                    </w:rPr>
                  </w:r>
                </w:p>
              </w:tc>
            </w:tr>
            <w:tr>
              <w:trPr>
                <w:cantSplit w:val="true"/>
              </w:trPr>
              <w:tc>
                <w:tcPr>
                  <w:tcW w:w="451" w:type="dxa"/>
                  <w:vMerge w:val="restart"/>
                  <w:tcBorders/>
                  <w:shd w:fill="auto" w:val="cle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4049" w:type="dxa"/>
                  <w:tcBorders>
                    <w:top w:val="single" w:sz="4" w:space="0" w:color="000001"/>
                  </w:tcBorders>
                  <w:shd w:fill="auto" w:val="clear"/>
                </w:tcPr>
                <w:p>
                  <w:pPr>
                    <w:pStyle w:val="Normal"/>
                    <w:widowControl w:val="false"/>
                    <w:snapToGrid w:val="false"/>
                    <w:spacing w:lineRule="auto" w:line="240"/>
                    <w:jc w:val="center"/>
                    <w:rPr>
                      <w:rFonts w:ascii="Times New Roman" w:hAnsi="Times New Roman"/>
                      <w:sz w:val="24"/>
                      <w:szCs w:val="24"/>
                      <w:highlight w:val="white"/>
                    </w:rPr>
                  </w:pPr>
                  <w:r>
                    <w:rPr>
                      <w:i/>
                      <w:iCs/>
                      <w:sz w:val="24"/>
                      <w:szCs w:val="24"/>
                      <w:shd w:fill="FFFFFF" w:val="clear"/>
                    </w:rPr>
                    <w:t>(должность)</w:t>
                  </w:r>
                </w:p>
              </w:tc>
              <w:tc>
                <w:tcPr>
                  <w:tcW w:w="707"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347" w:type="dxa"/>
                  <w:vMerge w:val="restart"/>
                  <w:tcBorders/>
                  <w:shd w:fill="auto" w:val="cle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4166" w:type="dxa"/>
                  <w:tcBorders>
                    <w:top w:val="single" w:sz="4" w:space="0" w:color="000001"/>
                  </w:tcBorders>
                  <w:shd w:fill="auto" w:val="clear"/>
                </w:tcPr>
                <w:p>
                  <w:pPr>
                    <w:pStyle w:val="Normal"/>
                    <w:widowControl w:val="false"/>
                    <w:snapToGrid w:val="false"/>
                    <w:spacing w:lineRule="auto" w:line="240"/>
                    <w:jc w:val="center"/>
                    <w:rPr>
                      <w:rFonts w:ascii="Times New Roman" w:hAnsi="Times New Roman"/>
                      <w:sz w:val="24"/>
                      <w:szCs w:val="24"/>
                      <w:highlight w:val="white"/>
                    </w:rPr>
                  </w:pPr>
                  <w:r>
                    <w:rPr>
                      <w:i/>
                      <w:iCs/>
                      <w:sz w:val="24"/>
                      <w:szCs w:val="24"/>
                      <w:shd w:fill="FFFFFF" w:val="clear"/>
                    </w:rPr>
                    <w:t>(должность)</w:t>
                  </w:r>
                </w:p>
              </w:tc>
            </w:tr>
            <w:tr>
              <w:trPr>
                <w:cantSplit w:val="true"/>
              </w:trPr>
              <w:tc>
                <w:tcPr>
                  <w:tcW w:w="451"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4049" w:type="dxa"/>
                  <w:tcBorders>
                    <w:top w:val="single" w:sz="4" w:space="0" w:color="000001"/>
                    <w:bottom w:val="single" w:sz="4" w:space="0" w:color="000001"/>
                    <w:insideH w:val="single" w:sz="4" w:space="0" w:color="000001"/>
                  </w:tcBorders>
                  <w:shd w:fill="auto" w:val="cle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707"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347"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4166" w:type="dxa"/>
                  <w:tcBorders>
                    <w:top w:val="single" w:sz="4" w:space="0" w:color="000001"/>
                    <w:bottom w:val="single" w:sz="4" w:space="0" w:color="000001"/>
                    <w:insideH w:val="single" w:sz="4" w:space="0" w:color="000001"/>
                  </w:tcBorders>
                  <w:shd w:fill="auto" w:val="cle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r>
            <w:tr>
              <w:trPr>
                <w:cantSplit w:val="true"/>
              </w:trPr>
              <w:tc>
                <w:tcPr>
                  <w:tcW w:w="451"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4049" w:type="dxa"/>
                  <w:tcBorders>
                    <w:top w:val="single" w:sz="4" w:space="0" w:color="000001"/>
                  </w:tcBorders>
                  <w:shd w:fill="auto" w:val="clear"/>
                </w:tcPr>
                <w:p>
                  <w:pPr>
                    <w:pStyle w:val="Normal"/>
                    <w:widowControl w:val="false"/>
                    <w:snapToGrid w:val="false"/>
                    <w:spacing w:lineRule="auto" w:line="240"/>
                    <w:jc w:val="center"/>
                    <w:rPr>
                      <w:rFonts w:ascii="Times New Roman" w:hAnsi="Times New Roman"/>
                      <w:sz w:val="24"/>
                      <w:szCs w:val="24"/>
                      <w:highlight w:val="white"/>
                    </w:rPr>
                  </w:pPr>
                  <w:r>
                    <w:rPr>
                      <w:i/>
                      <w:iCs/>
                      <w:sz w:val="24"/>
                      <w:szCs w:val="24"/>
                      <w:shd w:fill="FFFFFF" w:val="clear"/>
                    </w:rPr>
                    <w:t>(подпись)</w:t>
                  </w:r>
                </w:p>
              </w:tc>
              <w:tc>
                <w:tcPr>
                  <w:tcW w:w="707"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347"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4166" w:type="dxa"/>
                  <w:tcBorders>
                    <w:top w:val="single" w:sz="4" w:space="0" w:color="000001"/>
                  </w:tcBorders>
                  <w:shd w:fill="auto" w:val="clear"/>
                </w:tcPr>
                <w:p>
                  <w:pPr>
                    <w:pStyle w:val="Normal"/>
                    <w:widowControl w:val="false"/>
                    <w:snapToGrid w:val="false"/>
                    <w:spacing w:lineRule="auto" w:line="240"/>
                    <w:jc w:val="center"/>
                    <w:rPr>
                      <w:rFonts w:ascii="Times New Roman" w:hAnsi="Times New Roman"/>
                      <w:sz w:val="24"/>
                      <w:szCs w:val="24"/>
                      <w:highlight w:val="white"/>
                    </w:rPr>
                  </w:pPr>
                  <w:r>
                    <w:rPr>
                      <w:i/>
                      <w:iCs/>
                      <w:sz w:val="24"/>
                      <w:szCs w:val="24"/>
                      <w:shd w:fill="FFFFFF" w:val="clear"/>
                    </w:rPr>
                    <w:t>(подпись)</w:t>
                  </w:r>
                </w:p>
              </w:tc>
            </w:tr>
            <w:tr>
              <w:trPr>
                <w:cantSplit w:val="true"/>
              </w:trPr>
              <w:tc>
                <w:tcPr>
                  <w:tcW w:w="451"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4049" w:type="dxa"/>
                  <w:tcBorders>
                    <w:top w:val="single" w:sz="4" w:space="0" w:color="000001"/>
                    <w:bottom w:val="single" w:sz="4" w:space="0" w:color="000001"/>
                    <w:insideH w:val="single" w:sz="4" w:space="0" w:color="000001"/>
                  </w:tcBorders>
                  <w:shd w:fill="auto" w:val="cle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707"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347"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4166" w:type="dxa"/>
                  <w:tcBorders>
                    <w:top w:val="single" w:sz="4" w:space="0" w:color="000001"/>
                    <w:bottom w:val="single" w:sz="4" w:space="0" w:color="000001"/>
                    <w:insideH w:val="single" w:sz="4" w:space="0" w:color="000001"/>
                  </w:tcBorders>
                  <w:shd w:fill="auto" w:val="cle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r>
            <w:tr>
              <w:trPr>
                <w:cantSplit w:val="true"/>
              </w:trPr>
              <w:tc>
                <w:tcPr>
                  <w:tcW w:w="451"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4049" w:type="dxa"/>
                  <w:tcBorders>
                    <w:top w:val="single" w:sz="4" w:space="0" w:color="000001"/>
                  </w:tcBorders>
                  <w:shd w:fill="auto" w:val="clear"/>
                </w:tcPr>
                <w:p>
                  <w:pPr>
                    <w:pStyle w:val="Normal"/>
                    <w:widowControl w:val="false"/>
                    <w:snapToGrid w:val="false"/>
                    <w:spacing w:lineRule="auto" w:line="240"/>
                    <w:ind w:firstLine="7"/>
                    <w:jc w:val="center"/>
                    <w:rPr>
                      <w:rFonts w:ascii="Times New Roman" w:hAnsi="Times New Roman"/>
                      <w:sz w:val="24"/>
                      <w:szCs w:val="24"/>
                      <w:highlight w:val="white"/>
                    </w:rPr>
                  </w:pPr>
                  <w:r>
                    <w:rPr>
                      <w:i/>
                      <w:iCs/>
                      <w:sz w:val="24"/>
                      <w:szCs w:val="24"/>
                      <w:shd w:fill="FFFFFF" w:val="clear"/>
                    </w:rPr>
                    <w:t>(расшифровка подписи)</w:t>
                  </w:r>
                </w:p>
              </w:tc>
              <w:tc>
                <w:tcPr>
                  <w:tcW w:w="707"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347"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4166" w:type="dxa"/>
                  <w:tcBorders>
                    <w:top w:val="single" w:sz="4" w:space="0" w:color="000001"/>
                  </w:tcBorders>
                  <w:shd w:fill="auto" w:val="clear"/>
                </w:tcPr>
                <w:p>
                  <w:pPr>
                    <w:pStyle w:val="Normal"/>
                    <w:widowControl w:val="false"/>
                    <w:snapToGrid w:val="false"/>
                    <w:spacing w:lineRule="auto" w:line="240"/>
                    <w:jc w:val="center"/>
                    <w:rPr>
                      <w:rFonts w:ascii="Times New Roman" w:hAnsi="Times New Roman"/>
                      <w:sz w:val="24"/>
                      <w:szCs w:val="24"/>
                      <w:highlight w:val="white"/>
                    </w:rPr>
                  </w:pPr>
                  <w:r>
                    <w:rPr>
                      <w:i/>
                      <w:iCs/>
                      <w:sz w:val="24"/>
                      <w:szCs w:val="24"/>
                      <w:shd w:fill="FFFFFF" w:val="clear"/>
                    </w:rPr>
                    <w:t>(расшифровка подписи)</w:t>
                  </w:r>
                </w:p>
              </w:tc>
            </w:tr>
            <w:tr>
              <w:trPr>
                <w:cantSplit w:val="true"/>
              </w:trPr>
              <w:tc>
                <w:tcPr>
                  <w:tcW w:w="451"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4049" w:type="dxa"/>
                  <w:tcBorders/>
                  <w:shd w:fill="auto" w:val="cle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c>
                <w:tcPr>
                  <w:tcW w:w="707"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347" w:type="dxa"/>
                  <w:vMerge w:val="continue"/>
                  <w:tcBorders/>
                  <w:shd w:fill="auto" w:val="clear"/>
                  <w:tcMar>
                    <w:left w:w="0" w:type="dxa"/>
                    <w:right w:w="0" w:type="dxa"/>
                  </w:tcMar>
                  <w:vAlign w:val="center"/>
                </w:tcPr>
                <w:p>
                  <w:pPr>
                    <w:pStyle w:val="Normal"/>
                    <w:widowControl w:val="false"/>
                    <w:spacing w:lineRule="auto" w:line="240"/>
                    <w:rPr>
                      <w:rFonts w:ascii="Times New Roman" w:hAnsi="Times New Roman"/>
                      <w:sz w:val="24"/>
                      <w:szCs w:val="24"/>
                      <w:shd w:fill="FFFFFF" w:val="clear"/>
                    </w:rPr>
                  </w:pPr>
                  <w:r>
                    <w:rPr>
                      <w:sz w:val="24"/>
                      <w:szCs w:val="24"/>
                      <w:shd w:fill="FFFFFF" w:val="clear"/>
                    </w:rPr>
                  </w:r>
                </w:p>
              </w:tc>
              <w:tc>
                <w:tcPr>
                  <w:tcW w:w="4166" w:type="dxa"/>
                  <w:tcBorders/>
                  <w:shd w:fill="auto" w:val="clear"/>
                </w:tcPr>
                <w:p>
                  <w:pPr>
                    <w:pStyle w:val="Normal"/>
                    <w:widowControl w:val="false"/>
                    <w:snapToGrid w:val="false"/>
                    <w:spacing w:lineRule="auto" w:line="240"/>
                    <w:rPr>
                      <w:rFonts w:ascii="Times New Roman" w:hAnsi="Times New Roman"/>
                      <w:sz w:val="24"/>
                      <w:szCs w:val="24"/>
                      <w:shd w:fill="FFFFFF" w:val="clear"/>
                    </w:rPr>
                  </w:pPr>
                  <w:r>
                    <w:rPr>
                      <w:sz w:val="24"/>
                      <w:szCs w:val="24"/>
                      <w:shd w:fill="FFFFFF" w:val="clear"/>
                    </w:rPr>
                  </w:r>
                </w:p>
              </w:tc>
            </w:tr>
          </w:tbl>
          <w:p>
            <w:pPr>
              <w:pStyle w:val="Normal"/>
              <w:widowControl w:val="false"/>
              <w:snapToGrid w:val="false"/>
              <w:spacing w:lineRule="auto" w:line="240"/>
              <w:ind w:right="-76" w:firstLine="567"/>
              <w:jc w:val="center"/>
              <w:rPr>
                <w:rFonts w:ascii="Times New Roman" w:hAnsi="Times New Roman"/>
                <w:sz w:val="24"/>
                <w:szCs w:val="24"/>
                <w:shd w:fill="FFFFFF" w:val="clear"/>
              </w:rPr>
            </w:pPr>
            <w:r>
              <w:rPr>
                <w:sz w:val="24"/>
                <w:szCs w:val="24"/>
                <w:shd w:fill="FFFFFF" w:val="clear"/>
              </w:rPr>
            </w:r>
          </w:p>
        </w:tc>
      </w:tr>
    </w:tbl>
    <w:p>
      <w:pPr>
        <w:pStyle w:val="Normal"/>
        <w:spacing w:lineRule="auto" w:line="240"/>
        <w:ind w:left="5103" w:firstLine="567"/>
        <w:rPr>
          <w:rFonts w:ascii="Times New Roman" w:hAnsi="Times New Roman"/>
          <w:sz w:val="24"/>
          <w:szCs w:val="24"/>
          <w:shd w:fill="FFFFFF" w:val="clear"/>
        </w:rPr>
      </w:pPr>
      <w:r>
        <w:rPr>
          <w:sz w:val="24"/>
          <w:szCs w:val="24"/>
          <w:shd w:fill="FFFFFF" w:val="clear"/>
        </w:rPr>
      </w:r>
    </w:p>
    <w:p>
      <w:pPr>
        <w:pStyle w:val="Normal"/>
        <w:spacing w:lineRule="auto" w:line="240"/>
        <w:ind w:left="5103" w:firstLine="567"/>
        <w:rPr>
          <w:rFonts w:ascii="Times New Roman" w:hAnsi="Times New Roman"/>
          <w:sz w:val="24"/>
          <w:szCs w:val="24"/>
          <w:shd w:fill="FFFFFF" w:val="clear"/>
        </w:rPr>
      </w:pPr>
      <w:r>
        <w:rPr>
          <w:sz w:val="24"/>
          <w:szCs w:val="24"/>
          <w:shd w:fill="FFFFFF" w:val="clear"/>
        </w:rPr>
      </w:r>
    </w:p>
    <w:tbl>
      <w:tblPr>
        <w:tblW w:w="9637" w:type="dxa"/>
        <w:jc w:val="left"/>
        <w:tblInd w:w="0" w:type="dxa"/>
        <w:tblBorders/>
        <w:tblCellMar>
          <w:top w:w="0" w:type="dxa"/>
          <w:left w:w="108" w:type="dxa"/>
          <w:bottom w:w="0" w:type="dxa"/>
          <w:right w:w="108" w:type="dxa"/>
        </w:tblCellMar>
        <w:tblLook w:val="0000" w:noVBand="0" w:noHBand="0" w:lastColumn="0" w:firstColumn="0" w:lastRow="0" w:firstRow="0"/>
      </w:tblPr>
      <w:tblGrid>
        <w:gridCol w:w="4877"/>
        <w:gridCol w:w="4759"/>
      </w:tblGrid>
      <w:tr>
        <w:trPr/>
        <w:tc>
          <w:tcPr>
            <w:tcW w:w="4877" w:type="dxa"/>
            <w:tcBorders/>
            <w:shd w:fill="auto" w:val="clear"/>
          </w:tcPr>
          <w:p>
            <w:pPr>
              <w:pStyle w:val="Normal"/>
              <w:widowControl w:val="false"/>
              <w:spacing w:lineRule="auto" w:line="240"/>
              <w:rPr>
                <w:sz w:val="24"/>
                <w:szCs w:val="24"/>
                <w:highlight w:val="white"/>
              </w:rPr>
            </w:pPr>
            <w:r>
              <w:rPr>
                <w:b/>
                <w:sz w:val="24"/>
                <w:szCs w:val="24"/>
                <w:shd w:fill="FFFFFF" w:val="clear"/>
              </w:rPr>
              <w:t>Заказчик</w:t>
            </w:r>
            <w:r>
              <w:rPr>
                <w:b/>
                <w:sz w:val="24"/>
                <w:szCs w:val="24"/>
                <w:shd w:fill="FFFFFF" w:val="clear"/>
                <w:lang w:val="en-US"/>
              </w:rPr>
              <w:t>:</w:t>
            </w:r>
          </w:p>
          <w:p>
            <w:pPr>
              <w:pStyle w:val="Normal"/>
              <w:widowControl w:val="false"/>
              <w:spacing w:lineRule="auto" w:line="240"/>
              <w:rPr>
                <w:rFonts w:ascii="Times New Roman" w:hAnsi="Times New Roman"/>
                <w:b/>
                <w:b/>
                <w:sz w:val="24"/>
                <w:szCs w:val="24"/>
                <w:shd w:fill="FFFFFF" w:val="clear"/>
              </w:rPr>
            </w:pPr>
            <w:r>
              <w:rPr>
                <w:b/>
                <w:sz w:val="24"/>
                <w:szCs w:val="24"/>
                <w:shd w:fill="FFFFFF" w:val="clear"/>
              </w:rPr>
            </w:r>
          </w:p>
          <w:p>
            <w:pPr>
              <w:pStyle w:val="Normal"/>
              <w:widowControl w:val="false"/>
              <w:spacing w:lineRule="auto" w:line="240"/>
              <w:ind w:firstLine="34"/>
              <w:rPr>
                <w:rFonts w:ascii="Times New Roman" w:hAnsi="Times New Roman"/>
                <w:sz w:val="24"/>
                <w:szCs w:val="24"/>
                <w:highlight w:val="white"/>
              </w:rPr>
            </w:pPr>
            <w:r>
              <w:rPr>
                <w:b/>
                <w:sz w:val="24"/>
                <w:szCs w:val="24"/>
                <w:shd w:fill="FFFFFF" w:val="clear"/>
              </w:rPr>
              <w:t>__________/____________________________</w:t>
            </w:r>
          </w:p>
        </w:tc>
        <w:tc>
          <w:tcPr>
            <w:tcW w:w="4759" w:type="dxa"/>
            <w:tcBorders/>
            <w:shd w:fill="auto" w:val="clear"/>
          </w:tcPr>
          <w:p>
            <w:pPr>
              <w:pStyle w:val="Normal"/>
              <w:widowControl w:val="false"/>
              <w:spacing w:lineRule="auto" w:line="240"/>
              <w:rPr>
                <w:rFonts w:ascii="Times New Roman" w:hAnsi="Times New Roman"/>
                <w:sz w:val="24"/>
                <w:szCs w:val="24"/>
                <w:highlight w:val="white"/>
              </w:rPr>
            </w:pPr>
            <w:r>
              <w:rPr>
                <w:b/>
                <w:sz w:val="24"/>
                <w:szCs w:val="24"/>
                <w:shd w:fill="FFFFFF" w:val="clear"/>
              </w:rPr>
              <w:t>Подрядчик:</w:t>
            </w:r>
          </w:p>
          <w:p>
            <w:pPr>
              <w:pStyle w:val="Normal"/>
              <w:widowControl w:val="false"/>
              <w:spacing w:lineRule="auto" w:line="240"/>
              <w:rPr>
                <w:rFonts w:ascii="Times New Roman" w:hAnsi="Times New Roman"/>
                <w:b/>
                <w:b/>
                <w:sz w:val="24"/>
                <w:szCs w:val="24"/>
                <w:shd w:fill="FFFFFF" w:val="clear"/>
              </w:rPr>
            </w:pPr>
            <w:r>
              <w:rPr>
                <w:b/>
                <w:sz w:val="24"/>
                <w:szCs w:val="24"/>
                <w:shd w:fill="FFFFFF" w:val="clear"/>
              </w:rPr>
            </w:r>
          </w:p>
          <w:p>
            <w:pPr>
              <w:pStyle w:val="Normal"/>
              <w:widowControl w:val="false"/>
              <w:spacing w:lineRule="auto" w:line="240"/>
              <w:ind w:hanging="0"/>
              <w:rPr>
                <w:rFonts w:ascii="Times New Roman" w:hAnsi="Times New Roman"/>
                <w:sz w:val="24"/>
                <w:szCs w:val="24"/>
                <w:highlight w:val="white"/>
              </w:rPr>
            </w:pPr>
            <w:r>
              <w:rPr>
                <w:b/>
                <w:sz w:val="24"/>
                <w:szCs w:val="24"/>
                <w:shd w:fill="FFFFFF" w:val="clear"/>
              </w:rPr>
              <w:t>_______________/________</w:t>
            </w:r>
          </w:p>
          <w:p>
            <w:pPr>
              <w:pStyle w:val="Normal"/>
              <w:widowControl w:val="false"/>
              <w:spacing w:lineRule="auto" w:line="240"/>
              <w:ind w:hanging="0"/>
              <w:rPr>
                <w:rFonts w:ascii="Times New Roman" w:hAnsi="Times New Roman"/>
                <w:sz w:val="24"/>
                <w:szCs w:val="24"/>
                <w:highlight w:val="white"/>
              </w:rPr>
            </w:pPr>
            <w:r>
              <w:rPr>
                <w:b/>
                <w:sz w:val="24"/>
                <w:szCs w:val="24"/>
                <w:shd w:fill="FFFFFF" w:val="clear"/>
              </w:rPr>
              <w:t>______________</w:t>
            </w:r>
          </w:p>
        </w:tc>
      </w:tr>
    </w:tbl>
    <w:p>
      <w:pPr>
        <w:pStyle w:val="Normal"/>
        <w:shd w:val="clear" w:color="auto" w:fill="FFFFFF"/>
        <w:spacing w:lineRule="auto" w:line="240"/>
        <w:ind w:left="3119" w:firstLine="1984"/>
        <w:rPr>
          <w:rFonts w:ascii="Times New Roman" w:hAnsi="Times New Roman"/>
          <w:sz w:val="24"/>
          <w:szCs w:val="24"/>
          <w:shd w:fill="FFFFFF" w:val="clear"/>
        </w:rPr>
      </w:pPr>
      <w:r>
        <w:rPr>
          <w:sz w:val="24"/>
          <w:szCs w:val="24"/>
          <w:shd w:fill="FFFFFF" w:val="clear"/>
        </w:rPr>
      </w:r>
      <w:r>
        <w:br w:type="page"/>
      </w:r>
    </w:p>
    <w:p>
      <w:pPr>
        <w:pStyle w:val="Normal"/>
        <w:shd w:val="clear" w:color="auto" w:fill="FFFFFF"/>
        <w:tabs>
          <w:tab w:val="left" w:pos="3148" w:leader="none"/>
          <w:tab w:val="center" w:pos="4818" w:leader="none"/>
          <w:tab w:val="left" w:pos="6926" w:leader="none"/>
        </w:tabs>
        <w:spacing w:lineRule="auto" w:line="240"/>
        <w:ind w:hanging="0"/>
        <w:jc w:val="right"/>
        <w:rPr>
          <w:highlight w:val="white"/>
        </w:rPr>
      </w:pPr>
      <w:r>
        <w:rPr>
          <w:sz w:val="24"/>
          <w:szCs w:val="24"/>
          <w:shd w:fill="FFFFFF" w:val="clear"/>
        </w:rPr>
        <w:t>Приложение № 9</w:t>
      </w:r>
    </w:p>
    <w:p>
      <w:pPr>
        <w:pStyle w:val="Normal"/>
        <w:spacing w:lineRule="auto" w:line="240"/>
        <w:ind w:left="4820" w:hanging="0"/>
        <w:jc w:val="right"/>
        <w:rPr>
          <w:highlight w:val="white"/>
        </w:rPr>
      </w:pPr>
      <w:r>
        <w:rPr>
          <w:sz w:val="24"/>
          <w:szCs w:val="24"/>
          <w:shd w:fill="FFFFFF" w:val="clear"/>
        </w:rPr>
        <w:t>к Договору подряда</w:t>
      </w:r>
    </w:p>
    <w:p>
      <w:pPr>
        <w:pStyle w:val="Normal"/>
        <w:spacing w:lineRule="auto" w:line="240"/>
        <w:ind w:left="4820" w:hanging="0"/>
        <w:jc w:val="right"/>
        <w:rPr>
          <w:highlight w:val="white"/>
        </w:rPr>
      </w:pPr>
      <w:r>
        <w:rPr>
          <w:sz w:val="24"/>
          <w:szCs w:val="24"/>
          <w:shd w:fill="FFFFFF" w:val="clear"/>
        </w:rPr>
        <w:t>от «____» __________ 20 _ г. № ________</w:t>
      </w:r>
    </w:p>
    <w:p>
      <w:pPr>
        <w:pStyle w:val="Normal"/>
        <w:spacing w:lineRule="auto" w:line="240"/>
        <w:ind w:left="1416" w:hanging="0"/>
        <w:rPr>
          <w:rFonts w:ascii="Times New Roman" w:hAnsi="Times New Roman"/>
          <w:b/>
          <w:b/>
          <w:sz w:val="24"/>
          <w:szCs w:val="24"/>
          <w:shd w:fill="FFFFFF" w:val="clear"/>
        </w:rPr>
      </w:pPr>
      <w:r>
        <w:rPr>
          <w:b/>
          <w:sz w:val="24"/>
          <w:szCs w:val="24"/>
          <w:shd w:fill="FFFFFF" w:val="clear"/>
        </w:rPr>
      </w:r>
    </w:p>
    <w:p>
      <w:pPr>
        <w:pStyle w:val="Normal"/>
        <w:spacing w:lineRule="auto" w:line="240"/>
        <w:ind w:left="1416" w:hanging="0"/>
        <w:rPr>
          <w:rFonts w:ascii="Times New Roman" w:hAnsi="Times New Roman"/>
          <w:b/>
          <w:b/>
          <w:sz w:val="24"/>
          <w:szCs w:val="24"/>
          <w:shd w:fill="FFFFFF" w:val="clear"/>
        </w:rPr>
      </w:pPr>
      <w:r>
        <w:rPr>
          <w:b/>
          <w:sz w:val="24"/>
          <w:szCs w:val="24"/>
          <w:shd w:fill="FFFFFF" w:val="clear"/>
        </w:rPr>
      </w:r>
    </w:p>
    <w:p>
      <w:pPr>
        <w:pStyle w:val="Normal"/>
        <w:spacing w:lineRule="auto" w:line="240"/>
        <w:ind w:hanging="0"/>
        <w:jc w:val="center"/>
        <w:rPr>
          <w:highlight w:val="white"/>
        </w:rPr>
      </w:pPr>
      <w:r>
        <w:rPr>
          <w:b/>
          <w:sz w:val="24"/>
          <w:szCs w:val="24"/>
          <w:shd w:fill="FFFFFF" w:val="clear"/>
        </w:rPr>
        <w:t>«</w:t>
      </w:r>
      <w:r>
        <w:rPr>
          <w:b/>
          <w:bCs/>
          <w:sz w:val="24"/>
          <w:szCs w:val="24"/>
          <w:shd w:fill="FFFFFF" w:val="clear"/>
        </w:rPr>
        <w:t>Регламент взаимодействия в ходе исполнения процессов управления проектом»</w:t>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p>
    <w:p>
      <w:pPr>
        <w:pStyle w:val="Normal"/>
        <w:spacing w:lineRule="auto" w:line="240"/>
        <w:ind w:hanging="0"/>
        <w:rPr>
          <w:rFonts w:ascii="Times New Roman" w:hAnsi="Times New Roman"/>
          <w:sz w:val="24"/>
          <w:szCs w:val="24"/>
          <w:shd w:fill="FFFFFF" w:val="clear"/>
        </w:rPr>
      </w:pPr>
      <w:r>
        <w:rPr>
          <w:sz w:val="24"/>
          <w:szCs w:val="24"/>
          <w:shd w:fill="FFFFFF" w:val="clear"/>
        </w:rPr>
      </w:r>
      <w:r>
        <w:br w:type="page"/>
      </w:r>
    </w:p>
    <w:p>
      <w:pPr>
        <w:pStyle w:val="Normal"/>
        <w:shd w:val="clear" w:color="auto" w:fill="FFFFFF"/>
        <w:spacing w:lineRule="auto" w:line="240"/>
        <w:ind w:left="4820" w:hanging="0"/>
        <w:rPr>
          <w:highlight w:val="white"/>
        </w:rPr>
      </w:pPr>
      <w:bookmarkStart w:id="43" w:name="RANGE!A1%2525252525252525252525252525252"/>
      <w:bookmarkStart w:id="44" w:name="RANGE!A1%25252525252525252525252525252521"/>
      <w:bookmarkEnd w:id="43"/>
      <w:bookmarkEnd w:id="44"/>
      <w:r>
        <w:rPr>
          <w:bCs/>
          <w:sz w:val="24"/>
          <w:szCs w:val="24"/>
          <w:shd w:fill="FFFFFF" w:val="clear"/>
        </w:rPr>
        <w:t>Приложение № 10</w:t>
      </w:r>
    </w:p>
    <w:p>
      <w:pPr>
        <w:pStyle w:val="Normal"/>
        <w:shd w:val="clear" w:color="auto" w:fill="FFFFFF"/>
        <w:spacing w:lineRule="auto" w:line="240"/>
        <w:ind w:left="4820" w:hanging="0"/>
        <w:rPr>
          <w:highlight w:val="white"/>
        </w:rPr>
      </w:pPr>
      <w:r>
        <w:rPr>
          <w:bCs/>
          <w:sz w:val="24"/>
          <w:szCs w:val="24"/>
          <w:shd w:fill="FFFFFF" w:val="clear"/>
        </w:rPr>
        <w:t xml:space="preserve">к Договору подряда </w:t>
      </w:r>
    </w:p>
    <w:p>
      <w:pPr>
        <w:pStyle w:val="Normal"/>
        <w:shd w:val="clear" w:color="auto" w:fill="FFFFFF"/>
        <w:spacing w:lineRule="auto" w:line="240"/>
        <w:ind w:left="4820" w:hanging="0"/>
        <w:rPr>
          <w:highlight w:val="white"/>
        </w:rPr>
      </w:pPr>
      <w:r>
        <w:rPr>
          <w:bCs/>
          <w:sz w:val="24"/>
          <w:szCs w:val="24"/>
          <w:shd w:fill="FFFFFF" w:val="clear"/>
        </w:rPr>
        <w:t>от «___» ________20__ г. № ___</w:t>
      </w:r>
    </w:p>
    <w:p>
      <w:pPr>
        <w:pStyle w:val="Normal"/>
        <w:shd w:val="clear" w:color="auto" w:fill="FFFFFF"/>
        <w:spacing w:lineRule="auto" w:line="240"/>
        <w:ind w:left="3119" w:firstLine="2551"/>
        <w:rPr>
          <w:rFonts w:ascii="Times New Roman" w:hAnsi="Times New Roman"/>
          <w:bCs/>
          <w:sz w:val="24"/>
          <w:szCs w:val="24"/>
          <w:shd w:fill="FFFFFF" w:val="clear"/>
        </w:rPr>
      </w:pPr>
      <w:r>
        <w:rPr>
          <w:bCs/>
          <w:sz w:val="24"/>
          <w:szCs w:val="24"/>
          <w:shd w:fill="FFFFFF" w:val="clear"/>
        </w:rPr>
      </w:r>
    </w:p>
    <w:p>
      <w:pPr>
        <w:pStyle w:val="Normal"/>
        <w:spacing w:lineRule="auto" w:line="240"/>
        <w:ind w:firstLine="709"/>
        <w:jc w:val="right"/>
        <w:rPr>
          <w:rFonts w:ascii="Times New Roman" w:hAnsi="Times New Roman"/>
          <w:sz w:val="24"/>
          <w:szCs w:val="24"/>
          <w:shd w:fill="FFFFFF" w:val="clear"/>
        </w:rPr>
      </w:pPr>
      <w:r>
        <w:rPr>
          <w:sz w:val="24"/>
          <w:szCs w:val="24"/>
          <w:shd w:fill="FFFFFF" w:val="clear"/>
        </w:rPr>
      </w:r>
    </w:p>
    <w:p>
      <w:pPr>
        <w:pStyle w:val="Normal"/>
        <w:spacing w:lineRule="auto" w:line="240"/>
        <w:jc w:val="center"/>
        <w:rPr>
          <w:highlight w:val="white"/>
        </w:rPr>
      </w:pPr>
      <w:r>
        <w:rPr>
          <w:b/>
          <w:sz w:val="24"/>
          <w:szCs w:val="24"/>
          <w:shd w:fill="FFFFFF" w:val="clear"/>
        </w:rPr>
        <w:t>Критерии отбора Банков-Гарантов</w:t>
      </w:r>
    </w:p>
    <w:p>
      <w:pPr>
        <w:pStyle w:val="Normal"/>
        <w:spacing w:lineRule="auto" w:line="240"/>
        <w:ind w:firstLine="709"/>
        <w:rPr>
          <w:highlight w:val="white"/>
        </w:rPr>
      </w:pPr>
      <w:r>
        <w:rPr>
          <w:rFonts w:eastAsia="TimesNewRomanPS-BoldMT"/>
          <w:sz w:val="24"/>
          <w:szCs w:val="24"/>
          <w:shd w:fill="FFFFFF" w:val="clear"/>
        </w:rPr>
        <w:t>Банк-Гарант (кредитная организация), выдающий банковскую гарантию, должен входить в перечень Банков-Гарантов Группы РусГидро</w:t>
      </w:r>
      <w:r>
        <w:rPr>
          <w:rStyle w:val="Style12"/>
          <w:rFonts w:eastAsia="TimesNewRomanPS-BoldMT"/>
          <w:sz w:val="24"/>
          <w:szCs w:val="24"/>
          <w:shd w:fill="FFFFFF" w:val="clear"/>
        </w:rPr>
        <w:footnoteReference w:id="18"/>
      </w:r>
      <w:r>
        <w:rPr>
          <w:rFonts w:eastAsia="TimesNewRomanPS-BoldMT"/>
          <w:sz w:val="24"/>
          <w:szCs w:val="24"/>
          <w:shd w:fill="FFFFFF" w:val="clear"/>
        </w:rPr>
        <w:t>, а также соответствовать следующим критериям:</w:t>
      </w:r>
    </w:p>
    <w:p>
      <w:pPr>
        <w:pStyle w:val="Normal"/>
        <w:spacing w:lineRule="auto" w:line="240"/>
        <w:ind w:firstLine="709"/>
        <w:rPr>
          <w:highlight w:val="white"/>
        </w:rPr>
      </w:pPr>
      <w:r>
        <w:rPr>
          <w:rFonts w:eastAsia="TimesNewRomanPS-BoldMT"/>
          <w:b w:val="false"/>
          <w:bCs w:val="false"/>
          <w:i w:val="false"/>
          <w:iCs w:val="false"/>
          <w:sz w:val="24"/>
          <w:szCs w:val="24"/>
          <w:shd w:fill="FFFFFF" w:val="clear"/>
          <w:lang w:eastAsia="en-US"/>
        </w:rPr>
        <w:t>1. Иметь действующую лицензию Центрального банка Российской Федерации (далее – ЦБ РФ) на осуществление банковских операций, при этом лицензия не должна быть приостановлена полностью или частично.</w:t>
      </w:r>
    </w:p>
    <w:p>
      <w:pPr>
        <w:pStyle w:val="Normal"/>
        <w:spacing w:lineRule="auto" w:line="240"/>
        <w:ind w:firstLine="709"/>
        <w:rPr>
          <w:highlight w:val="white"/>
        </w:rPr>
      </w:pPr>
      <w:r>
        <w:rPr>
          <w:rFonts w:eastAsia="TimesNewRomanPS-BoldMT"/>
          <w:b w:val="false"/>
          <w:bCs w:val="false"/>
          <w:i w:val="false"/>
          <w:iCs w:val="false"/>
          <w:sz w:val="24"/>
          <w:szCs w:val="24"/>
          <w:shd w:fill="FFFFFF" w:val="clear"/>
          <w:lang w:eastAsia="en-US"/>
        </w:rPr>
        <w:t>2. 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 ФЗ).</w:t>
      </w:r>
    </w:p>
    <w:p>
      <w:pPr>
        <w:pStyle w:val="Normal"/>
        <w:spacing w:lineRule="auto" w:line="240"/>
        <w:ind w:firstLine="709"/>
        <w:rPr>
          <w:highlight w:val="white"/>
        </w:rPr>
      </w:pPr>
      <w:r>
        <w:rPr>
          <w:rFonts w:eastAsia="TimesNewRomanPS-BoldMT"/>
          <w:b w:val="false"/>
          <w:bCs w:val="false"/>
          <w:i w:val="false"/>
          <w:iCs w:val="false"/>
          <w:sz w:val="24"/>
          <w:szCs w:val="24"/>
          <w:shd w:fill="FFFFFF" w:val="clear"/>
          <w:lang w:eastAsia="en-US"/>
        </w:rPr>
        <w:t xml:space="preserve">3. Иметь собственные средства (капитал) в размере не менее 25 млрд. рублей на 01 января текущего календарного года, </w:t>
      </w:r>
      <w:r>
        <w:rPr>
          <w:rFonts w:eastAsia="TimesNewRomanPS-BoldMT" w:cs="Times New Roman"/>
          <w:b w:val="false"/>
          <w:bCs w:val="false"/>
          <w:i w:val="false"/>
          <w:iCs w:val="false"/>
          <w:strike w:val="false"/>
          <w:dstrike w:val="false"/>
          <w:sz w:val="24"/>
          <w:szCs w:val="24"/>
          <w:shd w:fill="FFFFFF" w:val="clear"/>
          <w:lang w:eastAsia="en-US"/>
        </w:rPr>
        <w:t>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(www.cbr.ru) на официальных сайтах ЦБ РФ и / или кредитной организации либо представленной кредитной организации Обществу.</w:t>
      </w:r>
    </w:p>
    <w:p>
      <w:pPr>
        <w:pStyle w:val="Normal"/>
        <w:spacing w:lineRule="auto" w:line="240"/>
        <w:ind w:firstLine="709"/>
        <w:rPr/>
      </w:pPr>
      <w:r>
        <w:rPr>
          <w:rFonts w:eastAsia="TimesNewRomanPS-BoldMT"/>
          <w:b w:val="false"/>
          <w:bCs w:val="false"/>
          <w:i w:val="false"/>
          <w:iCs w:val="false"/>
          <w:sz w:val="24"/>
          <w:szCs w:val="24"/>
          <w:shd w:fill="FFFFFF" w:val="clear"/>
          <w:lang w:eastAsia="en-US"/>
        </w:rPr>
        <w:t>4. Иметь кредитный рейтинг по национальной шкале не ниже уровня «BBB» рейтингового агентства АКРА или не ниже уровня «ruBBB»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«Fitch-Ratings» или «Standard &amp; Poor's» либо уровня «Bа2» по классификации рейтингового агентства «Moody's Investors Service»</w:t>
      </w:r>
      <w:r>
        <w:rPr>
          <w:rStyle w:val="FootnoteCharacters"/>
          <w:rFonts w:eastAsia="TimesNewRomanPS-BoldMT"/>
          <w:i w:val="false"/>
          <w:sz w:val="24"/>
          <w:szCs w:val="24"/>
          <w:shd w:fill="FFFFFF" w:val="clear"/>
          <w:lang w:eastAsia="en-US"/>
        </w:rPr>
        <w:t xml:space="preserve"> </w:t>
      </w:r>
      <w:r>
        <w:rPr>
          <w:rStyle w:val="FootnoteCharacters"/>
          <w:rStyle w:val="Style12"/>
          <w:rFonts w:eastAsia="TimesNewRomanPS-BoldMT"/>
          <w:i w:val="false"/>
          <w:sz w:val="24"/>
          <w:szCs w:val="24"/>
          <w:shd w:fill="FFFFFF" w:val="clear"/>
          <w:lang w:eastAsia="en-US"/>
        </w:rPr>
        <w:footnoteReference w:id="19"/>
      </w:r>
      <w:r>
        <w:rPr>
          <w:rFonts w:eastAsia="TimesNewRomanPS-BoldMT"/>
          <w:b w:val="false"/>
          <w:bCs w:val="false"/>
          <w:i w:val="false"/>
          <w:iCs w:val="false"/>
          <w:sz w:val="24"/>
          <w:szCs w:val="24"/>
          <w:shd w:fill="FFFFFF" w:val="clear"/>
          <w:lang w:eastAsia="en-US"/>
        </w:rPr>
        <w:t>.</w:t>
      </w:r>
    </w:p>
    <w:p>
      <w:pPr>
        <w:pStyle w:val="Normal"/>
        <w:spacing w:lineRule="auto" w:line="240"/>
        <w:ind w:firstLine="709"/>
        <w:rPr/>
      </w:pPr>
      <w:r>
        <w:rPr>
          <w:rFonts w:eastAsia="TimesNewRomanPS-BoldMT"/>
          <w:b w:val="false"/>
          <w:bCs w:val="false"/>
          <w:i w:val="false"/>
          <w:iCs w:val="false"/>
          <w:sz w:val="24"/>
          <w:szCs w:val="24"/>
          <w:shd w:fill="FFFFFF" w:val="clear"/>
          <w:lang w:eastAsia="en-US"/>
        </w:rPr>
        <w:t>5. Участвовать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r>
        <w:rPr>
          <w:rStyle w:val="FootnoteCharacters"/>
          <w:rFonts w:eastAsia="TimesNewRomanPS-BoldMT"/>
          <w:b w:val="false"/>
          <w:i w:val="false"/>
          <w:sz w:val="24"/>
          <w:szCs w:val="24"/>
          <w:shd w:fill="FFFFFF" w:val="clear"/>
          <w:lang w:eastAsia="en-US"/>
        </w:rPr>
        <w:t xml:space="preserve"> </w:t>
      </w:r>
      <w:r>
        <w:rPr>
          <w:rStyle w:val="FootnoteCharacters"/>
          <w:rStyle w:val="Style12"/>
          <w:rFonts w:eastAsia="TimesNewRomanPS-BoldMT"/>
          <w:b w:val="false"/>
          <w:i w:val="false"/>
          <w:sz w:val="24"/>
          <w:szCs w:val="24"/>
          <w:shd w:fill="FFFFFF" w:val="clear"/>
          <w:lang w:eastAsia="en-US"/>
        </w:rPr>
        <w:footnoteReference w:id="20"/>
      </w:r>
      <w:r>
        <w:rPr>
          <w:rFonts w:eastAsia="TimesNewRomanPS-BoldMT"/>
          <w:b w:val="false"/>
          <w:bCs w:val="false"/>
          <w:i w:val="false"/>
          <w:iCs w:val="false"/>
          <w:sz w:val="24"/>
          <w:szCs w:val="24"/>
          <w:shd w:fill="FFFFFF" w:val="clear"/>
          <w:lang w:eastAsia="en-US"/>
        </w:rPr>
        <w:t>.</w:t>
      </w:r>
    </w:p>
    <w:p>
      <w:pPr>
        <w:pStyle w:val="Normal"/>
        <w:spacing w:lineRule="auto" w:line="240"/>
        <w:ind w:firstLine="709"/>
        <w:rPr/>
      </w:pPr>
      <w:r>
        <w:rPr>
          <w:rFonts w:eastAsia="TimesNewRomanPS-BoldMT"/>
          <w:b w:val="false"/>
          <w:bCs w:val="false"/>
          <w:i w:val="false"/>
          <w:iCs w:val="false"/>
          <w:sz w:val="24"/>
          <w:szCs w:val="24"/>
          <w:shd w:fill="FFFFFF" w:val="clear"/>
          <w:lang w:eastAsia="en-US"/>
        </w:rPr>
        <w:t>6. Не находиться в процессе финансового оздоровления (санации), а также в Реестре банков, находящихся в процессе финансового оздоровления (санкций) (опубликован на сайте Государственной корпорации «Агентство по страхованию вкладов» (</w:t>
      </w:r>
      <w:hyperlink r:id="rId9">
        <w:r>
          <w:rPr>
            <w:rStyle w:val="Style20"/>
            <w:rFonts w:eastAsia="TimesNewRomanPS-BoldMT"/>
            <w:b w:val="false"/>
            <w:bCs w:val="false"/>
            <w:i w:val="false"/>
            <w:iCs w:val="false"/>
            <w:sz w:val="24"/>
            <w:szCs w:val="24"/>
            <w:highlight w:val="white"/>
            <w:lang w:eastAsia="en-US"/>
          </w:rPr>
          <w:t>http://www.asv.org.ru</w:t>
        </w:r>
      </w:hyperlink>
      <w:r>
        <w:rPr>
          <w:rFonts w:eastAsia="TimesNewRomanPS-BoldMT"/>
          <w:b w:val="false"/>
          <w:bCs w:val="false"/>
          <w:i w:val="false"/>
          <w:iCs w:val="false"/>
          <w:sz w:val="24"/>
          <w:szCs w:val="24"/>
          <w:shd w:fill="FFFFFF" w:val="clear"/>
          <w:lang w:eastAsia="en-US"/>
        </w:rPr>
        <w:t>))».</w:t>
      </w:r>
    </w:p>
    <w:p>
      <w:pPr>
        <w:pStyle w:val="Normal"/>
        <w:spacing w:lineRule="auto" w:line="240"/>
        <w:ind w:firstLine="709"/>
        <w:rPr>
          <w:highlight w:val="white"/>
        </w:rPr>
      </w:pPr>
      <w:r>
        <w:rPr>
          <w:rFonts w:eastAsia="TimesNewRomanPS-BoldMT"/>
          <w:b w:val="false"/>
          <w:bCs w:val="false"/>
          <w:i w:val="false"/>
          <w:iCs w:val="false"/>
          <w:sz w:val="24"/>
          <w:szCs w:val="24"/>
          <w:shd w:fill="FFFFFF" w:val="clear"/>
          <w:lang w:eastAsia="en-US"/>
        </w:rPr>
        <w:t>7. Не иметь просроченную задолженность перед Обществом и компаниями Группы РусГидро.</w:t>
      </w:r>
    </w:p>
    <w:p>
      <w:pPr>
        <w:pStyle w:val="Normal"/>
        <w:spacing w:lineRule="auto" w:line="240"/>
        <w:ind w:firstLine="709"/>
        <w:rPr>
          <w:highlight w:val="white"/>
        </w:rPr>
      </w:pPr>
      <w:r>
        <w:rPr>
          <w:rFonts w:eastAsia="TimesNewRomanPS-BoldMT"/>
          <w:b w:val="false"/>
          <w:bCs w:val="false"/>
          <w:i w:val="false"/>
          <w:iCs w:val="false"/>
          <w:sz w:val="24"/>
          <w:szCs w:val="24"/>
          <w:shd w:fill="FFFFFF" w:val="clear"/>
          <w:lang w:eastAsia="en-US"/>
        </w:rPr>
        <w:t>8. Требования, установленные пунктами 2 – 4 настоящих Критериев, не распространяются на кредитные организации:</w:t>
      </w:r>
    </w:p>
    <w:p>
      <w:pPr>
        <w:pStyle w:val="2"/>
        <w:widowControl w:val="false"/>
        <w:spacing w:lineRule="auto" w:line="240" w:before="0" w:after="0"/>
        <w:rPr>
          <w:highlight w:val="white"/>
        </w:rPr>
      </w:pPr>
      <w:r>
        <w:rPr>
          <w:rFonts w:eastAsia="TimesNewRomanPS-BoldMT" w:ascii="Times New Roman" w:hAnsi="Times New Roman"/>
          <w:b w:val="false"/>
          <w:bCs w:val="false"/>
          <w:i w:val="false"/>
          <w:iCs w:val="false"/>
          <w:sz w:val="24"/>
          <w:szCs w:val="24"/>
          <w:shd w:fill="FFFFFF" w:val="clear"/>
          <w:lang w:eastAsia="en-US"/>
        </w:rPr>
        <w:t>8.1.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2"/>
        <w:widowControl w:val="false"/>
        <w:spacing w:lineRule="auto" w:line="240" w:before="0" w:after="0"/>
        <w:rPr>
          <w:highlight w:val="white"/>
        </w:rPr>
      </w:pPr>
      <w:r>
        <w:rPr>
          <w:rFonts w:eastAsia="TimesNewRomanPS-BoldMT" w:ascii="Times New Roman" w:hAnsi="Times New Roman"/>
          <w:b w:val="false"/>
          <w:bCs w:val="false"/>
          <w:i w:val="false"/>
          <w:iCs w:val="false"/>
          <w:sz w:val="24"/>
          <w:szCs w:val="24"/>
          <w:shd w:fill="FFFFFF" w:val="clear"/>
          <w:lang w:eastAsia="en-US"/>
        </w:rPr>
        <w:t>8.2. 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pPr>
        <w:pStyle w:val="2"/>
        <w:widowControl w:val="false"/>
        <w:spacing w:lineRule="auto" w:line="240" w:before="0" w:after="0"/>
        <w:rPr>
          <w:highlight w:val="white"/>
        </w:rPr>
      </w:pPr>
      <w:r>
        <w:rPr>
          <w:rFonts w:eastAsia="TimesNewRomanPS-BoldMT" w:ascii="Times New Roman" w:hAnsi="Times New Roman"/>
          <w:b w:val="false"/>
          <w:bCs w:val="false"/>
          <w:i w:val="false"/>
          <w:iCs w:val="false"/>
          <w:sz w:val="24"/>
          <w:szCs w:val="24"/>
          <w:shd w:fill="FFFFFF" w:val="clear"/>
          <w:lang w:eastAsia="en-US"/>
        </w:rPr>
        <w:t>8.3.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2"/>
        <w:widowControl w:val="false"/>
        <w:spacing w:lineRule="auto" w:line="240" w:before="0" w:after="0"/>
        <w:rPr>
          <w:highlight w:val="white"/>
        </w:rPr>
      </w:pPr>
      <w:r>
        <w:rPr>
          <w:rFonts w:eastAsia="TimesNewRomanPS-BoldMT" w:ascii="Times New Roman" w:hAnsi="Times New Roman"/>
          <w:b w:val="false"/>
          <w:bCs w:val="false"/>
          <w:i w:val="false"/>
          <w:iCs w:val="false"/>
          <w:sz w:val="24"/>
          <w:szCs w:val="24"/>
          <w:shd w:fill="FFFFFF" w:val="clear"/>
          <w:lang w:eastAsia="en-US"/>
        </w:rPr>
        <w:t>8.4. ВЭБ.РФ.</w:t>
      </w:r>
    </w:p>
    <w:p>
      <w:pPr>
        <w:pStyle w:val="Normal"/>
        <w:widowControl w:val="false"/>
        <w:spacing w:lineRule="auto" w:line="240" w:before="0" w:after="0"/>
        <w:rPr>
          <w:highlight w:val="white"/>
        </w:rPr>
      </w:pPr>
      <w:r>
        <w:rPr>
          <w:rFonts w:eastAsia="TimesNewRomanPS-BoldMT"/>
          <w:b w:val="false"/>
          <w:bCs w:val="false"/>
          <w:i w:val="false"/>
          <w:iCs w:val="false"/>
          <w:sz w:val="24"/>
          <w:szCs w:val="24"/>
          <w:shd w:fill="FFFFFF" w:val="clear"/>
          <w:lang w:eastAsia="en-US"/>
        </w:rPr>
        <w:t>8.5. Нерезидентов Российской Федерации.</w:t>
      </w:r>
    </w:p>
    <w:p>
      <w:pPr>
        <w:pStyle w:val="2"/>
        <w:widowControl w:val="false"/>
        <w:spacing w:lineRule="auto" w:line="240" w:before="0" w:after="0"/>
        <w:rPr>
          <w:highlight w:val="white"/>
        </w:rPr>
      </w:pPr>
      <w:r>
        <w:rPr>
          <w:rFonts w:eastAsia="TimesNewRomanPS-BoldMT" w:ascii="Times New Roman" w:hAnsi="Times New Roman"/>
          <w:b w:val="false"/>
          <w:bCs w:val="false"/>
          <w:i w:val="false"/>
          <w:iCs w:val="false"/>
          <w:sz w:val="24"/>
          <w:szCs w:val="24"/>
          <w:shd w:fill="FFFFFF" w:val="clear"/>
          <w:lang w:eastAsia="en-US"/>
        </w:rPr>
        <w:t>9. 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pPr>
        <w:pStyle w:val="2"/>
        <w:widowControl w:val="false"/>
        <w:spacing w:lineRule="auto" w:line="240" w:before="0" w:after="0"/>
        <w:jc w:val="center"/>
        <w:rPr>
          <w:highlight w:val="white"/>
        </w:rPr>
      </w:pPr>
      <w:r>
        <w:rPr>
          <w:rFonts w:eastAsia="TimesNewRomanPS-BoldMT" w:ascii="Times New Roman" w:hAnsi="Times New Roman"/>
          <w:bCs w:val="false"/>
          <w:i w:val="false"/>
          <w:iCs w:val="false"/>
          <w:sz w:val="24"/>
          <w:szCs w:val="24"/>
          <w:shd w:fill="FFFFFF" w:val="clear"/>
          <w:lang w:eastAsia="en-US"/>
        </w:rPr>
        <w:t>LimAi = ri × СKi,</w:t>
      </w:r>
      <w:r>
        <w:rPr>
          <w:rFonts w:eastAsia="TimesNewRomanPS-BoldMT" w:ascii="Times New Roman" w:hAnsi="Times New Roman"/>
          <w:b w:val="false"/>
          <w:bCs w:val="false"/>
          <w:i w:val="false"/>
          <w:iCs w:val="false"/>
          <w:sz w:val="24"/>
          <w:szCs w:val="24"/>
          <w:shd w:fill="FFFFFF" w:val="clear"/>
          <w:lang w:eastAsia="en-US"/>
        </w:rPr>
        <w:t xml:space="preserve"> где</w:t>
      </w:r>
    </w:p>
    <w:p>
      <w:pPr>
        <w:pStyle w:val="2"/>
        <w:widowControl w:val="false"/>
        <w:spacing w:lineRule="auto" w:line="240" w:before="0" w:after="0"/>
        <w:rPr>
          <w:highlight w:val="white"/>
        </w:rPr>
      </w:pPr>
      <w:r>
        <w:rPr>
          <w:rFonts w:eastAsia="TimesNewRomanPS-BoldMT" w:ascii="Times New Roman" w:hAnsi="Times New Roman"/>
          <w:bCs w:val="false"/>
          <w:i w:val="false"/>
          <w:iCs w:val="false"/>
          <w:sz w:val="24"/>
          <w:szCs w:val="24"/>
          <w:shd w:fill="FFFFFF" w:val="clear"/>
          <w:lang w:eastAsia="en-US"/>
        </w:rPr>
        <w:t>LimAi</w:t>
      </w:r>
      <w:r>
        <w:rPr>
          <w:rFonts w:eastAsia="TimesNewRomanPS-BoldMT" w:ascii="Times New Roman" w:hAnsi="Times New Roman"/>
          <w:b w:val="false"/>
          <w:bCs w:val="false"/>
          <w:i w:val="false"/>
          <w:iCs w:val="false"/>
          <w:sz w:val="24"/>
          <w:szCs w:val="24"/>
          <w:shd w:fill="FFFFFF" w:val="clear"/>
          <w:lang w:eastAsia="en-US"/>
        </w:rPr>
        <w:t xml:space="preserve"> - Лимит риска для i-ой кредитной организации</w:t>
      </w:r>
      <w:r>
        <w:rPr>
          <w:rStyle w:val="Style12"/>
          <w:rFonts w:eastAsia="TimesNewRomanPS-BoldMT" w:ascii="Times New Roman" w:hAnsi="Times New Roman"/>
          <w:b w:val="false"/>
          <w:bCs w:val="false"/>
          <w:i w:val="false"/>
          <w:iCs w:val="false"/>
          <w:sz w:val="24"/>
          <w:szCs w:val="24"/>
          <w:shd w:fill="FFFFFF" w:val="clear"/>
          <w:lang w:eastAsia="en-US"/>
        </w:rPr>
        <w:footnoteReference w:id="21"/>
      </w:r>
      <w:r>
        <w:rPr>
          <w:rFonts w:eastAsia="TimesNewRomanPS-BoldMT" w:ascii="Times New Roman" w:hAnsi="Times New Roman"/>
          <w:b w:val="false"/>
          <w:bCs w:val="false"/>
          <w:i w:val="false"/>
          <w:iCs w:val="false"/>
          <w:sz w:val="24"/>
          <w:szCs w:val="24"/>
          <w:shd w:fill="FFFFFF" w:val="clear"/>
          <w:lang w:eastAsia="en-US"/>
        </w:rPr>
        <w:t>.</w:t>
      </w:r>
    </w:p>
    <w:p>
      <w:pPr>
        <w:pStyle w:val="2"/>
        <w:widowControl w:val="false"/>
        <w:spacing w:lineRule="auto" w:line="240" w:before="0" w:after="0"/>
        <w:rPr>
          <w:highlight w:val="white"/>
        </w:rPr>
      </w:pPr>
      <w:r>
        <w:rPr>
          <w:rFonts w:eastAsia="TimesNewRomanPS-BoldMT" w:ascii="Times New Roman" w:hAnsi="Times New Roman"/>
          <w:bCs w:val="false"/>
          <w:i w:val="false"/>
          <w:iCs w:val="false"/>
          <w:sz w:val="24"/>
          <w:szCs w:val="24"/>
          <w:shd w:fill="FFFFFF" w:val="clear"/>
          <w:lang w:eastAsia="en-US"/>
        </w:rPr>
        <w:t>СKi</w:t>
      </w:r>
      <w:r>
        <w:rPr>
          <w:rFonts w:eastAsia="TimesNewRomanPS-BoldMT" w:ascii="Times New Roman" w:hAnsi="Times New Roman"/>
          <w:b w:val="false"/>
          <w:bCs w:val="false"/>
          <w:i w:val="false"/>
          <w:iCs w:val="false"/>
          <w:sz w:val="24"/>
          <w:szCs w:val="24"/>
          <w:shd w:fill="FFFFFF" w:val="clear"/>
          <w:lang w:eastAsia="en-US"/>
        </w:rPr>
        <w:t xml:space="preserve"> - размер собственных средств (капитала) i-ой кредитной организации на 01 января текущего календарного года, </w:t>
      </w:r>
      <w:r>
        <w:rPr>
          <w:rFonts w:eastAsia="TimesNewRomanPS-BoldMT" w:cs="Times New Roman" w:ascii="Times New Roman" w:hAnsi="Times New Roman"/>
          <w:b w:val="false"/>
          <w:bCs w:val="false"/>
          <w:i w:val="false"/>
          <w:iCs w:val="false"/>
          <w:sz w:val="24"/>
          <w:szCs w:val="24"/>
          <w:shd w:fill="FFFFFF" w:val="clear"/>
          <w:lang w:eastAsia="en-US"/>
        </w:rPr>
        <w:t>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(www.cbr.ru) на официальных сайтах ЦБ РФ и / или кредитной организации либо представленной кредитной организацией Обществу;</w:t>
      </w:r>
    </w:p>
    <w:p>
      <w:pPr>
        <w:pStyle w:val="2"/>
        <w:widowControl w:val="false"/>
        <w:spacing w:lineRule="auto" w:line="240" w:before="0" w:after="0"/>
        <w:rPr>
          <w:highlight w:val="white"/>
        </w:rPr>
      </w:pPr>
      <w:r>
        <w:rPr>
          <w:rFonts w:eastAsia="TimesNewRomanPS-BoldMT" w:ascii="Times New Roman" w:hAnsi="Times New Roman"/>
          <w:bCs w:val="false"/>
          <w:i w:val="false"/>
          <w:iCs w:val="false"/>
          <w:sz w:val="24"/>
          <w:szCs w:val="24"/>
          <w:shd w:fill="FFFFFF" w:val="clear"/>
          <w:lang w:eastAsia="en-US"/>
        </w:rPr>
        <w:t xml:space="preserve">ri </w:t>
      </w:r>
      <w:r>
        <w:rPr>
          <w:rFonts w:eastAsia="TimesNewRomanPS-BoldMT" w:ascii="Times New Roman" w:hAnsi="Times New Roman"/>
          <w:b w:val="false"/>
          <w:bCs w:val="false"/>
          <w:i w:val="false"/>
          <w:iCs w:val="false"/>
          <w:sz w:val="24"/>
          <w:szCs w:val="24"/>
          <w:shd w:fill="FFFFFF" w:val="clear"/>
          <w:lang w:eastAsia="en-US"/>
        </w:rPr>
        <w:t>- рейтинговый коэффициент</w:t>
      </w:r>
      <w:r>
        <w:rPr>
          <w:rStyle w:val="Style12"/>
          <w:rFonts w:eastAsia="TimesNewRomanPS-BoldMT" w:ascii="Times New Roman" w:hAnsi="Times New Roman"/>
          <w:b w:val="false"/>
          <w:bCs w:val="false"/>
          <w:i w:val="false"/>
          <w:iCs w:val="false"/>
          <w:sz w:val="24"/>
          <w:szCs w:val="24"/>
          <w:shd w:fill="FFFFFF" w:val="clear"/>
          <w:lang w:eastAsia="en-US"/>
        </w:rPr>
        <w:footnoteReference w:id="22"/>
      </w:r>
      <w:r>
        <w:rPr>
          <w:rFonts w:eastAsia="TimesNewRomanPS-BoldMT" w:ascii="Times New Roman" w:hAnsi="Times New Roman"/>
          <w:b w:val="false"/>
          <w:bCs w:val="false"/>
          <w:i w:val="false"/>
          <w:iCs w:val="false"/>
          <w:sz w:val="24"/>
          <w:szCs w:val="24"/>
          <w:shd w:fill="FFFFFF" w:val="clear"/>
          <w:lang w:eastAsia="en-US"/>
        </w:rPr>
        <w:t xml:space="preserve"> для i-ой кредитной организации, равный:</w:t>
      </w:r>
    </w:p>
    <w:p>
      <w:pPr>
        <w:pStyle w:val="2"/>
        <w:widowControl w:val="false"/>
        <w:spacing w:lineRule="auto" w:line="240" w:before="0" w:after="0"/>
        <w:rPr>
          <w:highlight w:val="white"/>
        </w:rPr>
      </w:pPr>
      <w:r>
        <w:rPr>
          <w:rFonts w:eastAsia="TimesNewRomanPS-BoldMT" w:ascii="Times New Roman" w:hAnsi="Times New Roman"/>
          <w:bCs w:val="false"/>
          <w:i w:val="false"/>
          <w:iCs w:val="false"/>
          <w:sz w:val="24"/>
          <w:szCs w:val="24"/>
          <w:shd w:fill="FFFFFF" w:val="clear"/>
          <w:lang w:eastAsia="en-US"/>
        </w:rPr>
        <w:t>0,075</w:t>
      </w:r>
      <w:r>
        <w:rPr>
          <w:rFonts w:eastAsia="TimesNewRomanPS-BoldMT" w:ascii="Times New Roman" w:hAnsi="Times New Roman"/>
          <w:b w:val="false"/>
          <w:bCs w:val="false"/>
          <w:i w:val="false"/>
          <w:iCs w:val="false"/>
          <w:sz w:val="24"/>
          <w:szCs w:val="24"/>
          <w:shd w:fill="FFFFFF" w:val="clear"/>
          <w:lang w:eastAsia="en-US"/>
        </w:rPr>
        <w:t xml:space="preserve"> - если i-ая кредитная организация имеет национальный рейтинг кредитоспособности не ниже уровня «</w:t>
      </w:r>
      <w:r>
        <w:rPr>
          <w:rFonts w:eastAsia="TimesNewRomanPS-BoldMT" w:ascii="Times New Roman" w:hAnsi="Times New Roman"/>
          <w:bCs w:val="false"/>
          <w:i w:val="false"/>
          <w:iCs w:val="false"/>
          <w:sz w:val="24"/>
          <w:szCs w:val="24"/>
          <w:shd w:fill="FFFFFF" w:val="clear"/>
          <w:lang w:eastAsia="en-US"/>
        </w:rPr>
        <w:t>АА-</w:t>
      </w:r>
      <w:r>
        <w:rPr>
          <w:rFonts w:eastAsia="TimesNewRomanPS-BoldMT" w:ascii="Times New Roman" w:hAnsi="Times New Roman"/>
          <w:b w:val="false"/>
          <w:bCs w:val="false"/>
          <w:i w:val="false"/>
          <w:iCs w:val="false"/>
          <w:sz w:val="24"/>
          <w:szCs w:val="24"/>
          <w:shd w:fill="FFFFFF" w:val="clear"/>
          <w:lang w:eastAsia="en-US"/>
        </w:rPr>
        <w:t>» по классификации рейтингового агентства АКРА или не ниже уровня «ruАA-» по классификации рейтингового агентства Эксперт РА;</w:t>
      </w:r>
    </w:p>
    <w:p>
      <w:pPr>
        <w:pStyle w:val="2"/>
        <w:widowControl w:val="false"/>
        <w:spacing w:lineRule="auto" w:line="240" w:before="0" w:after="0"/>
        <w:rPr>
          <w:highlight w:val="white"/>
        </w:rPr>
      </w:pPr>
      <w:r>
        <w:rPr>
          <w:rFonts w:eastAsia="TimesNewRomanPS-BoldMT" w:ascii="Times New Roman" w:hAnsi="Times New Roman"/>
          <w:bCs w:val="false"/>
          <w:i w:val="false"/>
          <w:iCs w:val="false"/>
          <w:sz w:val="24"/>
          <w:szCs w:val="24"/>
          <w:shd w:fill="FFFFFF" w:val="clear"/>
          <w:lang w:eastAsia="en-US"/>
        </w:rPr>
        <w:t>0,05</w:t>
      </w:r>
      <w:r>
        <w:rPr>
          <w:rFonts w:eastAsia="TimesNewRomanPS-BoldMT" w:ascii="Times New Roman" w:hAnsi="Times New Roman"/>
          <w:b w:val="false"/>
          <w:bCs w:val="false"/>
          <w:i w:val="false"/>
          <w:iCs w:val="false"/>
          <w:sz w:val="24"/>
          <w:szCs w:val="24"/>
          <w:shd w:fill="FFFFFF" w:val="clear"/>
          <w:lang w:eastAsia="en-US"/>
        </w:rPr>
        <w:t xml:space="preserve"> - если i-ая кредитная организация имеет национальный рейтинг кредитоспособности не ниже уровня «</w:t>
      </w:r>
      <w:r>
        <w:rPr>
          <w:rFonts w:eastAsia="TimesNewRomanPS-BoldMT" w:ascii="Times New Roman" w:hAnsi="Times New Roman"/>
          <w:bCs w:val="false"/>
          <w:i w:val="false"/>
          <w:iCs w:val="false"/>
          <w:sz w:val="24"/>
          <w:szCs w:val="24"/>
          <w:shd w:fill="FFFFFF" w:val="clear"/>
          <w:lang w:eastAsia="en-US"/>
        </w:rPr>
        <w:t>А-</w:t>
      </w:r>
      <w:r>
        <w:rPr>
          <w:rFonts w:eastAsia="TimesNewRomanPS-BoldMT" w:ascii="Times New Roman" w:hAnsi="Times New Roman"/>
          <w:b w:val="false"/>
          <w:bCs w:val="false"/>
          <w:i w:val="false"/>
          <w:iCs w:val="false"/>
          <w:sz w:val="24"/>
          <w:szCs w:val="24"/>
          <w:shd w:fill="FFFFFF" w:val="clear"/>
          <w:lang w:eastAsia="en-US"/>
        </w:rPr>
        <w:t>» по классификации рейтингового агентства АКРА или не ниже уровня «ruA-» по классификации рейтингового агентства Эксперт РА;</w:t>
      </w:r>
    </w:p>
    <w:p>
      <w:pPr>
        <w:pStyle w:val="2"/>
        <w:widowControl w:val="false"/>
        <w:spacing w:lineRule="auto" w:line="240" w:before="0" w:after="0"/>
        <w:rPr>
          <w:highlight w:val="white"/>
        </w:rPr>
      </w:pPr>
      <w:r>
        <w:rPr>
          <w:rFonts w:eastAsia="TimesNewRomanPS-BoldMT" w:ascii="Times New Roman" w:hAnsi="Times New Roman"/>
          <w:bCs w:val="false"/>
          <w:i w:val="false"/>
          <w:iCs w:val="false"/>
          <w:sz w:val="24"/>
          <w:szCs w:val="24"/>
          <w:shd w:fill="FFFFFF" w:val="clear"/>
          <w:lang w:eastAsia="en-US"/>
        </w:rPr>
        <w:t>0,025</w:t>
      </w:r>
      <w:r>
        <w:rPr>
          <w:rFonts w:eastAsia="TimesNewRomanPS-BoldMT" w:ascii="Times New Roman" w:hAnsi="Times New Roman"/>
          <w:b w:val="false"/>
          <w:bCs w:val="false"/>
          <w:i w:val="false"/>
          <w:iCs w:val="false"/>
          <w:sz w:val="24"/>
          <w:szCs w:val="24"/>
          <w:shd w:fill="FFFFFF" w:val="clear"/>
          <w:lang w:eastAsia="en-US"/>
        </w:rPr>
        <w:t xml:space="preserve"> - если i-ая кредитная организация имеет национальный рейтинг кредитоспособности не ниже уровня «</w:t>
      </w:r>
      <w:r>
        <w:rPr>
          <w:rFonts w:eastAsia="TimesNewRomanPS-BoldMT" w:ascii="Times New Roman" w:hAnsi="Times New Roman"/>
          <w:bCs w:val="false"/>
          <w:i w:val="false"/>
          <w:iCs w:val="false"/>
          <w:sz w:val="24"/>
          <w:szCs w:val="24"/>
          <w:shd w:fill="FFFFFF" w:val="clear"/>
          <w:lang w:eastAsia="en-US"/>
        </w:rPr>
        <w:t>BBВ</w:t>
      </w:r>
      <w:r>
        <w:rPr>
          <w:rFonts w:eastAsia="TimesNewRomanPS-BoldMT" w:ascii="Times New Roman" w:hAnsi="Times New Roman"/>
          <w:b w:val="false"/>
          <w:bCs w:val="false"/>
          <w:i w:val="false"/>
          <w:iCs w:val="false"/>
          <w:sz w:val="24"/>
          <w:szCs w:val="24"/>
          <w:shd w:fill="FFFFFF" w:val="clear"/>
          <w:lang w:eastAsia="en-US"/>
        </w:rPr>
        <w:t>» по классификации рейтингового агентства АКРА или не ниже уровня «ruBBВ» по классификации рейтингового агентства Эксперт РА, а также находится в процессе финансового оздоровления (санации).</w:t>
      </w:r>
    </w:p>
    <w:p>
      <w:pPr>
        <w:pStyle w:val="Normal"/>
        <w:spacing w:lineRule="auto" w:line="240"/>
        <w:rPr>
          <w:rFonts w:ascii="Times New Roman" w:hAnsi="Times New Roman" w:eastAsia="TimesNewRomanPS-BoldMT"/>
          <w:sz w:val="24"/>
          <w:szCs w:val="24"/>
          <w:shd w:fill="FFFFFF" w:val="clear"/>
        </w:rPr>
      </w:pPr>
      <w:r>
        <w:rPr>
          <w:rFonts w:eastAsia="TimesNewRomanPS-BoldMT"/>
          <w:sz w:val="24"/>
          <w:szCs w:val="24"/>
          <w:shd w:fill="FFFFFF" w:val="clear"/>
        </w:rPr>
      </w:r>
    </w:p>
    <w:p>
      <w:pPr>
        <w:pStyle w:val="Normal"/>
        <w:keepNext w:val="true"/>
        <w:keepLines/>
        <w:tabs>
          <w:tab w:val="left" w:pos="3360" w:leader="none"/>
        </w:tabs>
        <w:spacing w:lineRule="auto" w:line="240"/>
        <w:jc w:val="center"/>
        <w:rPr>
          <w:highlight w:val="white"/>
        </w:rPr>
      </w:pPr>
      <w:r>
        <w:rPr>
          <w:b/>
          <w:sz w:val="24"/>
          <w:szCs w:val="24"/>
          <w:shd w:fill="FFFFFF" w:val="clear"/>
        </w:rPr>
        <w:t>Подписи Сторон:</w:t>
      </w:r>
    </w:p>
    <w:p>
      <w:pPr>
        <w:pStyle w:val="Normal"/>
        <w:keepNext w:val="true"/>
        <w:keepLines/>
        <w:tabs>
          <w:tab w:val="left" w:pos="3360" w:leader="none"/>
        </w:tabs>
        <w:spacing w:lineRule="auto" w:line="240"/>
        <w:rPr/>
      </w:pPr>
      <w:r>
        <w:rPr/>
      </w:r>
    </w:p>
    <w:sectPr>
      <w:headerReference w:type="default" r:id="rId10"/>
      <w:footerReference w:type="default" r:id="rId11"/>
      <w:footnotePr>
        <w:numFmt w:val="decimal"/>
      </w:footnotePr>
      <w:type w:val="nextPage"/>
      <w:pgSz w:w="11906" w:h="16838"/>
      <w:pgMar w:left="1418" w:right="851" w:header="567" w:top="1134" w:footer="284" w:bottom="1134" w:gutter="0"/>
      <w:pgNumType w:fmt="decimal"/>
      <w:formProt w:val="false"/>
      <w:textDirection w:val="lrTb"/>
      <w:docGrid w:type="default" w:linePitch="360" w:charSpace="429495295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Tahom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Verdana">
    <w:charset w:val="01"/>
    <w:family w:val="roman"/>
    <w:pitch w:val="variable"/>
  </w:font>
  <w:font w:name="Arial">
    <w:charset w:val="01"/>
    <w:family w:val="roman"/>
    <w:pitch w:val="variable"/>
  </w:font>
  <w:font w:name="Courier New">
    <w:charset w:val="01"/>
    <w:family w:val="roman"/>
    <w:pitch w:val="variable"/>
  </w:font>
  <w:font w:name="Symbol">
    <w:charset w:val="02"/>
    <w:family w:val="auto"/>
    <w:pitch w:val="default"/>
  </w:font>
  <w:font w:name="Courier New">
    <w:charset w:val="01"/>
    <w:family w:val="auto"/>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spacing w:before="0" w:after="160"/>
      <w:rPr>
        <w:rFonts w:ascii="Times New Roman" w:hAnsi="Times New Roman" w:cs="Times New Roman"/>
        <w:sz w:val="18"/>
        <w:szCs w:val="18"/>
      </w:rPr>
    </w:pPr>
    <w:r>
      <w:rPr>
        <w:rFonts w:cs="Times New Roman" w:ascii="Times New Roman" w:hAnsi="Times New Roman"/>
        <w:sz w:val="18"/>
        <w:szCs w:val="18"/>
        <w:lang w:val="ru-RU"/>
      </w:rPr>
      <w:t xml:space="preserve">Документ распечатан из программы 1С: Документооборот. </w:t>
    </w:r>
    <w:r>
      <w:rPr>
        <w:rFonts w:cs="Times New Roman" w:ascii="Times New Roman" w:hAnsi="Times New Roman"/>
        <w:sz w:val="18"/>
        <w:szCs w:val="18"/>
      </w:rPr>
      <w:t>Версия файла 2.</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42"/>
      <w:ind w:hanging="0"/>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Style37"/>
        <w:widowControl w:val="false"/>
        <w:spacing w:before="0" w:after="0"/>
        <w:jc w:val="both"/>
        <w:rPr>
          <w:color w:val="000000"/>
          <w:u w:val="none"/>
        </w:rPr>
      </w:pPr>
      <w:r>
        <w:rPr>
          <w:rStyle w:val="Style11"/>
        </w:rPr>
        <w:footnoteRef/>
        <w:tab/>
      </w:r>
      <w:r>
        <w:rPr>
          <w:color w:val="000000"/>
          <w:u w:val="none"/>
        </w:rPr>
        <w:t xml:space="preserve"> </w:t>
      </w:r>
      <w:r>
        <w:rPr>
          <w:rFonts w:ascii="Liberation Serif" w:hAnsi="Liberation Serif"/>
          <w:color w:val="000000"/>
          <w:sz w:val="18"/>
          <w:szCs w:val="18"/>
          <w:u w:val="none"/>
        </w:rPr>
        <w:t>Включается в случае, если предметом Договора предусмотрено выполнение инженерных изысканий, включающих проведение:</w:t>
      </w:r>
    </w:p>
    <w:p>
      <w:pPr>
        <w:pStyle w:val="Style37"/>
        <w:widowControl w:val="false"/>
        <w:spacing w:before="0" w:after="0"/>
        <w:rPr>
          <w:rFonts w:ascii="Liberation Serif" w:hAnsi="Liberation Serif"/>
          <w:sz w:val="18"/>
          <w:szCs w:val="18"/>
        </w:rPr>
      </w:pPr>
      <w:r>
        <w:rPr>
          <w:rFonts w:ascii="Liberation Serif" w:hAnsi="Liberation Serif"/>
          <w:color w:val="000000"/>
          <w:sz w:val="18"/>
          <w:szCs w:val="18"/>
          <w:u w:val="none"/>
        </w:rPr>
        <w:tab/>
        <w:t>- буровых рабо</w:t>
      </w:r>
      <w:r>
        <w:rPr>
          <w:rFonts w:eastAsia="Times New Roman" w:cs="Times New Roman" w:ascii="Liberation Serif" w:hAnsi="Liberation Serif"/>
          <w:color w:val="000000"/>
          <w:sz w:val="18"/>
          <w:szCs w:val="18"/>
          <w:u w:val="none"/>
          <w:lang w:eastAsia="ru-RU"/>
        </w:rPr>
        <w:t>т (бурения инженерно-геологических скважин)</w:t>
      </w:r>
      <w:r>
        <w:rPr>
          <w:rFonts w:ascii="Liberation Serif" w:hAnsi="Liberation Serif"/>
          <w:color w:val="000000"/>
          <w:sz w:val="18"/>
          <w:szCs w:val="18"/>
          <w:u w:val="none"/>
        </w:rPr>
        <w:t>;</w:t>
      </w:r>
    </w:p>
    <w:p>
      <w:pPr>
        <w:pStyle w:val="Style37"/>
        <w:widowControl w:val="false"/>
        <w:spacing w:before="0" w:after="0"/>
        <w:rPr>
          <w:rFonts w:ascii="Liberation Serif" w:hAnsi="Liberation Serif"/>
          <w:color w:val="000000"/>
          <w:sz w:val="18"/>
          <w:szCs w:val="18"/>
          <w:u w:val="none"/>
        </w:rPr>
      </w:pPr>
      <w:r>
        <w:rPr>
          <w:rFonts w:ascii="Liberation Serif" w:hAnsi="Liberation Serif"/>
          <w:color w:val="000000"/>
          <w:sz w:val="18"/>
          <w:szCs w:val="18"/>
          <w:u w:val="none"/>
        </w:rPr>
        <w:tab/>
        <w:t>- отбора проб грунта и воды;</w:t>
      </w:r>
    </w:p>
    <w:p>
      <w:pPr>
        <w:pStyle w:val="Style37"/>
        <w:widowControl w:val="false"/>
        <w:spacing w:before="0" w:after="0"/>
        <w:rPr>
          <w:rFonts w:ascii="Liberation Serif" w:hAnsi="Liberation Serif"/>
          <w:color w:val="000000"/>
          <w:sz w:val="18"/>
          <w:szCs w:val="18"/>
          <w:u w:val="none"/>
        </w:rPr>
      </w:pPr>
      <w:r>
        <w:rPr>
          <w:rFonts w:ascii="Liberation Serif" w:hAnsi="Liberation Serif"/>
          <w:color w:val="000000"/>
          <w:sz w:val="18"/>
          <w:szCs w:val="18"/>
          <w:u w:val="none"/>
        </w:rPr>
        <w:tab/>
        <w:t xml:space="preserve"> -полевых испытаний грунтов;</w:t>
      </w:r>
    </w:p>
    <w:p>
      <w:pPr>
        <w:pStyle w:val="Style37"/>
        <w:widowControl w:val="false"/>
        <w:spacing w:before="0" w:after="0"/>
        <w:rPr>
          <w:rFonts w:ascii="Liberation Serif" w:hAnsi="Liberation Serif"/>
          <w:color w:val="000000"/>
          <w:sz w:val="18"/>
          <w:szCs w:val="18"/>
          <w:u w:val="none"/>
        </w:rPr>
      </w:pPr>
      <w:r>
        <w:rPr>
          <w:rFonts w:ascii="Liberation Serif" w:hAnsi="Liberation Serif"/>
          <w:color w:val="000000"/>
          <w:sz w:val="18"/>
          <w:szCs w:val="18"/>
          <w:u w:val="none"/>
        </w:rPr>
        <w:tab/>
        <w:t>- геодезических работ (закрепления точек, съемки);</w:t>
      </w:r>
    </w:p>
    <w:p>
      <w:pPr>
        <w:pStyle w:val="Style37"/>
        <w:widowControl w:val="false"/>
        <w:spacing w:before="0" w:after="0"/>
        <w:rPr>
          <w:rFonts w:ascii="Liberation Serif" w:hAnsi="Liberation Serif"/>
          <w:color w:val="000000"/>
          <w:sz w:val="18"/>
          <w:szCs w:val="18"/>
          <w:u w:val="none"/>
        </w:rPr>
      </w:pPr>
      <w:r>
        <w:rPr>
          <w:rFonts w:ascii="Liberation Serif" w:hAnsi="Liberation Serif"/>
          <w:color w:val="000000"/>
          <w:sz w:val="18"/>
          <w:szCs w:val="18"/>
          <w:u w:val="none"/>
        </w:rPr>
        <w:tab/>
        <w:t>- экологических изысканий (отбора проб, обследования территории);</w:t>
      </w:r>
    </w:p>
    <w:p>
      <w:pPr>
        <w:pStyle w:val="Style37"/>
        <w:widowControl w:val="false"/>
        <w:spacing w:before="0" w:after="0"/>
        <w:rPr>
          <w:rFonts w:ascii="Liberation Serif" w:hAnsi="Liberation Serif"/>
          <w:color w:val="000000"/>
          <w:sz w:val="18"/>
          <w:szCs w:val="18"/>
          <w:u w:val="none"/>
        </w:rPr>
      </w:pPr>
      <w:r>
        <w:rPr>
          <w:rFonts w:ascii="Liberation Serif" w:hAnsi="Liberation Serif"/>
          <w:color w:val="000000"/>
          <w:sz w:val="18"/>
          <w:szCs w:val="18"/>
          <w:u w:val="none"/>
        </w:rPr>
        <w:tab/>
        <w:t>- обследования существующих объектов и сооружений;</w:t>
      </w:r>
    </w:p>
    <w:p>
      <w:pPr>
        <w:pStyle w:val="Style37"/>
        <w:widowControl w:val="false"/>
        <w:spacing w:before="0" w:after="0"/>
        <w:rPr/>
      </w:pPr>
      <w:r>
        <w:rPr>
          <w:rFonts w:ascii="Liberation Serif" w:hAnsi="Liberation Serif"/>
          <w:color w:val="000000"/>
          <w:sz w:val="18"/>
          <w:szCs w:val="18"/>
          <w:u w:val="none"/>
        </w:rPr>
        <w:tab/>
        <w:t>- иных видов работ, определенных Техническим заданием.</w:t>
      </w:r>
    </w:p>
  </w:footnote>
  <w:footnote w:id="3">
    <w:p>
      <w:pPr>
        <w:pStyle w:val="Style37"/>
        <w:jc w:val="both"/>
        <w:rPr/>
      </w:pPr>
      <w:r>
        <w:rPr>
          <w:rStyle w:val="Style11"/>
        </w:rPr>
        <w:footnoteRef/>
        <w:tab/>
      </w:r>
      <w:r>
        <w:rPr/>
        <w:t xml:space="preserve"> </w:t>
      </w:r>
      <w:r>
        <w:rPr/>
        <w:t>Необходимость участия Подрядчика в конкретном СРО определяется в зависимости от состава Работ, выполняемых по Договору.</w:t>
      </w:r>
    </w:p>
  </w:footnote>
  <w:footnote w:id="4">
    <w:p>
      <w:pPr>
        <w:pStyle w:val="Style37"/>
        <w:jc w:val="both"/>
        <w:rPr/>
      </w:pPr>
      <w:r>
        <w:rPr>
          <w:rStyle w:val="Style11"/>
        </w:rPr>
        <w:footnoteRef/>
        <w:tab/>
      </w:r>
      <w:r>
        <w:rPr/>
        <w:t xml:space="preserve"> </w:t>
      </w:r>
      <w:r>
        <w:rPr/>
        <w:t>Не требуется членство в СРО контрагентов по договорам на проведение инженерных изысканий, разработку проектной документации в следующих случаях:</w:t>
      </w:r>
    </w:p>
    <w:p>
      <w:pPr>
        <w:pStyle w:val="Style37"/>
        <w:tabs>
          <w:tab w:val="left" w:pos="284" w:leader="none"/>
        </w:tabs>
        <w:jc w:val="both"/>
        <w:rPr/>
      </w:pPr>
      <w:r>
        <w:rPr/>
        <w:tab/>
        <w:t>-при выполнении работ в отношении строительства, реконструкции, не являющихся объектами капитального строительства;</w:t>
      </w:r>
    </w:p>
    <w:p>
      <w:pPr>
        <w:pStyle w:val="Style37"/>
        <w:tabs>
          <w:tab w:val="left" w:pos="284" w:leader="none"/>
        </w:tabs>
        <w:jc w:val="both"/>
        <w:rPr/>
      </w:pPr>
      <w:r>
        <w:rPr/>
        <w:tab/>
        <w:t>-</w:t>
        <w:tab/>
        <w:t>при выполнении работ в отношении строительства, реконструкции на земельном участке строений и сооружений вспомогательного использования;</w:t>
      </w:r>
    </w:p>
    <w:p>
      <w:pPr>
        <w:pStyle w:val="Style37"/>
        <w:tabs>
          <w:tab w:val="left" w:pos="284" w:leader="none"/>
        </w:tabs>
        <w:jc w:val="both"/>
        <w:rPr/>
      </w:pPr>
      <w:r>
        <w:rPr/>
        <w:tab/>
        <w:t>-</w:t>
        <w:tab/>
        <w:t>для выполнения работ по договорам, заключенным с иными лицами, кроме застройщика, технического заказчика, лица, ответственного за эксплуатацию здания, сооружения.</w:t>
      </w:r>
    </w:p>
  </w:footnote>
  <w:footnote w:id="5">
    <w:p>
      <w:pPr>
        <w:pStyle w:val="Style37"/>
        <w:jc w:val="both"/>
        <w:rPr/>
      </w:pPr>
      <w:r>
        <w:rPr>
          <w:rStyle w:val="Style11"/>
        </w:rPr>
        <w:footnoteRef/>
        <w:tab/>
      </w:r>
      <w:r>
        <w:rPr/>
        <w:t xml:space="preserve"> </w:t>
      </w:r>
      <w:r>
        <w:rPr/>
        <w:t>Пункт включается в текст Договора в случае, если к Договору прикладывается полный комплект сметной документации.</w:t>
      </w:r>
    </w:p>
  </w:footnote>
  <w:footnote w:id="6">
    <w:p>
      <w:pPr>
        <w:pStyle w:val="Style37"/>
        <w:rPr/>
      </w:pPr>
      <w:r>
        <w:rPr>
          <w:rStyle w:val="Style11"/>
        </w:rPr>
        <w:footnoteRef/>
        <w:tab/>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7">
    <w:p>
      <w:pPr>
        <w:pStyle w:val="Style37"/>
        <w:rPr/>
      </w:pPr>
      <w:r>
        <w:rPr>
          <w:rStyle w:val="Style11"/>
        </w:rPr>
        <w:footnoteRef/>
        <w:tab/>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8">
    <w:p>
      <w:pPr>
        <w:pStyle w:val="Style37"/>
        <w:jc w:val="both"/>
        <w:rPr/>
      </w:pPr>
      <w:r>
        <w:rPr>
          <w:rStyle w:val="Style11"/>
        </w:rPr>
        <w:footnoteRef/>
        <w:tab/>
      </w:r>
      <w:r>
        <w:rPr/>
        <w:t xml:space="preserve"> </w:t>
      </w:r>
      <w:r>
        <w:rPr/>
        <w:t xml:space="preserve">Затраты на непредвиденные работы и затраты не включаются в стоимость Этапов Работ. Лимиты на такие работы и затраты указываются на основании Сводной сметы в </w:t>
      </w:r>
      <w:r>
        <w:rPr>
          <w:bCs/>
        </w:rPr>
        <w:t>Календарном графике выполнения Работ (Приложение № 2 к Договору) справочно за рамками Этапов Работ.</w:t>
      </w:r>
    </w:p>
  </w:footnote>
  <w:footnote w:id="9">
    <w:p>
      <w:pPr>
        <w:pStyle w:val="Style37"/>
        <w:rPr/>
      </w:pPr>
      <w:r>
        <w:rPr>
          <w:rStyle w:val="Style11"/>
        </w:rPr>
        <w:footnoteRef/>
        <w:tab/>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10">
    <w:p>
      <w:pPr>
        <w:pStyle w:val="Style37"/>
        <w:rPr/>
      </w:pPr>
      <w:r>
        <w:rPr>
          <w:rStyle w:val="Style11"/>
        </w:rPr>
        <w:footnoteRef/>
        <w:tab/>
      </w:r>
      <w:r>
        <w:rPr>
          <w:rFonts w:ascii="Liberation Serif" w:hAnsi="Liberation Serif"/>
          <w:sz w:val="22"/>
          <w:szCs w:val="22"/>
        </w:rPr>
        <w:t xml:space="preserve"> </w:t>
      </w:r>
      <w:r>
        <w:rPr>
          <w:rFonts w:ascii="Liberation Serif" w:hAnsi="Liberation Serif"/>
          <w:sz w:val="22"/>
          <w:szCs w:val="22"/>
        </w:rPr>
        <w:t>Приказ ФНС России от 20.01.2025 N ЕД-7-26/28@ «</w:t>
      </w:r>
      <w:r>
        <w:rPr>
          <w:rFonts w:ascii="Liberation Serif" w:hAnsi="Liberation Serif"/>
          <w:b w:val="false"/>
        </w:rPr>
        <w:t>О признании утратившими силу приказов ФНС России от 30.11.2015 N ММВ-7-10/551@ "Об утверждении формата представления документа о передаче товаров при торговых операциях в электронной форме" и от 30.11.2015 N ММВ-7-10/552@ "Об утверждении формата представления документа о передаче результатов работ (документа об оказании услуг) в электронной форме»</w:t>
      </w:r>
    </w:p>
  </w:footnote>
  <w:footnote w:id="11">
    <w:p>
      <w:pPr>
        <w:pStyle w:val="Style37"/>
        <w:jc w:val="both"/>
        <w:rPr/>
      </w:pPr>
      <w:r>
        <w:rPr>
          <w:rStyle w:val="Style11"/>
        </w:rPr>
        <w:footnoteRef/>
        <w:tab/>
      </w:r>
      <w:r>
        <w:rPr/>
        <w:t xml:space="preserve"> </w:t>
      </w:r>
      <w:r>
        <w:rPr/>
        <w:t>В отношении Независимой  гарантии возврата авансового платежа пункт применяется при отсутствии соглашения Сторон или официального письма Подрядчика об отказе от авансовых платежей, требующих обеспечения независимой гарантией, и от предоставления указанной независимой гарантии.</w:t>
      </w:r>
    </w:p>
  </w:footnote>
  <w:footnote w:id="12">
    <w:p>
      <w:pPr>
        <w:pStyle w:val="Style37"/>
        <w:jc w:val="both"/>
        <w:rPr/>
      </w:pPr>
      <w:r>
        <w:rPr>
          <w:rStyle w:val="Style11"/>
        </w:rPr>
        <w:footnoteRef/>
        <w:tab/>
      </w:r>
      <w:r>
        <w:rPr/>
        <w:t xml:space="preserve"> </w:t>
      </w:r>
      <w:r>
        <w:rPr/>
        <w:t>В случае если членство в СРО требуется в соответствии с законодательством Российской Федерации.</w:t>
      </w:r>
    </w:p>
  </w:footnote>
  <w:footnote w:id="13">
    <w:p>
      <w:pPr>
        <w:pStyle w:val="Style37"/>
        <w:jc w:val="both"/>
        <w:rPr/>
      </w:pPr>
      <w:r>
        <w:rPr>
          <w:rStyle w:val="Style11"/>
        </w:rPr>
        <w:footnoteRef/>
        <w:tab/>
      </w:r>
      <w:r>
        <w:rPr/>
        <w:t xml:space="preserve"> </w:t>
      </w:r>
      <w:r>
        <w:rPr/>
        <w:t>В случае если членство в СРО требуется в соответствии с законодательством Российской Федерации.</w:t>
      </w:r>
    </w:p>
  </w:footnote>
  <w:footnote w:id="14">
    <w:p>
      <w:pPr>
        <w:pStyle w:val="Style37"/>
        <w:jc w:val="both"/>
        <w:rPr/>
      </w:pPr>
      <w:r>
        <w:rPr>
          <w:rStyle w:val="Style11"/>
        </w:rPr>
        <w:footnoteRef/>
        <w:tab/>
      </w:r>
      <w:r>
        <w:rPr/>
        <w:t xml:space="preserve"> </w:t>
      </w:r>
      <w:r>
        <w:rPr/>
        <w:t>Срок 60 кал.дней применяется для договоров срок окончания выполнения работ по которым составляет более 6 (шести) месяцев с момента заключения договора.</w:t>
      </w:r>
    </w:p>
  </w:footnote>
  <w:footnote w:id="15">
    <w:p>
      <w:pPr>
        <w:pStyle w:val="Style37"/>
        <w:jc w:val="both"/>
        <w:rPr/>
      </w:pPr>
      <w:r>
        <w:rPr>
          <w:rStyle w:val="Style11"/>
        </w:rPr>
        <w:footnoteRef/>
        <w:tab/>
      </w:r>
      <w:r>
        <w:rPr/>
        <w:t xml:space="preserve"> </w:t>
      </w:r>
      <w:r>
        <w:rPr/>
        <w:t>В случае если членство в СРО требуется в соответствии с законодательством Российской Федерации.</w:t>
      </w:r>
    </w:p>
  </w:footnote>
  <w:footnote w:id="16">
    <w:p>
      <w:pPr>
        <w:pStyle w:val="Style37"/>
        <w:jc w:val="both"/>
        <w:rPr/>
      </w:pPr>
      <w:r>
        <w:rPr>
          <w:rStyle w:val="Style11"/>
        </w:rPr>
        <w:footnoteRef/>
        <w:tab/>
      </w:r>
      <w:r>
        <w:rPr/>
        <w:t xml:space="preserve"> </w:t>
      </w:r>
      <w:r>
        <w:rPr/>
        <w:t>С учетом комментариев к пункту 2.3.10 Договора.</w:t>
      </w:r>
    </w:p>
  </w:footnote>
  <w:footnote w:id="17">
    <w:p>
      <w:pPr>
        <w:pStyle w:val="Style37"/>
        <w:widowControl w:val="false"/>
        <w:spacing w:before="0" w:after="0"/>
        <w:jc w:val="both"/>
        <w:rPr/>
      </w:pPr>
      <w:r>
        <w:rPr>
          <w:rStyle w:val="Style11"/>
        </w:rPr>
        <w:footnoteRef/>
        <w:tab/>
      </w:r>
      <w:r>
        <w:rPr/>
        <w:t xml:space="preserve"> </w:t>
      </w:r>
      <w:r>
        <w:rPr>
          <w:rFonts w:eastAsia="Times New Roman" w:cs="Times New Roman"/>
          <w:color w:val="000000"/>
          <w:sz w:val="12"/>
          <w:szCs w:val="12"/>
          <w:u w:val="none"/>
          <w:lang w:eastAsia="ru-RU"/>
        </w:rPr>
        <w:t xml:space="preserve"> </w:t>
      </w:r>
      <w:r>
        <w:rPr>
          <w:rFonts w:eastAsia="Times New Roman" w:cs="Times New Roman" w:ascii="Liberation Serif" w:hAnsi="Liberation Serif"/>
          <w:color w:val="000000"/>
          <w:sz w:val="18"/>
          <w:szCs w:val="18"/>
          <w:u w:val="none"/>
          <w:lang w:eastAsia="ru-RU"/>
        </w:rPr>
        <w:t>Включается в случае, если предметом Договора предусмотрено выполнение инженерных изысканий, включающих проведение:</w:t>
      </w:r>
    </w:p>
    <w:p>
      <w:pPr>
        <w:pStyle w:val="Style37"/>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ab/>
        <w:t>- буровых работ (бурения инженерно-геологических скважин);</w:t>
      </w:r>
    </w:p>
    <w:p>
      <w:pPr>
        <w:pStyle w:val="Style37"/>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ab/>
        <w:t>- отбора проб грунта и воды;</w:t>
      </w:r>
    </w:p>
    <w:p>
      <w:pPr>
        <w:pStyle w:val="Style37"/>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ab/>
        <w:t xml:space="preserve"> -полевых испытаний грунтов;</w:t>
      </w:r>
    </w:p>
    <w:p>
      <w:pPr>
        <w:pStyle w:val="Style37"/>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ab/>
        <w:t>- геодезических работ (закрепления точек, съемки);</w:t>
      </w:r>
    </w:p>
    <w:p>
      <w:pPr>
        <w:pStyle w:val="Style37"/>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ab/>
        <w:t>- экологических изысканий (отбора проб, обследования территории);</w:t>
      </w:r>
    </w:p>
    <w:p>
      <w:pPr>
        <w:pStyle w:val="Style37"/>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ab/>
        <w:t>- обследования существующих объектов и сооружений;</w:t>
      </w:r>
    </w:p>
    <w:p>
      <w:pPr>
        <w:pStyle w:val="Style37"/>
        <w:widowControl w:val="false"/>
        <w:spacing w:before="0" w:after="0"/>
        <w:rPr/>
      </w:pPr>
      <w:r>
        <w:rPr>
          <w:rFonts w:eastAsia="Times New Roman" w:cs="Times New Roman" w:ascii="Liberation Serif" w:hAnsi="Liberation Serif"/>
          <w:color w:val="000000"/>
          <w:sz w:val="18"/>
          <w:szCs w:val="18"/>
          <w:u w:val="none"/>
          <w:lang w:eastAsia="ru-RU"/>
        </w:rPr>
        <w:tab/>
        <w:t xml:space="preserve">- иных видов работ, определенных Техническим заданием. </w:t>
      </w:r>
    </w:p>
  </w:footnote>
  <w:footnote w:id="18">
    <w:p>
      <w:pPr>
        <w:pStyle w:val="Style37"/>
        <w:rPr/>
      </w:pPr>
      <w:r>
        <w:rPr>
          <w:rStyle w:val="Style11"/>
        </w:rPr>
        <w:footnoteRef/>
        <w:tab/>
      </w:r>
      <w:r>
        <w:rPr/>
        <w:t xml:space="preserve"> </w:t>
      </w:r>
      <w:r>
        <w:rPr/>
        <w:t>Актуальный Перечень Банков-Гарантов Группы РусГидро размещен на официальном сайте Общества</w:t>
      </w:r>
    </w:p>
    <w:p>
      <w:pPr>
        <w:pStyle w:val="Style37"/>
        <w:rPr/>
      </w:pPr>
      <w:r>
        <w:rPr/>
        <w:tab/>
      </w:r>
      <w:r>
        <w:rPr>
          <w:shd w:fill="FFFFFF" w:val="clear"/>
          <w:lang w:val="ru-RU"/>
        </w:rPr>
        <w:t>(</w:t>
      </w:r>
      <w:hyperlink r:id="rId1">
        <w:r>
          <w:rPr>
            <w:rStyle w:val="Style20"/>
            <w:highlight w:val="white"/>
            <w:lang w:val="ru-RU"/>
          </w:rPr>
          <w:t>https://drsk.ru/investors/disclosure/dokumenty/vnutrennie-dokumenty-obshchestva/inye-dokumenty/</w:t>
        </w:r>
      </w:hyperlink>
      <w:r>
        <w:rPr>
          <w:shd w:fill="FFFFFF" w:val="clear"/>
          <w:lang w:val="ru-RU"/>
        </w:rPr>
        <w:t>).</w:t>
      </w:r>
    </w:p>
  </w:footnote>
  <w:footnote w:id="19">
    <w:p>
      <w:pPr>
        <w:pStyle w:val="Style37"/>
        <w:jc w:val="both"/>
        <w:rPr/>
      </w:pPr>
      <w:r>
        <w:rPr>
          <w:rStyle w:val="Style11"/>
        </w:rPr>
        <w:footnoteRef/>
        <w:tab/>
      </w:r>
      <w:r>
        <w:rPr/>
        <w:t xml:space="preserve"> </w:t>
      </w:r>
      <w:r>
        <w:rPr/>
        <w:t>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Reuters, Bloomberg, Сbonds).</w:t>
      </w:r>
    </w:p>
  </w:footnote>
  <w:footnote w:id="20">
    <w:p>
      <w:pPr>
        <w:pStyle w:val="Style37"/>
        <w:jc w:val="both"/>
        <w:rPr/>
      </w:pPr>
      <w:r>
        <w:rPr>
          <w:rStyle w:val="Style11"/>
        </w:rPr>
        <w:footnoteRef/>
        <w:tab/>
      </w:r>
      <w:r>
        <w:rPr/>
        <w:t xml:space="preserve"> </w:t>
      </w:r>
      <w:r>
        <w:rPr/>
        <w:t>Данное требование не применяется в отношении небанковских кредитных организаций.</w:t>
      </w:r>
    </w:p>
  </w:footnote>
  <w:footnote w:id="21">
    <w:p>
      <w:pPr>
        <w:pStyle w:val="Style37"/>
        <w:jc w:val="both"/>
        <w:rPr/>
      </w:pPr>
      <w:r>
        <w:rPr>
          <w:rStyle w:val="Style11"/>
        </w:rPr>
        <w:footnoteRef/>
        <w:tab/>
      </w:r>
      <w:r>
        <w:rPr/>
        <w:t xml:space="preserve"> </w:t>
      </w:r>
      <w:r>
        <w:rPr/>
        <w:t>Значение показателя округляется в большую или меньшую сторону до суммы, кратной 100 млн. руб. по правилам математического округления. В случае, если первая из отделяемых цифр меньше 5 -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к установлению - 5 400 млн. руб.; расчетное значение лимита - 5 450 млн. руб., лимит к установлению - 5 500 млн. руб..</w:t>
      </w:r>
    </w:p>
  </w:footnote>
  <w:footnote w:id="22">
    <w:p>
      <w:pPr>
        <w:pStyle w:val="Style37"/>
        <w:jc w:val="both"/>
        <w:rPr/>
      </w:pPr>
      <w:r>
        <w:rPr>
          <w:rStyle w:val="Style11"/>
        </w:rPr>
        <w:footnoteRef/>
        <w:tab/>
      </w:r>
      <w:r>
        <w:rPr/>
        <w:t xml:space="preserve"> </w:t>
      </w:r>
      <w:r>
        <w:rPr/>
        <w:t>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Reuters, Bloomberg, Сbonds).</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5"/>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hd w:val="clear" w:color="auto" w:fill="FFFFFF"/>
      <w:tabs>
        <w:tab w:val="left" w:pos="3148" w:leader="none"/>
        <w:tab w:val="center" w:pos="4818" w:leader="none"/>
        <w:tab w:val="left" w:pos="6926" w:leader="none"/>
      </w:tabs>
      <w:spacing w:lineRule="auto" w:line="240"/>
      <w:ind w:hanging="0"/>
      <w:rPr>
        <w:i/>
        <w:i/>
        <w:sz w:val="22"/>
      </w:rPr>
    </w:pPr>
    <w:r>
      <w:rPr>
        <w:i/>
        <w:sz w:val="22"/>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5"/>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5"/>
      <w:ind w:hanging="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2204" w:hanging="360"/>
      </w:pPr>
      <w:rPr>
        <w:sz w:val="24"/>
        <w:b/>
      </w:rPr>
    </w:lvl>
    <w:lvl w:ilvl="1">
      <w:start w:val="1"/>
      <w:numFmt w:val="decimal"/>
      <w:lvlText w:val="%1.%2."/>
      <w:lvlJc w:val="left"/>
      <w:pPr>
        <w:ind w:left="574" w:hanging="432"/>
      </w:pPr>
      <w:rPr>
        <w:sz w:val="24"/>
        <w:u w:val="none"/>
        <w:b/>
      </w:rPr>
    </w:lvl>
    <w:lvl w:ilvl="2">
      <w:start w:val="1"/>
      <w:numFmt w:val="decimal"/>
      <w:lvlText w:val="%1.%2.%3."/>
      <w:lvlJc w:val="left"/>
      <w:pPr>
        <w:ind w:left="504" w:hanging="504"/>
      </w:pPr>
      <w:rPr>
        <w:sz w:val="24"/>
        <w:b/>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lvl w:ilvl="0">
      <w:start w:val="1"/>
      <w:numFmt w:val="bullet"/>
      <w:lvlText w:val=""/>
      <w:lvlJc w:val="left"/>
      <w:pPr>
        <w:ind w:left="1287" w:hanging="360"/>
      </w:pPr>
      <w:rPr>
        <w:rFonts w:ascii="Symbol" w:hAnsi="Symbol" w:cs="Symbol" w:hint="default"/>
        <w:sz w:val="24"/>
        <w:b/>
        <w:rFonts w:cs="Symbol"/>
      </w:rPr>
    </w:lvl>
    <w:lvl w:ilvl="1">
      <w:start w:val="1"/>
      <w:numFmt w:val="bullet"/>
      <w:lvlText w:val="o"/>
      <w:lvlJc w:val="left"/>
      <w:pPr>
        <w:ind w:left="2007" w:hanging="360"/>
      </w:pPr>
      <w:rPr>
        <w:rFonts w:ascii="Courier New" w:hAnsi="Courier New" w:cs="Courier New" w:hint="default"/>
        <w:rFonts w:cs="Courier New"/>
      </w:rPr>
    </w:lvl>
    <w:lvl w:ilvl="2">
      <w:start w:val="1"/>
      <w:numFmt w:val="bullet"/>
      <w:lvlText w:val=""/>
      <w:lvlJc w:val="left"/>
      <w:pPr>
        <w:ind w:left="2727" w:hanging="360"/>
      </w:pPr>
      <w:rPr>
        <w:rFonts w:ascii="Wingdings" w:hAnsi="Wingdings" w:cs="Wingdings" w:hint="default"/>
        <w:rFonts w:cs="Wingdings"/>
      </w:rPr>
    </w:lvl>
    <w:lvl w:ilvl="3">
      <w:start w:val="1"/>
      <w:numFmt w:val="bullet"/>
      <w:lvlText w:val=""/>
      <w:lvlJc w:val="left"/>
      <w:pPr>
        <w:ind w:left="3447" w:hanging="360"/>
      </w:pPr>
      <w:rPr>
        <w:rFonts w:ascii="Symbol" w:hAnsi="Symbol" w:cs="Symbol" w:hint="default"/>
        <w:rFonts w:cs="Symbol"/>
      </w:rPr>
    </w:lvl>
    <w:lvl w:ilvl="4">
      <w:start w:val="1"/>
      <w:numFmt w:val="bullet"/>
      <w:lvlText w:val="o"/>
      <w:lvlJc w:val="left"/>
      <w:pPr>
        <w:ind w:left="4167" w:hanging="360"/>
      </w:pPr>
      <w:rPr>
        <w:rFonts w:ascii="Courier New" w:hAnsi="Courier New" w:cs="Courier New" w:hint="default"/>
        <w:rFonts w:cs="Courier New"/>
      </w:rPr>
    </w:lvl>
    <w:lvl w:ilvl="5">
      <w:start w:val="1"/>
      <w:numFmt w:val="bullet"/>
      <w:lvlText w:val=""/>
      <w:lvlJc w:val="left"/>
      <w:pPr>
        <w:ind w:left="4887" w:hanging="360"/>
      </w:pPr>
      <w:rPr>
        <w:rFonts w:ascii="Wingdings" w:hAnsi="Wingdings" w:cs="Wingdings" w:hint="default"/>
        <w:rFonts w:cs="Wingdings"/>
      </w:rPr>
    </w:lvl>
    <w:lvl w:ilvl="6">
      <w:start w:val="1"/>
      <w:numFmt w:val="bullet"/>
      <w:lvlText w:val=""/>
      <w:lvlJc w:val="left"/>
      <w:pPr>
        <w:ind w:left="5607" w:hanging="360"/>
      </w:pPr>
      <w:rPr>
        <w:rFonts w:ascii="Symbol" w:hAnsi="Symbol" w:cs="Symbol" w:hint="default"/>
        <w:rFonts w:cs="Symbol"/>
      </w:rPr>
    </w:lvl>
    <w:lvl w:ilvl="7">
      <w:start w:val="1"/>
      <w:numFmt w:val="bullet"/>
      <w:lvlText w:val="o"/>
      <w:lvlJc w:val="left"/>
      <w:pPr>
        <w:ind w:left="6327" w:hanging="360"/>
      </w:pPr>
      <w:rPr>
        <w:rFonts w:ascii="Courier New" w:hAnsi="Courier New" w:cs="Courier New" w:hint="default"/>
        <w:rFonts w:cs="Courier New"/>
      </w:rPr>
    </w:lvl>
    <w:lvl w:ilvl="8">
      <w:start w:val="1"/>
      <w:numFmt w:val="bullet"/>
      <w:lvlText w:val=""/>
      <w:lvlJc w:val="left"/>
      <w:pPr>
        <w:ind w:left="7047" w:hanging="360"/>
      </w:pPr>
      <w:rPr>
        <w:rFonts w:ascii="Wingdings" w:hAnsi="Wingdings" w:cs="Wingdings" w:hint="default"/>
        <w:rFonts w:cs="Wingdings"/>
      </w:rPr>
    </w:lvl>
  </w:abstractNum>
  <w:abstractNum w:abstractNumId="3">
    <w:lvl w:ilvl="0">
      <w:start w:val="1"/>
      <w:numFmt w:val="bullet"/>
      <w:lvlText w:val=""/>
      <w:lvlJc w:val="left"/>
      <w:pPr>
        <w:ind w:left="1428" w:hanging="360"/>
      </w:pPr>
      <w:rPr>
        <w:rFonts w:ascii="Symbol" w:hAnsi="Symbol" w:cs="Symbol" w:hint="default"/>
        <w:sz w:val="24"/>
        <w:rFonts w:cs="Symbol"/>
      </w:rPr>
    </w:lvl>
    <w:lvl w:ilvl="1">
      <w:start w:val="1"/>
      <w:numFmt w:val="bullet"/>
      <w:lvlText w:val="o"/>
      <w:lvlJc w:val="left"/>
      <w:pPr>
        <w:ind w:left="2148" w:hanging="360"/>
      </w:pPr>
      <w:rPr>
        <w:rFonts w:ascii="Courier New" w:hAnsi="Courier New" w:cs="Courier New" w:hint="default"/>
        <w:rFonts w:cs="Courier New"/>
      </w:rPr>
    </w:lvl>
    <w:lvl w:ilvl="2">
      <w:start w:val="1"/>
      <w:numFmt w:val="bullet"/>
      <w:lvlText w:val=""/>
      <w:lvlJc w:val="left"/>
      <w:pPr>
        <w:ind w:left="2868" w:hanging="360"/>
      </w:pPr>
      <w:rPr>
        <w:rFonts w:ascii="Wingdings" w:hAnsi="Wingdings" w:cs="Wingdings" w:hint="default"/>
        <w:rFonts w:cs="Wingdings"/>
      </w:rPr>
    </w:lvl>
    <w:lvl w:ilvl="3">
      <w:start w:val="1"/>
      <w:numFmt w:val="bullet"/>
      <w:lvlText w:val=""/>
      <w:lvlJc w:val="left"/>
      <w:pPr>
        <w:ind w:left="3588" w:hanging="360"/>
      </w:pPr>
      <w:rPr>
        <w:rFonts w:ascii="Symbol" w:hAnsi="Symbol" w:cs="Symbol" w:hint="default"/>
        <w:rFonts w:cs="Symbol"/>
      </w:rPr>
    </w:lvl>
    <w:lvl w:ilvl="4">
      <w:start w:val="1"/>
      <w:numFmt w:val="bullet"/>
      <w:lvlText w:val="o"/>
      <w:lvlJc w:val="left"/>
      <w:pPr>
        <w:ind w:left="4308" w:hanging="360"/>
      </w:pPr>
      <w:rPr>
        <w:rFonts w:ascii="Courier New" w:hAnsi="Courier New" w:cs="Courier New" w:hint="default"/>
        <w:rFonts w:cs="Courier New"/>
      </w:rPr>
    </w:lvl>
    <w:lvl w:ilvl="5">
      <w:start w:val="1"/>
      <w:numFmt w:val="bullet"/>
      <w:lvlText w:val=""/>
      <w:lvlJc w:val="left"/>
      <w:pPr>
        <w:ind w:left="5028" w:hanging="360"/>
      </w:pPr>
      <w:rPr>
        <w:rFonts w:ascii="Wingdings" w:hAnsi="Wingdings" w:cs="Wingdings" w:hint="default"/>
        <w:rFonts w:cs="Wingdings"/>
      </w:rPr>
    </w:lvl>
    <w:lvl w:ilvl="6">
      <w:start w:val="1"/>
      <w:numFmt w:val="bullet"/>
      <w:lvlText w:val=""/>
      <w:lvlJc w:val="left"/>
      <w:pPr>
        <w:ind w:left="5748" w:hanging="360"/>
      </w:pPr>
      <w:rPr>
        <w:rFonts w:ascii="Symbol" w:hAnsi="Symbol" w:cs="Symbol" w:hint="default"/>
        <w:rFonts w:cs="Symbol"/>
      </w:rPr>
    </w:lvl>
    <w:lvl w:ilvl="7">
      <w:start w:val="1"/>
      <w:numFmt w:val="bullet"/>
      <w:lvlText w:val="o"/>
      <w:lvlJc w:val="left"/>
      <w:pPr>
        <w:ind w:left="6468" w:hanging="360"/>
      </w:pPr>
      <w:rPr>
        <w:rFonts w:ascii="Courier New" w:hAnsi="Courier New" w:cs="Courier New" w:hint="default"/>
        <w:rFonts w:cs="Courier New"/>
      </w:rPr>
    </w:lvl>
    <w:lvl w:ilvl="8">
      <w:start w:val="1"/>
      <w:numFmt w:val="bullet"/>
      <w:lvlText w:val=""/>
      <w:lvlJc w:val="left"/>
      <w:pPr>
        <w:ind w:left="7188" w:hanging="360"/>
      </w:pPr>
      <w:rPr>
        <w:rFonts w:ascii="Wingdings" w:hAnsi="Wingdings" w:cs="Wingdings" w:hint="default"/>
        <w:rFonts w:cs="Wingdings"/>
      </w:rPr>
    </w:lvl>
  </w:abstractNum>
  <w:abstractNum w:abstractNumId="4">
    <w:lvl w:ilvl="0">
      <w:start w:val="1"/>
      <w:numFmt w:val="bullet"/>
      <w:lvlText w:val=""/>
      <w:lvlJc w:val="left"/>
      <w:pPr>
        <w:ind w:left="1429" w:hanging="360"/>
      </w:pPr>
      <w:rPr>
        <w:rFonts w:ascii="Symbol" w:hAnsi="Symbol" w:cs="Symbol" w:hint="default"/>
        <w:sz w:val="24"/>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5">
    <w:lvl w:ilvl="0">
      <w:start w:val="1"/>
      <w:numFmt w:val="bullet"/>
      <w:lvlText w:val=""/>
      <w:lvlJc w:val="left"/>
      <w:pPr>
        <w:ind w:left="1429" w:hanging="360"/>
      </w:pPr>
      <w:rPr>
        <w:rFonts w:ascii="Symbol" w:hAnsi="Symbol" w:cs="Symbol" w:hint="default"/>
        <w:sz w:val="24"/>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6">
    <w:lvl w:ilvl="0">
      <w:start w:val="1"/>
      <w:numFmt w:val="bullet"/>
      <w:lvlText w:val=""/>
      <w:lvlJc w:val="left"/>
      <w:pPr>
        <w:ind w:left="1429" w:hanging="360"/>
      </w:pPr>
      <w:rPr>
        <w:rFonts w:ascii="Symbol" w:hAnsi="Symbol" w:cs="Symbol" w:hint="default"/>
        <w:sz w:val="24"/>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7">
    <w:lvl w:ilvl="0">
      <w:start w:val="1"/>
      <w:numFmt w:val="bullet"/>
      <w:lvlText w:val=""/>
      <w:lvlJc w:val="left"/>
      <w:pPr>
        <w:ind w:left="720" w:hanging="360"/>
      </w:pPr>
      <w:rPr>
        <w:rFonts w:ascii="Symbol" w:hAnsi="Symbol" w:cs="Symbol" w:hint="default"/>
        <w:sz w:val="24"/>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8">
    <w:lvl w:ilvl="0">
      <w:start w:val="1"/>
      <w:numFmt w:val="bullet"/>
      <w:lvlText w:val=""/>
      <w:lvlJc w:val="left"/>
      <w:pPr>
        <w:ind w:left="1429" w:hanging="360"/>
      </w:pPr>
      <w:rPr>
        <w:rFonts w:ascii="Symbol" w:hAnsi="Symbol" w:cs="Symbol" w:hint="default"/>
        <w:sz w:val="24"/>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9">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cs="Symbol" w:hint="default"/>
        <w:u w:val="none"/>
        <w:b/>
        <w:rFonts w:cs="Symbol"/>
      </w:rPr>
    </w:lvl>
    <w:lvl w:ilvl="2">
      <w:start w:val="1"/>
      <w:numFmt w:val="decimal"/>
      <w:lvlText w:val="%1.%2.%3."/>
      <w:lvlJc w:val="left"/>
      <w:pPr>
        <w:ind w:left="1355" w:hanging="504"/>
      </w:pPr>
      <w:rPr>
        <w:sz w:val="24"/>
        <w:b w:val="false"/>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lvl w:ilvl="0">
      <w:start w:val="1"/>
      <w:numFmt w:val="bullet"/>
      <w:lvlText w:val=""/>
      <w:lvlJc w:val="left"/>
      <w:pPr>
        <w:ind w:left="1429" w:hanging="360"/>
      </w:pPr>
      <w:rPr>
        <w:rFonts w:ascii="Symbol" w:hAnsi="Symbol" w:cs="Symbol" w:hint="default"/>
        <w:sz w:val="24"/>
        <w:b/>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11">
    <w:lvl w:ilvl="0">
      <w:start w:val="1"/>
      <w:numFmt w:val="bullet"/>
      <w:lvlText w:val=""/>
      <w:lvlJc w:val="left"/>
      <w:pPr>
        <w:ind w:left="1429" w:hanging="360"/>
      </w:pPr>
      <w:rPr>
        <w:rFonts w:ascii="Symbol" w:hAnsi="Symbol" w:cs="Symbol" w:hint="default"/>
        <w:sz w:val="24"/>
        <w:b/>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12">
    <w:lvl w:ilvl="0">
      <w:start w:val="1"/>
      <w:numFmt w:val="bullet"/>
      <w:lvlText w:val=""/>
      <w:lvlJc w:val="left"/>
      <w:pPr>
        <w:ind w:left="1429" w:hanging="360"/>
      </w:pPr>
      <w:rPr>
        <w:rFonts w:ascii="Symbol" w:hAnsi="Symbol" w:cs="Symbol" w:hint="default"/>
        <w:sz w:val="24"/>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13">
    <w:lvl w:ilvl="0">
      <w:start w:val="1"/>
      <w:numFmt w:val="bullet"/>
      <w:lvlText w:val=""/>
      <w:lvlJc w:val="left"/>
      <w:pPr>
        <w:ind w:left="1637" w:hanging="360"/>
      </w:pPr>
      <w:rPr>
        <w:rFonts w:ascii="Symbol" w:hAnsi="Symbol" w:cs="Symbol" w:hint="default"/>
        <w:sz w:val="24"/>
        <w:b/>
        <w:rFonts w:cs="Symbol"/>
      </w:rPr>
    </w:lvl>
    <w:lvl w:ilvl="1">
      <w:start w:val="1"/>
      <w:numFmt w:val="bullet"/>
      <w:lvlText w:val="o"/>
      <w:lvlJc w:val="left"/>
      <w:pPr>
        <w:ind w:left="2007" w:hanging="360"/>
      </w:pPr>
      <w:rPr>
        <w:rFonts w:ascii="Courier New" w:hAnsi="Courier New" w:cs="Courier New" w:hint="default"/>
        <w:rFonts w:cs="Courier New"/>
      </w:rPr>
    </w:lvl>
    <w:lvl w:ilvl="2">
      <w:start w:val="1"/>
      <w:numFmt w:val="bullet"/>
      <w:lvlText w:val=""/>
      <w:lvlJc w:val="left"/>
      <w:pPr>
        <w:ind w:left="2727" w:hanging="360"/>
      </w:pPr>
      <w:rPr>
        <w:rFonts w:ascii="Wingdings" w:hAnsi="Wingdings" w:cs="Wingdings" w:hint="default"/>
        <w:rFonts w:cs="Wingdings"/>
      </w:rPr>
    </w:lvl>
    <w:lvl w:ilvl="3">
      <w:start w:val="1"/>
      <w:numFmt w:val="bullet"/>
      <w:lvlText w:val=""/>
      <w:lvlJc w:val="left"/>
      <w:pPr>
        <w:ind w:left="3447" w:hanging="360"/>
      </w:pPr>
      <w:rPr>
        <w:rFonts w:ascii="Symbol" w:hAnsi="Symbol" w:cs="Symbol" w:hint="default"/>
        <w:rFonts w:cs="Symbol"/>
      </w:rPr>
    </w:lvl>
    <w:lvl w:ilvl="4">
      <w:start w:val="1"/>
      <w:numFmt w:val="bullet"/>
      <w:lvlText w:val="o"/>
      <w:lvlJc w:val="left"/>
      <w:pPr>
        <w:ind w:left="4167" w:hanging="360"/>
      </w:pPr>
      <w:rPr>
        <w:rFonts w:ascii="Courier New" w:hAnsi="Courier New" w:cs="Courier New" w:hint="default"/>
        <w:rFonts w:cs="Courier New"/>
      </w:rPr>
    </w:lvl>
    <w:lvl w:ilvl="5">
      <w:start w:val="1"/>
      <w:numFmt w:val="bullet"/>
      <w:lvlText w:val=""/>
      <w:lvlJc w:val="left"/>
      <w:pPr>
        <w:ind w:left="4887" w:hanging="360"/>
      </w:pPr>
      <w:rPr>
        <w:rFonts w:ascii="Wingdings" w:hAnsi="Wingdings" w:cs="Wingdings" w:hint="default"/>
        <w:rFonts w:cs="Wingdings"/>
      </w:rPr>
    </w:lvl>
    <w:lvl w:ilvl="6">
      <w:start w:val="1"/>
      <w:numFmt w:val="bullet"/>
      <w:lvlText w:val=""/>
      <w:lvlJc w:val="left"/>
      <w:pPr>
        <w:ind w:left="5607" w:hanging="360"/>
      </w:pPr>
      <w:rPr>
        <w:rFonts w:ascii="Symbol" w:hAnsi="Symbol" w:cs="Symbol" w:hint="default"/>
        <w:rFonts w:cs="Symbol"/>
      </w:rPr>
    </w:lvl>
    <w:lvl w:ilvl="7">
      <w:start w:val="1"/>
      <w:numFmt w:val="bullet"/>
      <w:lvlText w:val="o"/>
      <w:lvlJc w:val="left"/>
      <w:pPr>
        <w:ind w:left="6327" w:hanging="360"/>
      </w:pPr>
      <w:rPr>
        <w:rFonts w:ascii="Courier New" w:hAnsi="Courier New" w:cs="Courier New" w:hint="default"/>
        <w:rFonts w:cs="Courier New"/>
      </w:rPr>
    </w:lvl>
    <w:lvl w:ilvl="8">
      <w:start w:val="1"/>
      <w:numFmt w:val="bullet"/>
      <w:lvlText w:val=""/>
      <w:lvlJc w:val="left"/>
      <w:pPr>
        <w:ind w:left="7047" w:hanging="360"/>
      </w:pPr>
      <w:rPr>
        <w:rFonts w:ascii="Wingdings" w:hAnsi="Wingdings" w:cs="Wingdings" w:hint="default"/>
        <w:rFonts w:cs="Wingdings"/>
      </w:rPr>
    </w:lvl>
  </w:abstractNum>
  <w:abstractNum w:abstractNumId="14">
    <w:lvl w:ilvl="0">
      <w:start w:val="1"/>
      <w:numFmt w:val="bullet"/>
      <w:lvlText w:val=""/>
      <w:lvlJc w:val="left"/>
      <w:pPr>
        <w:ind w:left="1429" w:hanging="360"/>
      </w:pPr>
      <w:rPr>
        <w:rFonts w:ascii="Symbol" w:hAnsi="Symbol" w:cs="Symbol" w:hint="default"/>
        <w:sz w:val="24"/>
        <w:b/>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15">
    <w:lvl w:ilvl="0">
      <w:start w:val="1"/>
      <w:numFmt w:val="bullet"/>
      <w:lvlText w:val=""/>
      <w:lvlJc w:val="left"/>
      <w:pPr>
        <w:ind w:left="1429" w:hanging="360"/>
      </w:pPr>
      <w:rPr>
        <w:rFonts w:ascii="Symbol" w:hAnsi="Symbol" w:cs="Symbol" w:hint="default"/>
        <w:sz w:val="24"/>
        <w:rFonts w:cs="Symbol"/>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Fonts w:cs="Wingdings"/>
      </w:rPr>
    </w:lvl>
    <w:lvl w:ilvl="3">
      <w:start w:val="1"/>
      <w:numFmt w:val="bullet"/>
      <w:lvlText w:val=""/>
      <w:lvlJc w:val="left"/>
      <w:pPr>
        <w:ind w:left="3589" w:hanging="360"/>
      </w:pPr>
      <w:rPr>
        <w:rFonts w:ascii="Symbol" w:hAnsi="Symbol" w:cs="Symbol" w:hint="default"/>
        <w:rFonts w:cs="Symbol"/>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Fonts w:cs="Wingdings"/>
      </w:rPr>
    </w:lvl>
    <w:lvl w:ilvl="6">
      <w:start w:val="1"/>
      <w:numFmt w:val="bullet"/>
      <w:lvlText w:val=""/>
      <w:lvlJc w:val="left"/>
      <w:pPr>
        <w:ind w:left="5749" w:hanging="360"/>
      </w:pPr>
      <w:rPr>
        <w:rFonts w:ascii="Symbol" w:hAnsi="Symbol" w:cs="Symbol" w:hint="default"/>
        <w:rFonts w:cs="Symbol"/>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Fonts w:cs="Wingdings"/>
      </w:rPr>
    </w:lvl>
  </w:abstractNum>
  <w:abstractNum w:abstractNumId="16">
    <w:lvl w:ilvl="0">
      <w:start w:val="1"/>
      <w:numFmt w:val="bullet"/>
      <w:lvlText w:val=""/>
      <w:lvlJc w:val="left"/>
      <w:pPr>
        <w:ind w:left="720" w:hanging="360"/>
      </w:pPr>
      <w:rPr>
        <w:rFonts w:ascii="Symbol" w:hAnsi="Symbol" w:cs="Symbol" w:hint="default"/>
        <w:sz w:val="24"/>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7">
    <w:lvl w:ilvl="0">
      <w:start w:val="1"/>
      <w:numFmt w:val="decimal"/>
      <w:lvlText w:val="%1."/>
      <w:lvlJc w:val="left"/>
      <w:pPr>
        <w:ind w:left="2204" w:hanging="360"/>
      </w:pPr>
      <w:rPr>
        <w:b/>
      </w:rPr>
    </w:lvl>
    <w:lvl w:ilvl="1">
      <w:start w:val="1"/>
      <w:numFmt w:val="decimal"/>
      <w:lvlText w:val="%1.%2."/>
      <w:lvlJc w:val="left"/>
      <w:pPr>
        <w:ind w:left="574" w:hanging="432"/>
      </w:pPr>
      <w:rPr>
        <w:u w:val="none"/>
        <w:b w:val="false"/>
      </w:rPr>
    </w:lvl>
    <w:lvl w:ilvl="2">
      <w:start w:val="1"/>
      <w:numFmt w:val="bullet"/>
      <w:lvlText w:val=""/>
      <w:lvlJc w:val="left"/>
      <w:pPr>
        <w:ind w:left="504" w:hanging="504"/>
      </w:pPr>
      <w:rPr>
        <w:rFonts w:ascii="Symbol" w:hAnsi="Symbol" w:cs="Symbol" w:hint="default"/>
        <w:sz w:val="24"/>
        <w:b/>
        <w:szCs w:val="24"/>
        <w:rFonts w:cs="Symbol"/>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percent="88"/>
  <w:embedSystemFonts/>
  <w:defaultTabStop w:val="708"/>
  <w:autoHyphenation w:val="fals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6193c"/>
    <w:pPr>
      <w:widowControl/>
      <w:suppressAutoHyphens w:val="true"/>
      <w:bidi w:val="0"/>
      <w:spacing w:lineRule="auto" w:line="360" w:before="0" w:after="0"/>
      <w:ind w:firstLine="567"/>
      <w:jc w:val="both"/>
    </w:pPr>
    <w:rPr>
      <w:rFonts w:ascii="Times New Roman" w:hAnsi="Times New Roman" w:eastAsia="Times New Roman" w:cs="Times New Roman"/>
      <w:color w:val="00000A"/>
      <w:sz w:val="28"/>
      <w:szCs w:val="28"/>
      <w:lang w:val="ru-RU" w:eastAsia="ru-RU" w:bidi="ar-SA"/>
    </w:rPr>
  </w:style>
  <w:style w:type="paragraph" w:styleId="1">
    <w:name w:val="Heading 1"/>
    <w:basedOn w:val="Normal"/>
    <w:next w:val="Normal"/>
    <w:qFormat/>
    <w:rsid w:val="00ae674d"/>
    <w:pPr>
      <w:keepNext w:val="true"/>
      <w:spacing w:before="240" w:after="60"/>
      <w:outlineLvl w:val="0"/>
    </w:pPr>
    <w:rPr>
      <w:rFonts w:ascii="Cambria" w:hAnsi="Cambria"/>
      <w:b/>
      <w:bCs/>
      <w:sz w:val="32"/>
      <w:szCs w:val="32"/>
      <w:lang w:val="x-none" w:eastAsia="x-none"/>
    </w:rPr>
  </w:style>
  <w:style w:type="paragraph" w:styleId="2">
    <w:name w:val="Heading 2"/>
    <w:basedOn w:val="Normal"/>
    <w:next w:val="Normal"/>
    <w:qFormat/>
    <w:rsid w:val="00ae674d"/>
    <w:pPr>
      <w:keepNext w:val="true"/>
      <w:spacing w:before="240" w:after="60"/>
      <w:outlineLvl w:val="1"/>
    </w:pPr>
    <w:rPr>
      <w:rFonts w:ascii="Cambria" w:hAnsi="Cambria"/>
      <w:b/>
      <w:bCs/>
      <w:i/>
      <w:iCs/>
      <w:lang w:val="x-none" w:eastAsia="x-none"/>
    </w:rPr>
  </w:style>
  <w:style w:type="paragraph" w:styleId="3">
    <w:name w:val="Heading 3"/>
    <w:basedOn w:val="Normal"/>
    <w:next w:val="Normal"/>
    <w:uiPriority w:val="9"/>
    <w:qFormat/>
    <w:rsid w:val="005f3f9e"/>
    <w:pPr>
      <w:keepNext w:val="true"/>
      <w:suppressAutoHyphens w:val="true"/>
      <w:spacing w:lineRule="auto" w:line="240" w:before="120" w:after="120"/>
      <w:ind w:hanging="0"/>
      <w:jc w:val="left"/>
      <w:outlineLvl w:val="2"/>
    </w:pPr>
    <w:rPr>
      <w:b/>
      <w:szCs w:val="20"/>
      <w:lang w:val="x-none" w:eastAsia="x-none"/>
    </w:rPr>
  </w:style>
  <w:style w:type="character" w:styleId="DefaultParagraphFont" w:default="1">
    <w:name w:val="Default Paragraph Font"/>
    <w:uiPriority w:val="1"/>
    <w:semiHidden/>
    <w:unhideWhenUsed/>
    <w:qFormat/>
    <w:rPr/>
  </w:style>
  <w:style w:type="character" w:styleId="Style11">
    <w:name w:val="Символ сноски"/>
    <w:qFormat/>
    <w:rPr>
      <w:vertAlign w:val="superscript"/>
    </w:rPr>
  </w:style>
  <w:style w:type="character" w:styleId="Style12">
    <w:name w:val="Привязка сноски"/>
    <w:rPr>
      <w:vertAlign w:val="superscript"/>
    </w:rPr>
  </w:style>
  <w:style w:type="character" w:styleId="FootnoteCharacters">
    <w:name w:val="Footnote Characters"/>
    <w:uiPriority w:val="99"/>
    <w:qFormat/>
    <w:rsid w:val="00d45657"/>
    <w:rPr>
      <w:vertAlign w:val="superscript"/>
    </w:rPr>
  </w:style>
  <w:style w:type="character" w:styleId="31" w:customStyle="1">
    <w:name w:val="Заголовок 3 Знак"/>
    <w:qFormat/>
    <w:rsid w:val="005f3f9e"/>
    <w:rPr>
      <w:b/>
      <w:sz w:val="28"/>
    </w:rPr>
  </w:style>
  <w:style w:type="character" w:styleId="32" w:customStyle="1">
    <w:name w:val="3. Подпункт Знак"/>
    <w:qFormat/>
    <w:rsid w:val="005f4a86"/>
    <w:rPr>
      <w:b/>
      <w:bCs/>
      <w:sz w:val="24"/>
      <w:szCs w:val="24"/>
    </w:rPr>
  </w:style>
  <w:style w:type="character" w:styleId="Style13" w:customStyle="1">
    <w:name w:val="Текст выноски Знак"/>
    <w:link w:val="BalloonText"/>
    <w:qFormat/>
    <w:rsid w:val="00dc2b59"/>
    <w:rPr>
      <w:rFonts w:ascii="Tahoma" w:hAnsi="Tahoma" w:cs="Tahoma"/>
      <w:sz w:val="16"/>
      <w:szCs w:val="16"/>
    </w:rPr>
  </w:style>
  <w:style w:type="character" w:styleId="11" w:customStyle="1">
    <w:name w:val="1. Статья Знак"/>
    <w:qFormat/>
    <w:rsid w:val="00f50d64"/>
    <w:rPr>
      <w:b w:val="false"/>
      <w:sz w:val="24"/>
      <w:szCs w:val="24"/>
    </w:rPr>
  </w:style>
  <w:style w:type="character" w:styleId="4" w:customStyle="1">
    <w:name w:val="4. Отчерк Знак"/>
    <w:link w:val="41"/>
    <w:qFormat/>
    <w:rsid w:val="00f50d64"/>
    <w:rPr>
      <w:sz w:val="24"/>
      <w:szCs w:val="24"/>
    </w:rPr>
  </w:style>
  <w:style w:type="character" w:styleId="Annotationreference">
    <w:name w:val="annotation reference"/>
    <w:qFormat/>
    <w:rsid w:val="00f50d64"/>
    <w:rPr>
      <w:sz w:val="16"/>
      <w:szCs w:val="16"/>
    </w:rPr>
  </w:style>
  <w:style w:type="character" w:styleId="Style14" w:customStyle="1">
    <w:name w:val="Текст примечания Знак"/>
    <w:link w:val="Annotationtext"/>
    <w:qFormat/>
    <w:rsid w:val="00f50d64"/>
    <w:rPr/>
  </w:style>
  <w:style w:type="character" w:styleId="Style15" w:customStyle="1">
    <w:name w:val="Тема примечания Знак"/>
    <w:link w:val="Annotationsubject"/>
    <w:qFormat/>
    <w:rsid w:val="00f50d64"/>
    <w:rPr>
      <w:b/>
      <w:bCs/>
    </w:rPr>
  </w:style>
  <w:style w:type="character" w:styleId="Style16" w:customStyle="1">
    <w:name w:val="Нижний колонтитул Знак"/>
    <w:uiPriority w:val="99"/>
    <w:qFormat/>
    <w:rsid w:val="0043217c"/>
    <w:rPr>
      <w:sz w:val="28"/>
      <w:szCs w:val="28"/>
    </w:rPr>
  </w:style>
  <w:style w:type="character" w:styleId="33" w:customStyle="1">
    <w:name w:val="Основной текст 3 Знак"/>
    <w:link w:val="BodyText3"/>
    <w:qFormat/>
    <w:rsid w:val="001d2676"/>
    <w:rPr>
      <w:color w:val="0000FF"/>
      <w:sz w:val="24"/>
      <w:szCs w:val="24"/>
      <w:lang w:eastAsia="en-US"/>
    </w:rPr>
  </w:style>
  <w:style w:type="character" w:styleId="Style17" w:customStyle="1">
    <w:name w:val="Заголовок Знак"/>
    <w:qFormat/>
    <w:rsid w:val="00ae674d"/>
    <w:rPr>
      <w:sz w:val="22"/>
      <w:szCs w:val="22"/>
      <w:shd w:fill="FFFFFF" w:val="clear"/>
    </w:rPr>
  </w:style>
  <w:style w:type="character" w:styleId="12" w:customStyle="1">
    <w:name w:val="Заголовок 1 Знак"/>
    <w:qFormat/>
    <w:rsid w:val="00ae674d"/>
    <w:rPr>
      <w:rFonts w:ascii="Cambria" w:hAnsi="Cambria" w:eastAsia="Times New Roman" w:cs="Times New Roman"/>
      <w:b/>
      <w:bCs/>
      <w:sz w:val="32"/>
      <w:szCs w:val="32"/>
    </w:rPr>
  </w:style>
  <w:style w:type="character" w:styleId="21" w:customStyle="1">
    <w:name w:val="Заголовок 2 Знак"/>
    <w:semiHidden/>
    <w:qFormat/>
    <w:rsid w:val="00ae674d"/>
    <w:rPr>
      <w:rFonts w:ascii="Cambria" w:hAnsi="Cambria" w:eastAsia="Times New Roman" w:cs="Times New Roman"/>
      <w:b/>
      <w:bCs/>
      <w:i/>
      <w:iCs/>
      <w:sz w:val="28"/>
      <w:szCs w:val="28"/>
    </w:rPr>
  </w:style>
  <w:style w:type="character" w:styleId="Style18" w:customStyle="1">
    <w:name w:val="Основной текст с отступом Знак"/>
    <w:qFormat/>
    <w:rsid w:val="00ae674d"/>
    <w:rPr>
      <w:sz w:val="28"/>
      <w:szCs w:val="28"/>
    </w:rPr>
  </w:style>
  <w:style w:type="character" w:styleId="FontStyle16" w:customStyle="1">
    <w:name w:val="Font Style16"/>
    <w:qFormat/>
    <w:rsid w:val="00204c48"/>
    <w:rPr>
      <w:rFonts w:ascii="Times New Roman" w:hAnsi="Times New Roman" w:cs="Times New Roman"/>
      <w:sz w:val="24"/>
      <w:szCs w:val="24"/>
    </w:rPr>
  </w:style>
  <w:style w:type="character" w:styleId="Style19" w:customStyle="1">
    <w:name w:val="Текст сноски Знак"/>
    <w:uiPriority w:val="99"/>
    <w:qFormat/>
    <w:rsid w:val="00f43f0d"/>
    <w:rPr/>
  </w:style>
  <w:style w:type="character" w:styleId="Style20">
    <w:name w:val="Интернет-ссылка"/>
    <w:uiPriority w:val="99"/>
    <w:unhideWhenUsed/>
    <w:rsid w:val="00ee68c6"/>
    <w:rPr>
      <w:color w:val="0000FF"/>
      <w:u w:val="single"/>
    </w:rPr>
  </w:style>
  <w:style w:type="character" w:styleId="Style21" w:customStyle="1">
    <w:name w:val="Текст концевой сноски Знак"/>
    <w:uiPriority w:val="99"/>
    <w:semiHidden/>
    <w:qFormat/>
    <w:rsid w:val="008c02d8"/>
    <w:rPr/>
  </w:style>
  <w:style w:type="character" w:styleId="Style22">
    <w:name w:val="Символ концевой сноски"/>
    <w:qFormat/>
    <w:rPr>
      <w:vertAlign w:val="superscript"/>
    </w:rPr>
  </w:style>
  <w:style w:type="character" w:styleId="Style23">
    <w:name w:val="Привязка концевой сноски"/>
    <w:rPr>
      <w:vertAlign w:val="superscript"/>
    </w:rPr>
  </w:style>
  <w:style w:type="character" w:styleId="EndnoteCharacters">
    <w:name w:val="Endnote Characters"/>
    <w:uiPriority w:val="99"/>
    <w:semiHidden/>
    <w:unhideWhenUsed/>
    <w:qFormat/>
    <w:rsid w:val="008c02d8"/>
    <w:rPr>
      <w:vertAlign w:val="superscript"/>
    </w:rPr>
  </w:style>
  <w:style w:type="character" w:styleId="Style24" w:customStyle="1">
    <w:name w:val="Абзац списка Знак"/>
    <w:link w:val="ListParagraph"/>
    <w:uiPriority w:val="34"/>
    <w:qFormat/>
    <w:locked/>
    <w:rsid w:val="006245a8"/>
    <w:rPr>
      <w:sz w:val="24"/>
      <w:szCs w:val="24"/>
    </w:rPr>
  </w:style>
  <w:style w:type="character" w:styleId="Style25">
    <w:name w:val="Маркеры"/>
    <w:qFormat/>
    <w:rPr>
      <w:rFonts w:ascii="OpenSymbol" w:hAnsi="OpenSymbol" w:eastAsia="OpenSymbol" w:cs="OpenSymbol"/>
    </w:rPr>
  </w:style>
  <w:style w:type="character" w:styleId="Style26">
    <w:name w:val="Символы концевой сноски"/>
    <w:qFormat/>
    <w:rPr/>
  </w:style>
  <w:style w:type="character" w:styleId="Style27">
    <w:name w:val="Посещённая гиперссылка"/>
    <w:qFormat/>
    <w:rPr>
      <w:color w:val="800000"/>
      <w:u w:val="single"/>
    </w:rPr>
  </w:style>
  <w:style w:type="character" w:styleId="Style28">
    <w:name w:val="Основной шрифт абзаца"/>
    <w:qFormat/>
    <w:rPr/>
  </w:style>
  <w:style w:type="character" w:styleId="ListLabel1">
    <w:name w:val="ListLabel 1"/>
    <w:qFormat/>
    <w:rPr>
      <w:b/>
      <w:sz w:val="24"/>
    </w:rPr>
  </w:style>
  <w:style w:type="character" w:styleId="ListLabel2">
    <w:name w:val="ListLabel 2"/>
    <w:qFormat/>
    <w:rPr>
      <w:b/>
      <w:sz w:val="24"/>
      <w:u w:val="none"/>
    </w:rPr>
  </w:style>
  <w:style w:type="character" w:styleId="ListLabel3">
    <w:name w:val="ListLabel 3"/>
    <w:qFormat/>
    <w:rPr>
      <w:b/>
      <w:sz w:val="24"/>
      <w:szCs w:val="24"/>
    </w:rPr>
  </w:style>
  <w:style w:type="character" w:styleId="ListLabel4">
    <w:name w:val="ListLabel 4"/>
    <w:qFormat/>
    <w:rPr>
      <w:rFonts w:cs="Symbol"/>
      <w:b/>
      <w:sz w:val="24"/>
    </w:rPr>
  </w:style>
  <w:style w:type="character" w:styleId="ListLabel5">
    <w:name w:val="ListLabel 5"/>
    <w:qFormat/>
    <w:rPr>
      <w:rFonts w:cs="Courier New"/>
    </w:rPr>
  </w:style>
  <w:style w:type="character" w:styleId="ListLabel6">
    <w:name w:val="ListLabel 6"/>
    <w:qFormat/>
    <w:rPr>
      <w:rFonts w:cs="Wingdings"/>
    </w:rPr>
  </w:style>
  <w:style w:type="character" w:styleId="ListLabel7">
    <w:name w:val="ListLabel 7"/>
    <w:qFormat/>
    <w:rPr>
      <w:rFonts w:cs="Symbol"/>
    </w:rPr>
  </w:style>
  <w:style w:type="character" w:styleId="ListLabel8">
    <w:name w:val="ListLabel 8"/>
    <w:qFormat/>
    <w:rPr>
      <w:rFonts w:cs="Courier New"/>
    </w:rPr>
  </w:style>
  <w:style w:type="character" w:styleId="ListLabel9">
    <w:name w:val="ListLabel 9"/>
    <w:qFormat/>
    <w:rPr>
      <w:rFonts w:cs="Wingdings"/>
    </w:rPr>
  </w:style>
  <w:style w:type="character" w:styleId="ListLabel10">
    <w:name w:val="ListLabel 10"/>
    <w:qFormat/>
    <w:rPr>
      <w:rFonts w:cs="Symbol"/>
    </w:rPr>
  </w:style>
  <w:style w:type="character" w:styleId="ListLabel11">
    <w:name w:val="ListLabel 11"/>
    <w:qFormat/>
    <w:rPr>
      <w:rFonts w:cs="Courier New"/>
    </w:rPr>
  </w:style>
  <w:style w:type="character" w:styleId="ListLabel12">
    <w:name w:val="ListLabel 12"/>
    <w:qFormat/>
    <w:rPr>
      <w:rFonts w:cs="Wingdings"/>
    </w:rPr>
  </w:style>
  <w:style w:type="character" w:styleId="ListLabel13">
    <w:name w:val="ListLabel 13"/>
    <w:qFormat/>
    <w:rPr>
      <w:rFonts w:cs="Symbol"/>
      <w:sz w:val="24"/>
    </w:rPr>
  </w:style>
  <w:style w:type="character" w:styleId="ListLabel14">
    <w:name w:val="ListLabel 14"/>
    <w:qFormat/>
    <w:rPr>
      <w:rFonts w:cs="Courier New"/>
    </w:rPr>
  </w:style>
  <w:style w:type="character" w:styleId="ListLabel15">
    <w:name w:val="ListLabel 15"/>
    <w:qFormat/>
    <w:rPr>
      <w:rFonts w:cs="Wingdings"/>
    </w:rPr>
  </w:style>
  <w:style w:type="character" w:styleId="ListLabel16">
    <w:name w:val="ListLabel 16"/>
    <w:qFormat/>
    <w:rPr>
      <w:rFonts w:cs="Symbol"/>
    </w:rPr>
  </w:style>
  <w:style w:type="character" w:styleId="ListLabel17">
    <w:name w:val="ListLabel 17"/>
    <w:qFormat/>
    <w:rPr>
      <w:rFonts w:cs="Courier New"/>
    </w:rPr>
  </w:style>
  <w:style w:type="character" w:styleId="ListLabel18">
    <w:name w:val="ListLabel 18"/>
    <w:qFormat/>
    <w:rPr>
      <w:rFonts w:cs="Wingdings"/>
    </w:rPr>
  </w:style>
  <w:style w:type="character" w:styleId="ListLabel19">
    <w:name w:val="ListLabel 19"/>
    <w:qFormat/>
    <w:rPr>
      <w:rFonts w:cs="Symbol"/>
    </w:rPr>
  </w:style>
  <w:style w:type="character" w:styleId="ListLabel20">
    <w:name w:val="ListLabel 20"/>
    <w:qFormat/>
    <w:rPr>
      <w:rFonts w:cs="Courier New"/>
    </w:rPr>
  </w:style>
  <w:style w:type="character" w:styleId="ListLabel21">
    <w:name w:val="ListLabel 21"/>
    <w:qFormat/>
    <w:rPr>
      <w:rFonts w:cs="Wingdings"/>
    </w:rPr>
  </w:style>
  <w:style w:type="character" w:styleId="ListLabel22">
    <w:name w:val="ListLabel 22"/>
    <w:qFormat/>
    <w:rPr>
      <w:rFonts w:cs="Symbol"/>
      <w:sz w:val="24"/>
    </w:rPr>
  </w:style>
  <w:style w:type="character" w:styleId="ListLabel23">
    <w:name w:val="ListLabel 23"/>
    <w:qFormat/>
    <w:rPr>
      <w:rFonts w:cs="Courier New"/>
    </w:rPr>
  </w:style>
  <w:style w:type="character" w:styleId="ListLabel24">
    <w:name w:val="ListLabel 24"/>
    <w:qFormat/>
    <w:rPr>
      <w:rFonts w:cs="Wingdings"/>
    </w:rPr>
  </w:style>
  <w:style w:type="character" w:styleId="ListLabel25">
    <w:name w:val="ListLabel 25"/>
    <w:qFormat/>
    <w:rPr>
      <w:rFonts w:cs="Symbol"/>
    </w:rPr>
  </w:style>
  <w:style w:type="character" w:styleId="ListLabel26">
    <w:name w:val="ListLabel 26"/>
    <w:qFormat/>
    <w:rPr>
      <w:rFonts w:cs="Courier New"/>
    </w:rPr>
  </w:style>
  <w:style w:type="character" w:styleId="ListLabel27">
    <w:name w:val="ListLabel 27"/>
    <w:qFormat/>
    <w:rPr>
      <w:rFonts w:cs="Wingdings"/>
    </w:rPr>
  </w:style>
  <w:style w:type="character" w:styleId="ListLabel28">
    <w:name w:val="ListLabel 28"/>
    <w:qFormat/>
    <w:rPr>
      <w:rFonts w:cs="Symbol"/>
    </w:rPr>
  </w:style>
  <w:style w:type="character" w:styleId="ListLabel29">
    <w:name w:val="ListLabel 29"/>
    <w:qFormat/>
    <w:rPr>
      <w:rFonts w:cs="Courier New"/>
    </w:rPr>
  </w:style>
  <w:style w:type="character" w:styleId="ListLabel30">
    <w:name w:val="ListLabel 30"/>
    <w:qFormat/>
    <w:rPr>
      <w:rFonts w:cs="Wingdings"/>
    </w:rPr>
  </w:style>
  <w:style w:type="character" w:styleId="ListLabel31">
    <w:name w:val="ListLabel 31"/>
    <w:qFormat/>
    <w:rPr>
      <w:rFonts w:cs="Symbol"/>
      <w:sz w:val="24"/>
    </w:rPr>
  </w:style>
  <w:style w:type="character" w:styleId="ListLabel32">
    <w:name w:val="ListLabel 32"/>
    <w:qFormat/>
    <w:rPr>
      <w:rFonts w:cs="Courier New"/>
    </w:rPr>
  </w:style>
  <w:style w:type="character" w:styleId="ListLabel33">
    <w:name w:val="ListLabel 33"/>
    <w:qFormat/>
    <w:rPr>
      <w:rFonts w:cs="Wingdings"/>
    </w:rPr>
  </w:style>
  <w:style w:type="character" w:styleId="ListLabel34">
    <w:name w:val="ListLabel 34"/>
    <w:qFormat/>
    <w:rPr>
      <w:rFonts w:cs="Symbol"/>
    </w:rPr>
  </w:style>
  <w:style w:type="character" w:styleId="ListLabel35">
    <w:name w:val="ListLabel 35"/>
    <w:qFormat/>
    <w:rPr>
      <w:rFonts w:cs="Courier New"/>
    </w:rPr>
  </w:style>
  <w:style w:type="character" w:styleId="ListLabel36">
    <w:name w:val="ListLabel 36"/>
    <w:qFormat/>
    <w:rPr>
      <w:rFonts w:cs="Wingdings"/>
    </w:rPr>
  </w:style>
  <w:style w:type="character" w:styleId="ListLabel37">
    <w:name w:val="ListLabel 37"/>
    <w:qFormat/>
    <w:rPr>
      <w:rFonts w:cs="Symbol"/>
    </w:rPr>
  </w:style>
  <w:style w:type="character" w:styleId="ListLabel38">
    <w:name w:val="ListLabel 38"/>
    <w:qFormat/>
    <w:rPr>
      <w:rFonts w:cs="Courier New"/>
    </w:rPr>
  </w:style>
  <w:style w:type="character" w:styleId="ListLabel39">
    <w:name w:val="ListLabel 39"/>
    <w:qFormat/>
    <w:rPr>
      <w:rFonts w:cs="Wingdings"/>
    </w:rPr>
  </w:style>
  <w:style w:type="character" w:styleId="ListLabel40">
    <w:name w:val="ListLabel 40"/>
    <w:qFormat/>
    <w:rPr>
      <w:rFonts w:cs="Symbol"/>
      <w:sz w:val="24"/>
    </w:rPr>
  </w:style>
  <w:style w:type="character" w:styleId="ListLabel41">
    <w:name w:val="ListLabel 41"/>
    <w:qFormat/>
    <w:rPr>
      <w:rFonts w:cs="Courier New"/>
    </w:rPr>
  </w:style>
  <w:style w:type="character" w:styleId="ListLabel42">
    <w:name w:val="ListLabel 42"/>
    <w:qFormat/>
    <w:rPr>
      <w:rFonts w:cs="Wingdings"/>
    </w:rPr>
  </w:style>
  <w:style w:type="character" w:styleId="ListLabel43">
    <w:name w:val="ListLabel 43"/>
    <w:qFormat/>
    <w:rPr>
      <w:rFonts w:cs="Symbol"/>
    </w:rPr>
  </w:style>
  <w:style w:type="character" w:styleId="ListLabel44">
    <w:name w:val="ListLabel 44"/>
    <w:qFormat/>
    <w:rPr>
      <w:rFonts w:cs="Courier New"/>
    </w:rPr>
  </w:style>
  <w:style w:type="character" w:styleId="ListLabel45">
    <w:name w:val="ListLabel 45"/>
    <w:qFormat/>
    <w:rPr>
      <w:rFonts w:cs="Wingdings"/>
    </w:rPr>
  </w:style>
  <w:style w:type="character" w:styleId="ListLabel46">
    <w:name w:val="ListLabel 46"/>
    <w:qFormat/>
    <w:rPr>
      <w:rFonts w:cs="Symbol"/>
    </w:rPr>
  </w:style>
  <w:style w:type="character" w:styleId="ListLabel47">
    <w:name w:val="ListLabel 47"/>
    <w:qFormat/>
    <w:rPr>
      <w:rFonts w:cs="Courier New"/>
    </w:rPr>
  </w:style>
  <w:style w:type="character" w:styleId="ListLabel48">
    <w:name w:val="ListLabel 48"/>
    <w:qFormat/>
    <w:rPr>
      <w:rFonts w:cs="Wingdings"/>
    </w:rPr>
  </w:style>
  <w:style w:type="character" w:styleId="ListLabel49">
    <w:name w:val="ListLabel 49"/>
    <w:qFormat/>
    <w:rPr>
      <w:rFonts w:cs="Symbol"/>
      <w:sz w:val="24"/>
    </w:rPr>
  </w:style>
  <w:style w:type="character" w:styleId="ListLabel50">
    <w:name w:val="ListLabel 50"/>
    <w:qFormat/>
    <w:rPr>
      <w:rFonts w:cs="Courier New"/>
    </w:rPr>
  </w:style>
  <w:style w:type="character" w:styleId="ListLabel51">
    <w:name w:val="ListLabel 51"/>
    <w:qFormat/>
    <w:rPr>
      <w:rFonts w:cs="Wingdings"/>
    </w:rPr>
  </w:style>
  <w:style w:type="character" w:styleId="ListLabel52">
    <w:name w:val="ListLabel 52"/>
    <w:qFormat/>
    <w:rPr>
      <w:rFonts w:cs="Symbol"/>
    </w:rPr>
  </w:style>
  <w:style w:type="character" w:styleId="ListLabel53">
    <w:name w:val="ListLabel 53"/>
    <w:qFormat/>
    <w:rPr>
      <w:rFonts w:cs="Courier New"/>
    </w:rPr>
  </w:style>
  <w:style w:type="character" w:styleId="ListLabel54">
    <w:name w:val="ListLabel 54"/>
    <w:qFormat/>
    <w:rPr>
      <w:rFonts w:cs="Wingdings"/>
    </w:rPr>
  </w:style>
  <w:style w:type="character" w:styleId="ListLabel55">
    <w:name w:val="ListLabel 55"/>
    <w:qFormat/>
    <w:rPr>
      <w:rFonts w:cs="Symbol"/>
    </w:rPr>
  </w:style>
  <w:style w:type="character" w:styleId="ListLabel56">
    <w:name w:val="ListLabel 56"/>
    <w:qFormat/>
    <w:rPr>
      <w:rFonts w:cs="Courier New"/>
    </w:rPr>
  </w:style>
  <w:style w:type="character" w:styleId="ListLabel57">
    <w:name w:val="ListLabel 57"/>
    <w:qFormat/>
    <w:rPr>
      <w:rFonts w:cs="Wingdings"/>
    </w:rPr>
  </w:style>
  <w:style w:type="character" w:styleId="ListLabel58">
    <w:name w:val="ListLabel 58"/>
    <w:qFormat/>
    <w:rPr>
      <w:rFonts w:cs="Symbol"/>
      <w:sz w:val="24"/>
    </w:rPr>
  </w:style>
  <w:style w:type="character" w:styleId="ListLabel59">
    <w:name w:val="ListLabel 59"/>
    <w:qFormat/>
    <w:rPr>
      <w:rFonts w:cs="Courier New"/>
    </w:rPr>
  </w:style>
  <w:style w:type="character" w:styleId="ListLabel60">
    <w:name w:val="ListLabel 60"/>
    <w:qFormat/>
    <w:rPr>
      <w:rFonts w:cs="Wingdings"/>
    </w:rPr>
  </w:style>
  <w:style w:type="character" w:styleId="ListLabel61">
    <w:name w:val="ListLabel 61"/>
    <w:qFormat/>
    <w:rPr>
      <w:rFonts w:cs="Symbol"/>
    </w:rPr>
  </w:style>
  <w:style w:type="character" w:styleId="ListLabel62">
    <w:name w:val="ListLabel 62"/>
    <w:qFormat/>
    <w:rPr>
      <w:rFonts w:cs="Courier New"/>
    </w:rPr>
  </w:style>
  <w:style w:type="character" w:styleId="ListLabel63">
    <w:name w:val="ListLabel 63"/>
    <w:qFormat/>
    <w:rPr>
      <w:rFonts w:cs="Wingdings"/>
    </w:rPr>
  </w:style>
  <w:style w:type="character" w:styleId="ListLabel64">
    <w:name w:val="ListLabel 64"/>
    <w:qFormat/>
    <w:rPr>
      <w:rFonts w:cs="Symbol"/>
    </w:rPr>
  </w:style>
  <w:style w:type="character" w:styleId="ListLabel65">
    <w:name w:val="ListLabel 65"/>
    <w:qFormat/>
    <w:rPr>
      <w:rFonts w:cs="Courier New"/>
    </w:rPr>
  </w:style>
  <w:style w:type="character" w:styleId="ListLabel66">
    <w:name w:val="ListLabel 66"/>
    <w:qFormat/>
    <w:rPr>
      <w:rFonts w:cs="Wingdings"/>
    </w:rPr>
  </w:style>
  <w:style w:type="character" w:styleId="ListLabel67">
    <w:name w:val="ListLabel 67"/>
    <w:qFormat/>
    <w:rPr>
      <w:b/>
    </w:rPr>
  </w:style>
  <w:style w:type="character" w:styleId="ListLabel68">
    <w:name w:val="ListLabel 68"/>
    <w:qFormat/>
    <w:rPr>
      <w:rFonts w:cs="Symbol"/>
      <w:b/>
      <w:u w:val="none"/>
    </w:rPr>
  </w:style>
  <w:style w:type="character" w:styleId="ListLabel69">
    <w:name w:val="ListLabel 69"/>
    <w:qFormat/>
    <w:rPr>
      <w:b w:val="false"/>
      <w:sz w:val="24"/>
      <w:szCs w:val="24"/>
    </w:rPr>
  </w:style>
  <w:style w:type="character" w:styleId="ListLabel70">
    <w:name w:val="ListLabel 70"/>
    <w:qFormat/>
    <w:rPr>
      <w:rFonts w:cs="Symbol"/>
      <w:b/>
      <w:sz w:val="24"/>
    </w:rPr>
  </w:style>
  <w:style w:type="character" w:styleId="ListLabel71">
    <w:name w:val="ListLabel 71"/>
    <w:qFormat/>
    <w:rPr>
      <w:rFonts w:cs="Courier New"/>
    </w:rPr>
  </w:style>
  <w:style w:type="character" w:styleId="ListLabel72">
    <w:name w:val="ListLabel 72"/>
    <w:qFormat/>
    <w:rPr>
      <w:rFonts w:cs="Wingdings"/>
    </w:rPr>
  </w:style>
  <w:style w:type="character" w:styleId="ListLabel73">
    <w:name w:val="ListLabel 73"/>
    <w:qFormat/>
    <w:rPr>
      <w:rFonts w:cs="Symbol"/>
    </w:rPr>
  </w:style>
  <w:style w:type="character" w:styleId="ListLabel74">
    <w:name w:val="ListLabel 74"/>
    <w:qFormat/>
    <w:rPr>
      <w:rFonts w:cs="Courier New"/>
    </w:rPr>
  </w:style>
  <w:style w:type="character" w:styleId="ListLabel75">
    <w:name w:val="ListLabel 75"/>
    <w:qFormat/>
    <w:rPr>
      <w:rFonts w:cs="Wingdings"/>
    </w:rPr>
  </w:style>
  <w:style w:type="character" w:styleId="ListLabel76">
    <w:name w:val="ListLabel 76"/>
    <w:qFormat/>
    <w:rPr>
      <w:rFonts w:cs="Symbol"/>
    </w:rPr>
  </w:style>
  <w:style w:type="character" w:styleId="ListLabel77">
    <w:name w:val="ListLabel 77"/>
    <w:qFormat/>
    <w:rPr>
      <w:rFonts w:cs="Courier New"/>
    </w:rPr>
  </w:style>
  <w:style w:type="character" w:styleId="ListLabel78">
    <w:name w:val="ListLabel 78"/>
    <w:qFormat/>
    <w:rPr>
      <w:rFonts w:cs="Wingdings"/>
    </w:rPr>
  </w:style>
  <w:style w:type="character" w:styleId="ListLabel79">
    <w:name w:val="ListLabel 79"/>
    <w:qFormat/>
    <w:rPr>
      <w:rFonts w:cs="Symbol"/>
      <w:b/>
      <w:sz w:val="24"/>
    </w:rPr>
  </w:style>
  <w:style w:type="character" w:styleId="ListLabel80">
    <w:name w:val="ListLabel 80"/>
    <w:qFormat/>
    <w:rPr>
      <w:rFonts w:cs="Courier New"/>
    </w:rPr>
  </w:style>
  <w:style w:type="character" w:styleId="ListLabel81">
    <w:name w:val="ListLabel 81"/>
    <w:qFormat/>
    <w:rPr>
      <w:rFonts w:cs="Wingdings"/>
    </w:rPr>
  </w:style>
  <w:style w:type="character" w:styleId="ListLabel82">
    <w:name w:val="ListLabel 82"/>
    <w:qFormat/>
    <w:rPr>
      <w:rFonts w:cs="Symbol"/>
    </w:rPr>
  </w:style>
  <w:style w:type="character" w:styleId="ListLabel83">
    <w:name w:val="ListLabel 83"/>
    <w:qFormat/>
    <w:rPr>
      <w:rFonts w:cs="Courier New"/>
    </w:rPr>
  </w:style>
  <w:style w:type="character" w:styleId="ListLabel84">
    <w:name w:val="ListLabel 84"/>
    <w:qFormat/>
    <w:rPr>
      <w:rFonts w:cs="Wingdings"/>
    </w:rPr>
  </w:style>
  <w:style w:type="character" w:styleId="ListLabel85">
    <w:name w:val="ListLabel 85"/>
    <w:qFormat/>
    <w:rPr>
      <w:rFonts w:cs="Symbol"/>
    </w:rPr>
  </w:style>
  <w:style w:type="character" w:styleId="ListLabel86">
    <w:name w:val="ListLabel 86"/>
    <w:qFormat/>
    <w:rPr>
      <w:rFonts w:cs="Courier New"/>
    </w:rPr>
  </w:style>
  <w:style w:type="character" w:styleId="ListLabel87">
    <w:name w:val="ListLabel 87"/>
    <w:qFormat/>
    <w:rPr>
      <w:rFonts w:cs="Wingdings"/>
    </w:rPr>
  </w:style>
  <w:style w:type="character" w:styleId="ListLabel88">
    <w:name w:val="ListLabel 88"/>
    <w:qFormat/>
    <w:rPr>
      <w:rFonts w:cs="Symbol"/>
      <w:sz w:val="24"/>
    </w:rPr>
  </w:style>
  <w:style w:type="character" w:styleId="ListLabel89">
    <w:name w:val="ListLabel 89"/>
    <w:qFormat/>
    <w:rPr>
      <w:rFonts w:cs="Courier New"/>
    </w:rPr>
  </w:style>
  <w:style w:type="character" w:styleId="ListLabel90">
    <w:name w:val="ListLabel 90"/>
    <w:qFormat/>
    <w:rPr>
      <w:rFonts w:cs="Wingdings"/>
    </w:rPr>
  </w:style>
  <w:style w:type="character" w:styleId="ListLabel91">
    <w:name w:val="ListLabel 91"/>
    <w:qFormat/>
    <w:rPr>
      <w:rFonts w:cs="Symbol"/>
    </w:rPr>
  </w:style>
  <w:style w:type="character" w:styleId="ListLabel92">
    <w:name w:val="ListLabel 92"/>
    <w:qFormat/>
    <w:rPr>
      <w:rFonts w:cs="Courier New"/>
    </w:rPr>
  </w:style>
  <w:style w:type="character" w:styleId="ListLabel93">
    <w:name w:val="ListLabel 93"/>
    <w:qFormat/>
    <w:rPr>
      <w:rFonts w:cs="Wingdings"/>
    </w:rPr>
  </w:style>
  <w:style w:type="character" w:styleId="ListLabel94">
    <w:name w:val="ListLabel 94"/>
    <w:qFormat/>
    <w:rPr>
      <w:rFonts w:cs="Symbol"/>
    </w:rPr>
  </w:style>
  <w:style w:type="character" w:styleId="ListLabel95">
    <w:name w:val="ListLabel 95"/>
    <w:qFormat/>
    <w:rPr>
      <w:rFonts w:cs="Courier New"/>
    </w:rPr>
  </w:style>
  <w:style w:type="character" w:styleId="ListLabel96">
    <w:name w:val="ListLabel 96"/>
    <w:qFormat/>
    <w:rPr>
      <w:rFonts w:cs="Wingdings"/>
    </w:rPr>
  </w:style>
  <w:style w:type="character" w:styleId="ListLabel97">
    <w:name w:val="ListLabel 97"/>
    <w:qFormat/>
    <w:rPr>
      <w:rFonts w:cs="Symbol"/>
      <w:b/>
      <w:sz w:val="24"/>
    </w:rPr>
  </w:style>
  <w:style w:type="character" w:styleId="ListLabel98">
    <w:name w:val="ListLabel 98"/>
    <w:qFormat/>
    <w:rPr>
      <w:rFonts w:cs="Courier New"/>
    </w:rPr>
  </w:style>
  <w:style w:type="character" w:styleId="ListLabel99">
    <w:name w:val="ListLabel 99"/>
    <w:qFormat/>
    <w:rPr>
      <w:rFonts w:cs="Wingdings"/>
    </w:rPr>
  </w:style>
  <w:style w:type="character" w:styleId="ListLabel100">
    <w:name w:val="ListLabel 100"/>
    <w:qFormat/>
    <w:rPr>
      <w:rFonts w:cs="Symbol"/>
    </w:rPr>
  </w:style>
  <w:style w:type="character" w:styleId="ListLabel101">
    <w:name w:val="ListLabel 101"/>
    <w:qFormat/>
    <w:rPr>
      <w:rFonts w:cs="Courier New"/>
    </w:rPr>
  </w:style>
  <w:style w:type="character" w:styleId="ListLabel102">
    <w:name w:val="ListLabel 102"/>
    <w:qFormat/>
    <w:rPr>
      <w:rFonts w:cs="Wingdings"/>
    </w:rPr>
  </w:style>
  <w:style w:type="character" w:styleId="ListLabel103">
    <w:name w:val="ListLabel 103"/>
    <w:qFormat/>
    <w:rPr>
      <w:rFonts w:cs="Symbol"/>
    </w:rPr>
  </w:style>
  <w:style w:type="character" w:styleId="ListLabel104">
    <w:name w:val="ListLabel 104"/>
    <w:qFormat/>
    <w:rPr>
      <w:rFonts w:cs="Courier New"/>
    </w:rPr>
  </w:style>
  <w:style w:type="character" w:styleId="ListLabel105">
    <w:name w:val="ListLabel 105"/>
    <w:qFormat/>
    <w:rPr>
      <w:rFonts w:cs="Wingdings"/>
    </w:rPr>
  </w:style>
  <w:style w:type="character" w:styleId="ListLabel106">
    <w:name w:val="ListLabel 106"/>
    <w:qFormat/>
    <w:rPr>
      <w:rFonts w:cs="Symbol"/>
      <w:b/>
      <w:sz w:val="24"/>
    </w:rPr>
  </w:style>
  <w:style w:type="character" w:styleId="ListLabel107">
    <w:name w:val="ListLabel 107"/>
    <w:qFormat/>
    <w:rPr>
      <w:rFonts w:cs="Courier New"/>
    </w:rPr>
  </w:style>
  <w:style w:type="character" w:styleId="ListLabel108">
    <w:name w:val="ListLabel 108"/>
    <w:qFormat/>
    <w:rPr>
      <w:rFonts w:cs="Wingdings"/>
    </w:rPr>
  </w:style>
  <w:style w:type="character" w:styleId="ListLabel109">
    <w:name w:val="ListLabel 109"/>
    <w:qFormat/>
    <w:rPr>
      <w:rFonts w:cs="Symbol"/>
    </w:rPr>
  </w:style>
  <w:style w:type="character" w:styleId="ListLabel110">
    <w:name w:val="ListLabel 110"/>
    <w:qFormat/>
    <w:rPr>
      <w:rFonts w:cs="Courier New"/>
    </w:rPr>
  </w:style>
  <w:style w:type="character" w:styleId="ListLabel111">
    <w:name w:val="ListLabel 111"/>
    <w:qFormat/>
    <w:rPr>
      <w:rFonts w:cs="Wingdings"/>
    </w:rPr>
  </w:style>
  <w:style w:type="character" w:styleId="ListLabel112">
    <w:name w:val="ListLabel 112"/>
    <w:qFormat/>
    <w:rPr>
      <w:rFonts w:cs="Symbol"/>
    </w:rPr>
  </w:style>
  <w:style w:type="character" w:styleId="ListLabel113">
    <w:name w:val="ListLabel 113"/>
    <w:qFormat/>
    <w:rPr>
      <w:rFonts w:cs="Courier New"/>
    </w:rPr>
  </w:style>
  <w:style w:type="character" w:styleId="ListLabel114">
    <w:name w:val="ListLabel 114"/>
    <w:qFormat/>
    <w:rPr>
      <w:rFonts w:cs="Wingdings"/>
    </w:rPr>
  </w:style>
  <w:style w:type="character" w:styleId="ListLabel115">
    <w:name w:val="ListLabel 115"/>
    <w:qFormat/>
    <w:rPr>
      <w:rFonts w:cs="Symbol"/>
      <w:sz w:val="24"/>
    </w:rPr>
  </w:style>
  <w:style w:type="character" w:styleId="ListLabel116">
    <w:name w:val="ListLabel 116"/>
    <w:qFormat/>
    <w:rPr>
      <w:rFonts w:cs="Courier New"/>
    </w:rPr>
  </w:style>
  <w:style w:type="character" w:styleId="ListLabel117">
    <w:name w:val="ListLabel 117"/>
    <w:qFormat/>
    <w:rPr>
      <w:rFonts w:cs="Wingdings"/>
    </w:rPr>
  </w:style>
  <w:style w:type="character" w:styleId="ListLabel118">
    <w:name w:val="ListLabel 118"/>
    <w:qFormat/>
    <w:rPr>
      <w:rFonts w:cs="Symbol"/>
    </w:rPr>
  </w:style>
  <w:style w:type="character" w:styleId="ListLabel119">
    <w:name w:val="ListLabel 119"/>
    <w:qFormat/>
    <w:rPr>
      <w:rFonts w:cs="Courier New"/>
    </w:rPr>
  </w:style>
  <w:style w:type="character" w:styleId="ListLabel120">
    <w:name w:val="ListLabel 120"/>
    <w:qFormat/>
    <w:rPr>
      <w:rFonts w:cs="Wingdings"/>
    </w:rPr>
  </w:style>
  <w:style w:type="character" w:styleId="ListLabel121">
    <w:name w:val="ListLabel 121"/>
    <w:qFormat/>
    <w:rPr>
      <w:rFonts w:cs="Symbol"/>
    </w:rPr>
  </w:style>
  <w:style w:type="character" w:styleId="ListLabel122">
    <w:name w:val="ListLabel 122"/>
    <w:qFormat/>
    <w:rPr>
      <w:rFonts w:cs="Courier New"/>
    </w:rPr>
  </w:style>
  <w:style w:type="character" w:styleId="ListLabel123">
    <w:name w:val="ListLabel 123"/>
    <w:qFormat/>
    <w:rPr>
      <w:rFonts w:cs="Wingdings"/>
    </w:rPr>
  </w:style>
  <w:style w:type="character" w:styleId="ListLabel124">
    <w:name w:val="ListLabel 124"/>
    <w:qFormat/>
    <w:rPr>
      <w:rFonts w:cs="Symbol"/>
      <w:sz w:val="24"/>
    </w:rPr>
  </w:style>
  <w:style w:type="character" w:styleId="ListLabel125">
    <w:name w:val="ListLabel 125"/>
    <w:qFormat/>
    <w:rPr>
      <w:rFonts w:cs="Courier New"/>
    </w:rPr>
  </w:style>
  <w:style w:type="character" w:styleId="ListLabel126">
    <w:name w:val="ListLabel 126"/>
    <w:qFormat/>
    <w:rPr>
      <w:rFonts w:cs="Wingdings"/>
    </w:rPr>
  </w:style>
  <w:style w:type="character" w:styleId="ListLabel127">
    <w:name w:val="ListLabel 127"/>
    <w:qFormat/>
    <w:rPr>
      <w:rFonts w:cs="Symbol"/>
    </w:rPr>
  </w:style>
  <w:style w:type="character" w:styleId="ListLabel128">
    <w:name w:val="ListLabel 128"/>
    <w:qFormat/>
    <w:rPr>
      <w:rFonts w:cs="Courier New"/>
    </w:rPr>
  </w:style>
  <w:style w:type="character" w:styleId="ListLabel129">
    <w:name w:val="ListLabel 129"/>
    <w:qFormat/>
    <w:rPr>
      <w:rFonts w:cs="Wingdings"/>
    </w:rPr>
  </w:style>
  <w:style w:type="character" w:styleId="ListLabel130">
    <w:name w:val="ListLabel 130"/>
    <w:qFormat/>
    <w:rPr>
      <w:rFonts w:cs="Symbol"/>
    </w:rPr>
  </w:style>
  <w:style w:type="character" w:styleId="ListLabel131">
    <w:name w:val="ListLabel 131"/>
    <w:qFormat/>
    <w:rPr>
      <w:rFonts w:cs="Courier New"/>
    </w:rPr>
  </w:style>
  <w:style w:type="character" w:styleId="ListLabel132">
    <w:name w:val="ListLabel 132"/>
    <w:qFormat/>
    <w:rPr>
      <w:rFonts w:cs="Wingdings"/>
    </w:rPr>
  </w:style>
  <w:style w:type="character" w:styleId="ListLabel133">
    <w:name w:val="ListLabel 133"/>
    <w:qFormat/>
    <w:rPr>
      <w:b/>
    </w:rPr>
  </w:style>
  <w:style w:type="character" w:styleId="ListLabel134">
    <w:name w:val="ListLabel 134"/>
    <w:qFormat/>
    <w:rPr>
      <w:b w:val="false"/>
      <w:u w:val="none"/>
    </w:rPr>
  </w:style>
  <w:style w:type="character" w:styleId="ListLabel135">
    <w:name w:val="ListLabel 135"/>
    <w:qFormat/>
    <w:rPr>
      <w:rFonts w:cs="Symbol"/>
      <w:b/>
      <w:sz w:val="24"/>
      <w:szCs w:val="24"/>
    </w:rPr>
  </w:style>
  <w:style w:type="character" w:styleId="ListLabel136">
    <w:name w:val="ListLabel 136"/>
    <w:qFormat/>
    <w:rPr>
      <w:b/>
      <w:sz w:val="24"/>
    </w:rPr>
  </w:style>
  <w:style w:type="character" w:styleId="ListLabel137">
    <w:name w:val="ListLabel 137"/>
    <w:qFormat/>
    <w:rPr>
      <w:b/>
      <w:sz w:val="24"/>
      <w:u w:val="none"/>
    </w:rPr>
  </w:style>
  <w:style w:type="character" w:styleId="ListLabel138">
    <w:name w:val="ListLabel 138"/>
    <w:qFormat/>
    <w:rPr>
      <w:b/>
      <w:sz w:val="24"/>
      <w:szCs w:val="24"/>
    </w:rPr>
  </w:style>
  <w:style w:type="character" w:styleId="ListLabel139">
    <w:name w:val="ListLabel 139"/>
    <w:qFormat/>
    <w:rPr>
      <w:rFonts w:cs="Symbol"/>
      <w:b/>
      <w:sz w:val="24"/>
    </w:rPr>
  </w:style>
  <w:style w:type="character" w:styleId="ListLabel140">
    <w:name w:val="ListLabel 140"/>
    <w:qFormat/>
    <w:rPr>
      <w:rFonts w:cs="Courier New"/>
    </w:rPr>
  </w:style>
  <w:style w:type="character" w:styleId="ListLabel141">
    <w:name w:val="ListLabel 141"/>
    <w:qFormat/>
    <w:rPr>
      <w:rFonts w:cs="Wingdings"/>
    </w:rPr>
  </w:style>
  <w:style w:type="character" w:styleId="ListLabel142">
    <w:name w:val="ListLabel 142"/>
    <w:qFormat/>
    <w:rPr>
      <w:rFonts w:cs="Symbol"/>
    </w:rPr>
  </w:style>
  <w:style w:type="character" w:styleId="ListLabel143">
    <w:name w:val="ListLabel 143"/>
    <w:qFormat/>
    <w:rPr>
      <w:rFonts w:cs="Courier New"/>
    </w:rPr>
  </w:style>
  <w:style w:type="character" w:styleId="ListLabel144">
    <w:name w:val="ListLabel 144"/>
    <w:qFormat/>
    <w:rPr>
      <w:rFonts w:cs="Wingdings"/>
    </w:rPr>
  </w:style>
  <w:style w:type="character" w:styleId="ListLabel145">
    <w:name w:val="ListLabel 145"/>
    <w:qFormat/>
    <w:rPr>
      <w:rFonts w:cs="Symbol"/>
    </w:rPr>
  </w:style>
  <w:style w:type="character" w:styleId="ListLabel146">
    <w:name w:val="ListLabel 146"/>
    <w:qFormat/>
    <w:rPr>
      <w:rFonts w:cs="Courier New"/>
    </w:rPr>
  </w:style>
  <w:style w:type="character" w:styleId="ListLabel147">
    <w:name w:val="ListLabel 147"/>
    <w:qFormat/>
    <w:rPr>
      <w:rFonts w:cs="Wingdings"/>
    </w:rPr>
  </w:style>
  <w:style w:type="character" w:styleId="ListLabel148">
    <w:name w:val="ListLabel 148"/>
    <w:qFormat/>
    <w:rPr>
      <w:rFonts w:cs="Symbol"/>
      <w:sz w:val="24"/>
    </w:rPr>
  </w:style>
  <w:style w:type="character" w:styleId="ListLabel149">
    <w:name w:val="ListLabel 149"/>
    <w:qFormat/>
    <w:rPr>
      <w:rFonts w:cs="Courier New"/>
    </w:rPr>
  </w:style>
  <w:style w:type="character" w:styleId="ListLabel150">
    <w:name w:val="ListLabel 150"/>
    <w:qFormat/>
    <w:rPr>
      <w:rFonts w:cs="Wingdings"/>
    </w:rPr>
  </w:style>
  <w:style w:type="character" w:styleId="ListLabel151">
    <w:name w:val="ListLabel 151"/>
    <w:qFormat/>
    <w:rPr>
      <w:rFonts w:cs="Symbol"/>
    </w:rPr>
  </w:style>
  <w:style w:type="character" w:styleId="ListLabel152">
    <w:name w:val="ListLabel 152"/>
    <w:qFormat/>
    <w:rPr>
      <w:rFonts w:cs="Courier New"/>
    </w:rPr>
  </w:style>
  <w:style w:type="character" w:styleId="ListLabel153">
    <w:name w:val="ListLabel 153"/>
    <w:qFormat/>
    <w:rPr>
      <w:rFonts w:cs="Wingdings"/>
    </w:rPr>
  </w:style>
  <w:style w:type="character" w:styleId="ListLabel154">
    <w:name w:val="ListLabel 154"/>
    <w:qFormat/>
    <w:rPr>
      <w:rFonts w:cs="Symbol"/>
    </w:rPr>
  </w:style>
  <w:style w:type="character" w:styleId="ListLabel155">
    <w:name w:val="ListLabel 155"/>
    <w:qFormat/>
    <w:rPr>
      <w:rFonts w:cs="Courier New"/>
    </w:rPr>
  </w:style>
  <w:style w:type="character" w:styleId="ListLabel156">
    <w:name w:val="ListLabel 156"/>
    <w:qFormat/>
    <w:rPr>
      <w:rFonts w:cs="Wingdings"/>
    </w:rPr>
  </w:style>
  <w:style w:type="character" w:styleId="ListLabel157">
    <w:name w:val="ListLabel 157"/>
    <w:qFormat/>
    <w:rPr>
      <w:rFonts w:cs="Symbol"/>
      <w:sz w:val="24"/>
    </w:rPr>
  </w:style>
  <w:style w:type="character" w:styleId="ListLabel158">
    <w:name w:val="ListLabel 158"/>
    <w:qFormat/>
    <w:rPr>
      <w:rFonts w:cs="Courier New"/>
    </w:rPr>
  </w:style>
  <w:style w:type="character" w:styleId="ListLabel159">
    <w:name w:val="ListLabel 159"/>
    <w:qFormat/>
    <w:rPr>
      <w:rFonts w:cs="Wingdings"/>
    </w:rPr>
  </w:style>
  <w:style w:type="character" w:styleId="ListLabel160">
    <w:name w:val="ListLabel 160"/>
    <w:qFormat/>
    <w:rPr>
      <w:rFonts w:cs="Symbol"/>
    </w:rPr>
  </w:style>
  <w:style w:type="character" w:styleId="ListLabel161">
    <w:name w:val="ListLabel 161"/>
    <w:qFormat/>
    <w:rPr>
      <w:rFonts w:cs="Courier New"/>
    </w:rPr>
  </w:style>
  <w:style w:type="character" w:styleId="ListLabel162">
    <w:name w:val="ListLabel 162"/>
    <w:qFormat/>
    <w:rPr>
      <w:rFonts w:cs="Wingdings"/>
    </w:rPr>
  </w:style>
  <w:style w:type="character" w:styleId="ListLabel163">
    <w:name w:val="ListLabel 163"/>
    <w:qFormat/>
    <w:rPr>
      <w:rFonts w:cs="Symbol"/>
    </w:rPr>
  </w:style>
  <w:style w:type="character" w:styleId="ListLabel164">
    <w:name w:val="ListLabel 164"/>
    <w:qFormat/>
    <w:rPr>
      <w:rFonts w:cs="Courier New"/>
    </w:rPr>
  </w:style>
  <w:style w:type="character" w:styleId="ListLabel165">
    <w:name w:val="ListLabel 165"/>
    <w:qFormat/>
    <w:rPr>
      <w:rFonts w:cs="Wingdings"/>
    </w:rPr>
  </w:style>
  <w:style w:type="character" w:styleId="ListLabel166">
    <w:name w:val="ListLabel 166"/>
    <w:qFormat/>
    <w:rPr>
      <w:rFonts w:cs="Symbol"/>
      <w:sz w:val="24"/>
    </w:rPr>
  </w:style>
  <w:style w:type="character" w:styleId="ListLabel167">
    <w:name w:val="ListLabel 167"/>
    <w:qFormat/>
    <w:rPr>
      <w:rFonts w:cs="Courier New"/>
    </w:rPr>
  </w:style>
  <w:style w:type="character" w:styleId="ListLabel168">
    <w:name w:val="ListLabel 168"/>
    <w:qFormat/>
    <w:rPr>
      <w:rFonts w:cs="Wingdings"/>
    </w:rPr>
  </w:style>
  <w:style w:type="character" w:styleId="ListLabel169">
    <w:name w:val="ListLabel 169"/>
    <w:qFormat/>
    <w:rPr>
      <w:rFonts w:cs="Symbol"/>
    </w:rPr>
  </w:style>
  <w:style w:type="character" w:styleId="ListLabel170">
    <w:name w:val="ListLabel 170"/>
    <w:qFormat/>
    <w:rPr>
      <w:rFonts w:cs="Courier New"/>
    </w:rPr>
  </w:style>
  <w:style w:type="character" w:styleId="ListLabel171">
    <w:name w:val="ListLabel 171"/>
    <w:qFormat/>
    <w:rPr>
      <w:rFonts w:cs="Wingdings"/>
    </w:rPr>
  </w:style>
  <w:style w:type="character" w:styleId="ListLabel172">
    <w:name w:val="ListLabel 172"/>
    <w:qFormat/>
    <w:rPr>
      <w:rFonts w:cs="Symbol"/>
    </w:rPr>
  </w:style>
  <w:style w:type="character" w:styleId="ListLabel173">
    <w:name w:val="ListLabel 173"/>
    <w:qFormat/>
    <w:rPr>
      <w:rFonts w:cs="Courier New"/>
    </w:rPr>
  </w:style>
  <w:style w:type="character" w:styleId="ListLabel174">
    <w:name w:val="ListLabel 174"/>
    <w:qFormat/>
    <w:rPr>
      <w:rFonts w:cs="Wingdings"/>
    </w:rPr>
  </w:style>
  <w:style w:type="character" w:styleId="ListLabel175">
    <w:name w:val="ListLabel 175"/>
    <w:qFormat/>
    <w:rPr>
      <w:rFonts w:cs="Symbol"/>
      <w:sz w:val="24"/>
    </w:rPr>
  </w:style>
  <w:style w:type="character" w:styleId="ListLabel176">
    <w:name w:val="ListLabel 176"/>
    <w:qFormat/>
    <w:rPr>
      <w:rFonts w:cs="Courier New"/>
    </w:rPr>
  </w:style>
  <w:style w:type="character" w:styleId="ListLabel177">
    <w:name w:val="ListLabel 177"/>
    <w:qFormat/>
    <w:rPr>
      <w:rFonts w:cs="Wingdings"/>
    </w:rPr>
  </w:style>
  <w:style w:type="character" w:styleId="ListLabel178">
    <w:name w:val="ListLabel 178"/>
    <w:qFormat/>
    <w:rPr>
      <w:rFonts w:cs="Symbol"/>
    </w:rPr>
  </w:style>
  <w:style w:type="character" w:styleId="ListLabel179">
    <w:name w:val="ListLabel 179"/>
    <w:qFormat/>
    <w:rPr>
      <w:rFonts w:cs="Courier New"/>
    </w:rPr>
  </w:style>
  <w:style w:type="character" w:styleId="ListLabel180">
    <w:name w:val="ListLabel 180"/>
    <w:qFormat/>
    <w:rPr>
      <w:rFonts w:cs="Wingdings"/>
    </w:rPr>
  </w:style>
  <w:style w:type="character" w:styleId="ListLabel181">
    <w:name w:val="ListLabel 181"/>
    <w:qFormat/>
    <w:rPr>
      <w:rFonts w:cs="Symbol"/>
    </w:rPr>
  </w:style>
  <w:style w:type="character" w:styleId="ListLabel182">
    <w:name w:val="ListLabel 182"/>
    <w:qFormat/>
    <w:rPr>
      <w:rFonts w:cs="Courier New"/>
    </w:rPr>
  </w:style>
  <w:style w:type="character" w:styleId="ListLabel183">
    <w:name w:val="ListLabel 183"/>
    <w:qFormat/>
    <w:rPr>
      <w:rFonts w:cs="Wingdings"/>
    </w:rPr>
  </w:style>
  <w:style w:type="character" w:styleId="ListLabel184">
    <w:name w:val="ListLabel 184"/>
    <w:qFormat/>
    <w:rPr>
      <w:rFonts w:cs="Symbol"/>
      <w:sz w:val="24"/>
    </w:rPr>
  </w:style>
  <w:style w:type="character" w:styleId="ListLabel185">
    <w:name w:val="ListLabel 185"/>
    <w:qFormat/>
    <w:rPr>
      <w:rFonts w:cs="Courier New"/>
    </w:rPr>
  </w:style>
  <w:style w:type="character" w:styleId="ListLabel186">
    <w:name w:val="ListLabel 186"/>
    <w:qFormat/>
    <w:rPr>
      <w:rFonts w:cs="Wingdings"/>
    </w:rPr>
  </w:style>
  <w:style w:type="character" w:styleId="ListLabel187">
    <w:name w:val="ListLabel 187"/>
    <w:qFormat/>
    <w:rPr>
      <w:rFonts w:cs="Symbol"/>
    </w:rPr>
  </w:style>
  <w:style w:type="character" w:styleId="ListLabel188">
    <w:name w:val="ListLabel 188"/>
    <w:qFormat/>
    <w:rPr>
      <w:rFonts w:cs="Courier New"/>
    </w:rPr>
  </w:style>
  <w:style w:type="character" w:styleId="ListLabel189">
    <w:name w:val="ListLabel 189"/>
    <w:qFormat/>
    <w:rPr>
      <w:rFonts w:cs="Wingdings"/>
    </w:rPr>
  </w:style>
  <w:style w:type="character" w:styleId="ListLabel190">
    <w:name w:val="ListLabel 190"/>
    <w:qFormat/>
    <w:rPr>
      <w:rFonts w:cs="Symbol"/>
    </w:rPr>
  </w:style>
  <w:style w:type="character" w:styleId="ListLabel191">
    <w:name w:val="ListLabel 191"/>
    <w:qFormat/>
    <w:rPr>
      <w:rFonts w:cs="Courier New"/>
    </w:rPr>
  </w:style>
  <w:style w:type="character" w:styleId="ListLabel192">
    <w:name w:val="ListLabel 192"/>
    <w:qFormat/>
    <w:rPr>
      <w:rFonts w:cs="Wingdings"/>
    </w:rPr>
  </w:style>
  <w:style w:type="character" w:styleId="ListLabel193">
    <w:name w:val="ListLabel 193"/>
    <w:qFormat/>
    <w:rPr>
      <w:rFonts w:cs="Symbol"/>
      <w:sz w:val="24"/>
    </w:rPr>
  </w:style>
  <w:style w:type="character" w:styleId="ListLabel194">
    <w:name w:val="ListLabel 194"/>
    <w:qFormat/>
    <w:rPr>
      <w:rFonts w:cs="Courier New"/>
    </w:rPr>
  </w:style>
  <w:style w:type="character" w:styleId="ListLabel195">
    <w:name w:val="ListLabel 195"/>
    <w:qFormat/>
    <w:rPr>
      <w:rFonts w:cs="Wingdings"/>
    </w:rPr>
  </w:style>
  <w:style w:type="character" w:styleId="ListLabel196">
    <w:name w:val="ListLabel 196"/>
    <w:qFormat/>
    <w:rPr>
      <w:rFonts w:cs="Symbol"/>
    </w:rPr>
  </w:style>
  <w:style w:type="character" w:styleId="ListLabel197">
    <w:name w:val="ListLabel 197"/>
    <w:qFormat/>
    <w:rPr>
      <w:rFonts w:cs="Courier New"/>
    </w:rPr>
  </w:style>
  <w:style w:type="character" w:styleId="ListLabel198">
    <w:name w:val="ListLabel 198"/>
    <w:qFormat/>
    <w:rPr>
      <w:rFonts w:cs="Wingdings"/>
    </w:rPr>
  </w:style>
  <w:style w:type="character" w:styleId="ListLabel199">
    <w:name w:val="ListLabel 199"/>
    <w:qFormat/>
    <w:rPr>
      <w:rFonts w:cs="Symbol"/>
    </w:rPr>
  </w:style>
  <w:style w:type="character" w:styleId="ListLabel200">
    <w:name w:val="ListLabel 200"/>
    <w:qFormat/>
    <w:rPr>
      <w:rFonts w:cs="Courier New"/>
    </w:rPr>
  </w:style>
  <w:style w:type="character" w:styleId="ListLabel201">
    <w:name w:val="ListLabel 201"/>
    <w:qFormat/>
    <w:rPr>
      <w:rFonts w:cs="Wingdings"/>
    </w:rPr>
  </w:style>
  <w:style w:type="character" w:styleId="ListLabel202">
    <w:name w:val="ListLabel 202"/>
    <w:qFormat/>
    <w:rPr>
      <w:b/>
    </w:rPr>
  </w:style>
  <w:style w:type="character" w:styleId="ListLabel203">
    <w:name w:val="ListLabel 203"/>
    <w:qFormat/>
    <w:rPr>
      <w:rFonts w:cs="Symbol"/>
      <w:b/>
      <w:u w:val="none"/>
    </w:rPr>
  </w:style>
  <w:style w:type="character" w:styleId="ListLabel204">
    <w:name w:val="ListLabel 204"/>
    <w:qFormat/>
    <w:rPr>
      <w:b w:val="false"/>
      <w:sz w:val="24"/>
      <w:szCs w:val="24"/>
    </w:rPr>
  </w:style>
  <w:style w:type="character" w:styleId="ListLabel205">
    <w:name w:val="ListLabel 205"/>
    <w:qFormat/>
    <w:rPr>
      <w:rFonts w:cs="Symbol"/>
      <w:b/>
      <w:sz w:val="24"/>
    </w:rPr>
  </w:style>
  <w:style w:type="character" w:styleId="ListLabel206">
    <w:name w:val="ListLabel 206"/>
    <w:qFormat/>
    <w:rPr>
      <w:rFonts w:cs="Courier New"/>
    </w:rPr>
  </w:style>
  <w:style w:type="character" w:styleId="ListLabel207">
    <w:name w:val="ListLabel 207"/>
    <w:qFormat/>
    <w:rPr>
      <w:rFonts w:cs="Wingdings"/>
    </w:rPr>
  </w:style>
  <w:style w:type="character" w:styleId="ListLabel208">
    <w:name w:val="ListLabel 208"/>
    <w:qFormat/>
    <w:rPr>
      <w:rFonts w:cs="Symbol"/>
    </w:rPr>
  </w:style>
  <w:style w:type="character" w:styleId="ListLabel209">
    <w:name w:val="ListLabel 209"/>
    <w:qFormat/>
    <w:rPr>
      <w:rFonts w:cs="Courier New"/>
    </w:rPr>
  </w:style>
  <w:style w:type="character" w:styleId="ListLabel210">
    <w:name w:val="ListLabel 210"/>
    <w:qFormat/>
    <w:rPr>
      <w:rFonts w:cs="Wingdings"/>
    </w:rPr>
  </w:style>
  <w:style w:type="character" w:styleId="ListLabel211">
    <w:name w:val="ListLabel 211"/>
    <w:qFormat/>
    <w:rPr>
      <w:rFonts w:cs="Symbol"/>
    </w:rPr>
  </w:style>
  <w:style w:type="character" w:styleId="ListLabel212">
    <w:name w:val="ListLabel 212"/>
    <w:qFormat/>
    <w:rPr>
      <w:rFonts w:cs="Courier New"/>
    </w:rPr>
  </w:style>
  <w:style w:type="character" w:styleId="ListLabel213">
    <w:name w:val="ListLabel 213"/>
    <w:qFormat/>
    <w:rPr>
      <w:rFonts w:cs="Wingdings"/>
    </w:rPr>
  </w:style>
  <w:style w:type="character" w:styleId="ListLabel214">
    <w:name w:val="ListLabel 214"/>
    <w:qFormat/>
    <w:rPr>
      <w:rFonts w:cs="Symbol"/>
      <w:b/>
      <w:sz w:val="24"/>
    </w:rPr>
  </w:style>
  <w:style w:type="character" w:styleId="ListLabel215">
    <w:name w:val="ListLabel 215"/>
    <w:qFormat/>
    <w:rPr>
      <w:rFonts w:cs="Courier New"/>
    </w:rPr>
  </w:style>
  <w:style w:type="character" w:styleId="ListLabel216">
    <w:name w:val="ListLabel 216"/>
    <w:qFormat/>
    <w:rPr>
      <w:rFonts w:cs="Wingdings"/>
    </w:rPr>
  </w:style>
  <w:style w:type="character" w:styleId="ListLabel217">
    <w:name w:val="ListLabel 217"/>
    <w:qFormat/>
    <w:rPr>
      <w:rFonts w:cs="Symbol"/>
    </w:rPr>
  </w:style>
  <w:style w:type="character" w:styleId="ListLabel218">
    <w:name w:val="ListLabel 218"/>
    <w:qFormat/>
    <w:rPr>
      <w:rFonts w:cs="Courier New"/>
    </w:rPr>
  </w:style>
  <w:style w:type="character" w:styleId="ListLabel219">
    <w:name w:val="ListLabel 219"/>
    <w:qFormat/>
    <w:rPr>
      <w:rFonts w:cs="Wingdings"/>
    </w:rPr>
  </w:style>
  <w:style w:type="character" w:styleId="ListLabel220">
    <w:name w:val="ListLabel 220"/>
    <w:qFormat/>
    <w:rPr>
      <w:rFonts w:cs="Symbol"/>
    </w:rPr>
  </w:style>
  <w:style w:type="character" w:styleId="ListLabel221">
    <w:name w:val="ListLabel 221"/>
    <w:qFormat/>
    <w:rPr>
      <w:rFonts w:cs="Courier New"/>
    </w:rPr>
  </w:style>
  <w:style w:type="character" w:styleId="ListLabel222">
    <w:name w:val="ListLabel 222"/>
    <w:qFormat/>
    <w:rPr>
      <w:rFonts w:cs="Wingdings"/>
    </w:rPr>
  </w:style>
  <w:style w:type="character" w:styleId="ListLabel223">
    <w:name w:val="ListLabel 223"/>
    <w:qFormat/>
    <w:rPr>
      <w:rFonts w:cs="Symbol"/>
      <w:sz w:val="24"/>
    </w:rPr>
  </w:style>
  <w:style w:type="character" w:styleId="ListLabel224">
    <w:name w:val="ListLabel 224"/>
    <w:qFormat/>
    <w:rPr>
      <w:rFonts w:cs="Courier New"/>
    </w:rPr>
  </w:style>
  <w:style w:type="character" w:styleId="ListLabel225">
    <w:name w:val="ListLabel 225"/>
    <w:qFormat/>
    <w:rPr>
      <w:rFonts w:cs="Wingdings"/>
    </w:rPr>
  </w:style>
  <w:style w:type="character" w:styleId="ListLabel226">
    <w:name w:val="ListLabel 226"/>
    <w:qFormat/>
    <w:rPr>
      <w:rFonts w:cs="Symbol"/>
    </w:rPr>
  </w:style>
  <w:style w:type="character" w:styleId="ListLabel227">
    <w:name w:val="ListLabel 227"/>
    <w:qFormat/>
    <w:rPr>
      <w:rFonts w:cs="Courier New"/>
    </w:rPr>
  </w:style>
  <w:style w:type="character" w:styleId="ListLabel228">
    <w:name w:val="ListLabel 228"/>
    <w:qFormat/>
    <w:rPr>
      <w:rFonts w:cs="Wingdings"/>
    </w:rPr>
  </w:style>
  <w:style w:type="character" w:styleId="ListLabel229">
    <w:name w:val="ListLabel 229"/>
    <w:qFormat/>
    <w:rPr>
      <w:rFonts w:cs="Symbol"/>
    </w:rPr>
  </w:style>
  <w:style w:type="character" w:styleId="ListLabel230">
    <w:name w:val="ListLabel 230"/>
    <w:qFormat/>
    <w:rPr>
      <w:rFonts w:cs="Courier New"/>
    </w:rPr>
  </w:style>
  <w:style w:type="character" w:styleId="ListLabel231">
    <w:name w:val="ListLabel 231"/>
    <w:qFormat/>
    <w:rPr>
      <w:rFonts w:cs="Wingdings"/>
    </w:rPr>
  </w:style>
  <w:style w:type="character" w:styleId="ListLabel232">
    <w:name w:val="ListLabel 232"/>
    <w:qFormat/>
    <w:rPr>
      <w:rFonts w:cs="Symbol"/>
      <w:b/>
      <w:sz w:val="24"/>
    </w:rPr>
  </w:style>
  <w:style w:type="character" w:styleId="ListLabel233">
    <w:name w:val="ListLabel 233"/>
    <w:qFormat/>
    <w:rPr>
      <w:rFonts w:cs="Courier New"/>
    </w:rPr>
  </w:style>
  <w:style w:type="character" w:styleId="ListLabel234">
    <w:name w:val="ListLabel 234"/>
    <w:qFormat/>
    <w:rPr>
      <w:rFonts w:cs="Wingdings"/>
    </w:rPr>
  </w:style>
  <w:style w:type="character" w:styleId="ListLabel235">
    <w:name w:val="ListLabel 235"/>
    <w:qFormat/>
    <w:rPr>
      <w:rFonts w:cs="Symbol"/>
    </w:rPr>
  </w:style>
  <w:style w:type="character" w:styleId="ListLabel236">
    <w:name w:val="ListLabel 236"/>
    <w:qFormat/>
    <w:rPr>
      <w:rFonts w:cs="Courier New"/>
    </w:rPr>
  </w:style>
  <w:style w:type="character" w:styleId="ListLabel237">
    <w:name w:val="ListLabel 237"/>
    <w:qFormat/>
    <w:rPr>
      <w:rFonts w:cs="Wingdings"/>
    </w:rPr>
  </w:style>
  <w:style w:type="character" w:styleId="ListLabel238">
    <w:name w:val="ListLabel 238"/>
    <w:qFormat/>
    <w:rPr>
      <w:rFonts w:cs="Symbol"/>
    </w:rPr>
  </w:style>
  <w:style w:type="character" w:styleId="ListLabel239">
    <w:name w:val="ListLabel 239"/>
    <w:qFormat/>
    <w:rPr>
      <w:rFonts w:cs="Courier New"/>
    </w:rPr>
  </w:style>
  <w:style w:type="character" w:styleId="ListLabel240">
    <w:name w:val="ListLabel 240"/>
    <w:qFormat/>
    <w:rPr>
      <w:rFonts w:cs="Wingdings"/>
    </w:rPr>
  </w:style>
  <w:style w:type="character" w:styleId="ListLabel241">
    <w:name w:val="ListLabel 241"/>
    <w:qFormat/>
    <w:rPr>
      <w:rFonts w:cs="Symbol"/>
      <w:b/>
      <w:sz w:val="24"/>
    </w:rPr>
  </w:style>
  <w:style w:type="character" w:styleId="ListLabel242">
    <w:name w:val="ListLabel 242"/>
    <w:qFormat/>
    <w:rPr>
      <w:rFonts w:cs="Courier New"/>
    </w:rPr>
  </w:style>
  <w:style w:type="character" w:styleId="ListLabel243">
    <w:name w:val="ListLabel 243"/>
    <w:qFormat/>
    <w:rPr>
      <w:rFonts w:cs="Wingdings"/>
    </w:rPr>
  </w:style>
  <w:style w:type="character" w:styleId="ListLabel244">
    <w:name w:val="ListLabel 244"/>
    <w:qFormat/>
    <w:rPr>
      <w:rFonts w:cs="Symbol"/>
    </w:rPr>
  </w:style>
  <w:style w:type="character" w:styleId="ListLabel245">
    <w:name w:val="ListLabel 245"/>
    <w:qFormat/>
    <w:rPr>
      <w:rFonts w:cs="Courier New"/>
    </w:rPr>
  </w:style>
  <w:style w:type="character" w:styleId="ListLabel246">
    <w:name w:val="ListLabel 246"/>
    <w:qFormat/>
    <w:rPr>
      <w:rFonts w:cs="Wingdings"/>
    </w:rPr>
  </w:style>
  <w:style w:type="character" w:styleId="ListLabel247">
    <w:name w:val="ListLabel 247"/>
    <w:qFormat/>
    <w:rPr>
      <w:rFonts w:cs="Symbol"/>
    </w:rPr>
  </w:style>
  <w:style w:type="character" w:styleId="ListLabel248">
    <w:name w:val="ListLabel 248"/>
    <w:qFormat/>
    <w:rPr>
      <w:rFonts w:cs="Courier New"/>
    </w:rPr>
  </w:style>
  <w:style w:type="character" w:styleId="ListLabel249">
    <w:name w:val="ListLabel 249"/>
    <w:qFormat/>
    <w:rPr>
      <w:rFonts w:cs="Wingdings"/>
    </w:rPr>
  </w:style>
  <w:style w:type="character" w:styleId="ListLabel250">
    <w:name w:val="ListLabel 250"/>
    <w:qFormat/>
    <w:rPr>
      <w:rFonts w:cs="Symbol"/>
      <w:sz w:val="24"/>
    </w:rPr>
  </w:style>
  <w:style w:type="character" w:styleId="ListLabel251">
    <w:name w:val="ListLabel 251"/>
    <w:qFormat/>
    <w:rPr>
      <w:rFonts w:cs="Courier New"/>
    </w:rPr>
  </w:style>
  <w:style w:type="character" w:styleId="ListLabel252">
    <w:name w:val="ListLabel 252"/>
    <w:qFormat/>
    <w:rPr>
      <w:rFonts w:cs="Wingdings"/>
    </w:rPr>
  </w:style>
  <w:style w:type="character" w:styleId="ListLabel253">
    <w:name w:val="ListLabel 253"/>
    <w:qFormat/>
    <w:rPr>
      <w:rFonts w:cs="Symbol"/>
    </w:rPr>
  </w:style>
  <w:style w:type="character" w:styleId="ListLabel254">
    <w:name w:val="ListLabel 254"/>
    <w:qFormat/>
    <w:rPr>
      <w:rFonts w:cs="Courier New"/>
    </w:rPr>
  </w:style>
  <w:style w:type="character" w:styleId="ListLabel255">
    <w:name w:val="ListLabel 255"/>
    <w:qFormat/>
    <w:rPr>
      <w:rFonts w:cs="Wingdings"/>
    </w:rPr>
  </w:style>
  <w:style w:type="character" w:styleId="ListLabel256">
    <w:name w:val="ListLabel 256"/>
    <w:qFormat/>
    <w:rPr>
      <w:rFonts w:cs="Symbol"/>
    </w:rPr>
  </w:style>
  <w:style w:type="character" w:styleId="ListLabel257">
    <w:name w:val="ListLabel 257"/>
    <w:qFormat/>
    <w:rPr>
      <w:rFonts w:cs="Courier New"/>
    </w:rPr>
  </w:style>
  <w:style w:type="character" w:styleId="ListLabel258">
    <w:name w:val="ListLabel 258"/>
    <w:qFormat/>
    <w:rPr>
      <w:rFonts w:cs="Wingdings"/>
    </w:rPr>
  </w:style>
  <w:style w:type="character" w:styleId="ListLabel259">
    <w:name w:val="ListLabel 259"/>
    <w:qFormat/>
    <w:rPr>
      <w:rFonts w:cs="Symbol"/>
      <w:sz w:val="24"/>
    </w:rPr>
  </w:style>
  <w:style w:type="character" w:styleId="ListLabel260">
    <w:name w:val="ListLabel 260"/>
    <w:qFormat/>
    <w:rPr>
      <w:rFonts w:cs="Courier New"/>
    </w:rPr>
  </w:style>
  <w:style w:type="character" w:styleId="ListLabel261">
    <w:name w:val="ListLabel 261"/>
    <w:qFormat/>
    <w:rPr>
      <w:rFonts w:cs="Wingdings"/>
    </w:rPr>
  </w:style>
  <w:style w:type="character" w:styleId="ListLabel262">
    <w:name w:val="ListLabel 262"/>
    <w:qFormat/>
    <w:rPr>
      <w:rFonts w:cs="Symbol"/>
    </w:rPr>
  </w:style>
  <w:style w:type="character" w:styleId="ListLabel263">
    <w:name w:val="ListLabel 263"/>
    <w:qFormat/>
    <w:rPr>
      <w:rFonts w:cs="Courier New"/>
    </w:rPr>
  </w:style>
  <w:style w:type="character" w:styleId="ListLabel264">
    <w:name w:val="ListLabel 264"/>
    <w:qFormat/>
    <w:rPr>
      <w:rFonts w:cs="Wingdings"/>
    </w:rPr>
  </w:style>
  <w:style w:type="character" w:styleId="ListLabel265">
    <w:name w:val="ListLabel 265"/>
    <w:qFormat/>
    <w:rPr>
      <w:rFonts w:cs="Symbol"/>
    </w:rPr>
  </w:style>
  <w:style w:type="character" w:styleId="ListLabel266">
    <w:name w:val="ListLabel 266"/>
    <w:qFormat/>
    <w:rPr>
      <w:rFonts w:cs="Courier New"/>
    </w:rPr>
  </w:style>
  <w:style w:type="character" w:styleId="ListLabel267">
    <w:name w:val="ListLabel 267"/>
    <w:qFormat/>
    <w:rPr>
      <w:rFonts w:cs="Wingdings"/>
    </w:rPr>
  </w:style>
  <w:style w:type="character" w:styleId="ListLabel268">
    <w:name w:val="ListLabel 268"/>
    <w:qFormat/>
    <w:rPr>
      <w:b/>
    </w:rPr>
  </w:style>
  <w:style w:type="character" w:styleId="ListLabel269">
    <w:name w:val="ListLabel 269"/>
    <w:qFormat/>
    <w:rPr>
      <w:b w:val="false"/>
      <w:u w:val="none"/>
    </w:rPr>
  </w:style>
  <w:style w:type="character" w:styleId="ListLabel270">
    <w:name w:val="ListLabel 270"/>
    <w:qFormat/>
    <w:rPr>
      <w:rFonts w:cs="Symbol"/>
      <w:b/>
      <w:sz w:val="24"/>
      <w:szCs w:val="24"/>
    </w:rPr>
  </w:style>
  <w:style w:type="paragraph" w:styleId="Style29">
    <w:name w:val="Заголовок"/>
    <w:basedOn w:val="Normal"/>
    <w:next w:val="Style30"/>
    <w:qFormat/>
    <w:pPr>
      <w:keepNext w:val="true"/>
      <w:spacing w:before="240" w:after="120"/>
    </w:pPr>
    <w:rPr>
      <w:rFonts w:ascii="Liberation Sans" w:hAnsi="Liberation Sans" w:eastAsia="WenQuanYi Zen Hei Sharp" w:cs="Lohit Devanagari"/>
      <w:sz w:val="28"/>
      <w:szCs w:val="28"/>
    </w:rPr>
  </w:style>
  <w:style w:type="paragraph" w:styleId="Style30">
    <w:name w:val="Body Text"/>
    <w:basedOn w:val="Normal"/>
    <w:rsid w:val="004b090f"/>
    <w:pPr>
      <w:spacing w:before="0" w:after="120"/>
    </w:pPr>
    <w:rPr/>
  </w:style>
  <w:style w:type="paragraph" w:styleId="Style31">
    <w:name w:val="List"/>
    <w:basedOn w:val="Style30"/>
    <w:pPr/>
    <w:rPr>
      <w:rFonts w:cs="Lohit Devanagari"/>
    </w:rPr>
  </w:style>
  <w:style w:type="paragraph" w:styleId="Style32">
    <w:name w:val="Caption"/>
    <w:basedOn w:val="Normal"/>
    <w:qFormat/>
    <w:pPr>
      <w:suppressLineNumbers/>
      <w:spacing w:before="120" w:after="120"/>
    </w:pPr>
    <w:rPr>
      <w:rFonts w:cs="Lohit Devanagari"/>
      <w:i/>
      <w:iCs/>
      <w:sz w:val="24"/>
      <w:szCs w:val="24"/>
    </w:rPr>
  </w:style>
  <w:style w:type="paragraph" w:styleId="Style33">
    <w:name w:val="Указатель"/>
    <w:basedOn w:val="Normal"/>
    <w:qFormat/>
    <w:pPr>
      <w:suppressLineNumbers/>
    </w:pPr>
    <w:rPr>
      <w:rFonts w:cs="Lohit Devanagari"/>
      <w:lang w:val="zxx" w:eastAsia="zxx" w:bidi="zxx"/>
    </w:rPr>
  </w:style>
  <w:style w:type="paragraph" w:styleId="BodyText3">
    <w:name w:val="Body Text 3"/>
    <w:basedOn w:val="Normal"/>
    <w:link w:val="3"/>
    <w:qFormat/>
    <w:rsid w:val="004b090f"/>
    <w:pPr>
      <w:spacing w:lineRule="auto" w:line="240"/>
      <w:ind w:hanging="0"/>
    </w:pPr>
    <w:rPr>
      <w:color w:val="0000FF"/>
      <w:sz w:val="24"/>
      <w:szCs w:val="24"/>
      <w:lang w:val="x-none" w:eastAsia="en-US"/>
    </w:rPr>
  </w:style>
  <w:style w:type="paragraph" w:styleId="Style34">
    <w:name w:val="Колонтитул"/>
    <w:basedOn w:val="Normal"/>
    <w:qFormat/>
    <w:pPr/>
    <w:rPr/>
  </w:style>
  <w:style w:type="paragraph" w:styleId="Style35">
    <w:name w:val="Header"/>
    <w:basedOn w:val="Normal"/>
    <w:rsid w:val="004b090f"/>
    <w:pPr>
      <w:tabs>
        <w:tab w:val="center" w:pos="4677" w:leader="none"/>
        <w:tab w:val="right" w:pos="9355" w:leader="none"/>
      </w:tabs>
    </w:pPr>
    <w:rPr/>
  </w:style>
  <w:style w:type="paragraph" w:styleId="Style110" w:customStyle="1">
    <w:name w:val="Style1"/>
    <w:basedOn w:val="Normal"/>
    <w:autoRedefine/>
    <w:qFormat/>
    <w:rsid w:val="004b090f"/>
    <w:pPr>
      <w:spacing w:lineRule="auto" w:line="240" w:before="240" w:after="0"/>
      <w:ind w:hanging="0"/>
      <w:jc w:val="left"/>
    </w:pPr>
    <w:rPr>
      <w:b/>
      <w:sz w:val="22"/>
      <w:szCs w:val="20"/>
    </w:rPr>
  </w:style>
  <w:style w:type="paragraph" w:styleId="BodyText2">
    <w:name w:val="Body Text 2"/>
    <w:basedOn w:val="Normal"/>
    <w:qFormat/>
    <w:rsid w:val="004b090f"/>
    <w:pPr>
      <w:widowControl w:val="false"/>
      <w:spacing w:lineRule="auto" w:line="480" w:before="0" w:after="120"/>
      <w:ind w:hanging="0"/>
      <w:jc w:val="left"/>
    </w:pPr>
    <w:rPr>
      <w:sz w:val="20"/>
      <w:szCs w:val="20"/>
    </w:rPr>
  </w:style>
  <w:style w:type="paragraph" w:styleId="Style36" w:customStyle="1">
    <w:name w:val="Знак"/>
    <w:basedOn w:val="Normal"/>
    <w:qFormat/>
    <w:rsid w:val="000873ec"/>
    <w:pPr>
      <w:spacing w:lineRule="exact" w:line="240" w:before="0" w:after="160"/>
      <w:ind w:hanging="0"/>
      <w:jc w:val="left"/>
    </w:pPr>
    <w:rPr>
      <w:rFonts w:ascii="Verdana" w:hAnsi="Verdana" w:cs="Verdana"/>
      <w:sz w:val="20"/>
      <w:szCs w:val="20"/>
      <w:lang w:val="en-US" w:eastAsia="en-US"/>
    </w:rPr>
  </w:style>
  <w:style w:type="paragraph" w:styleId="Style37">
    <w:name w:val="Footnote Text"/>
    <w:basedOn w:val="Normal"/>
    <w:uiPriority w:val="99"/>
    <w:rsid w:val="00d45657"/>
    <w:pPr>
      <w:spacing w:lineRule="auto" w:line="240"/>
      <w:ind w:hanging="0"/>
      <w:jc w:val="left"/>
    </w:pPr>
    <w:rPr>
      <w:sz w:val="20"/>
      <w:szCs w:val="20"/>
    </w:rPr>
  </w:style>
  <w:style w:type="paragraph" w:styleId="Style38" w:customStyle="1">
    <w:name w:val="Знак Знак Знак Знак Знак Знак Знак"/>
    <w:basedOn w:val="Normal"/>
    <w:qFormat/>
    <w:rsid w:val="00773634"/>
    <w:pPr>
      <w:spacing w:lineRule="exact" w:line="240" w:before="0" w:after="160"/>
      <w:ind w:hanging="0"/>
      <w:jc w:val="left"/>
    </w:pPr>
    <w:rPr>
      <w:rFonts w:ascii="Verdana" w:hAnsi="Verdana" w:cs="Verdana"/>
      <w:sz w:val="20"/>
      <w:szCs w:val="20"/>
      <w:lang w:val="en-US" w:eastAsia="en-US"/>
    </w:rPr>
  </w:style>
  <w:style w:type="paragraph" w:styleId="22" w:customStyle="1">
    <w:name w:val="Знак2"/>
    <w:basedOn w:val="Normal"/>
    <w:qFormat/>
    <w:rsid w:val="00f65662"/>
    <w:pPr>
      <w:spacing w:lineRule="exact" w:line="240" w:before="0" w:after="160"/>
      <w:ind w:hanging="0"/>
      <w:jc w:val="left"/>
    </w:pPr>
    <w:rPr>
      <w:rFonts w:ascii="Verdana" w:hAnsi="Verdana" w:cs="Verdana"/>
      <w:sz w:val="20"/>
      <w:szCs w:val="20"/>
      <w:lang w:val="en-US" w:eastAsia="en-US"/>
    </w:rPr>
  </w:style>
  <w:style w:type="paragraph" w:styleId="Style39" w:customStyle="1">
    <w:name w:val="Знак Знак Знак Знак Знак Знак Знак Знак Знак"/>
    <w:basedOn w:val="Normal"/>
    <w:qFormat/>
    <w:rsid w:val="007c5ecd"/>
    <w:pPr>
      <w:spacing w:lineRule="exact" w:line="240" w:before="0" w:after="160"/>
      <w:ind w:hanging="0"/>
    </w:pPr>
    <w:rPr>
      <w:rFonts w:ascii="Verdana" w:hAnsi="Verdana"/>
      <w:sz w:val="22"/>
      <w:szCs w:val="20"/>
      <w:lang w:val="en-US" w:eastAsia="en-US"/>
    </w:rPr>
  </w:style>
  <w:style w:type="paragraph" w:styleId="Style40" w:customStyle="1">
    <w:name w:val="Пункт договора"/>
    <w:basedOn w:val="Normal"/>
    <w:qFormat/>
    <w:rsid w:val="004d4328"/>
    <w:pPr>
      <w:widowControl w:val="false"/>
      <w:spacing w:lineRule="auto" w:line="240"/>
      <w:ind w:hanging="0"/>
    </w:pPr>
    <w:rPr>
      <w:rFonts w:ascii="Arial" w:hAnsi="Arial"/>
      <w:sz w:val="20"/>
      <w:szCs w:val="20"/>
    </w:rPr>
  </w:style>
  <w:style w:type="paragraph" w:styleId="Style41" w:customStyle="1">
    <w:name w:val="Подпункт договора"/>
    <w:basedOn w:val="Normal"/>
    <w:qFormat/>
    <w:rsid w:val="00617a62"/>
    <w:pPr>
      <w:tabs>
        <w:tab w:val="left" w:pos="360" w:leader="none"/>
      </w:tabs>
      <w:spacing w:lineRule="auto" w:line="240"/>
      <w:ind w:hanging="0"/>
    </w:pPr>
    <w:rPr>
      <w:rFonts w:ascii="Arial" w:hAnsi="Arial"/>
      <w:sz w:val="20"/>
      <w:szCs w:val="20"/>
    </w:rPr>
  </w:style>
  <w:style w:type="paragraph" w:styleId="BodyTextIndent3">
    <w:name w:val="Body Text Indent 3"/>
    <w:basedOn w:val="Normal"/>
    <w:qFormat/>
    <w:rsid w:val="006329b9"/>
    <w:pPr>
      <w:spacing w:before="0" w:after="120"/>
      <w:ind w:left="283" w:firstLine="567"/>
    </w:pPr>
    <w:rPr>
      <w:sz w:val="16"/>
      <w:szCs w:val="16"/>
    </w:rPr>
  </w:style>
  <w:style w:type="paragraph" w:styleId="ListParagraph">
    <w:name w:val="List Paragraph"/>
    <w:basedOn w:val="Normal"/>
    <w:uiPriority w:val="34"/>
    <w:qFormat/>
    <w:rsid w:val="005f3f9e"/>
    <w:pPr>
      <w:spacing w:lineRule="auto" w:line="240" w:before="0" w:after="0"/>
      <w:ind w:left="720" w:hanging="0"/>
      <w:contextualSpacing/>
      <w:jc w:val="left"/>
    </w:pPr>
    <w:rPr>
      <w:sz w:val="24"/>
      <w:szCs w:val="24"/>
    </w:rPr>
  </w:style>
  <w:style w:type="paragraph" w:styleId="13" w:customStyle="1">
    <w:name w:val="1. Статья"/>
    <w:basedOn w:val="3"/>
    <w:qFormat/>
    <w:rsid w:val="005f4a86"/>
    <w:pPr>
      <w:keepNext w:val="false"/>
      <w:widowControl w:val="false"/>
      <w:tabs>
        <w:tab w:val="left" w:pos="2340" w:leader="none"/>
      </w:tabs>
      <w:suppressAutoHyphens w:val="false"/>
      <w:overflowPunct w:val="true"/>
      <w:spacing w:before="0" w:after="0"/>
      <w:ind w:right="1462" w:hanging="0"/>
      <w:jc w:val="center"/>
      <w:textAlignment w:val="baseline"/>
    </w:pPr>
    <w:rPr>
      <w:b w:val="false"/>
      <w:sz w:val="24"/>
      <w:szCs w:val="24"/>
    </w:rPr>
  </w:style>
  <w:style w:type="paragraph" w:styleId="23" w:customStyle="1">
    <w:name w:val="2. Пункт"/>
    <w:basedOn w:val="3"/>
    <w:qFormat/>
    <w:rsid w:val="005f4a86"/>
    <w:pPr>
      <w:keepNext w:val="false"/>
      <w:widowControl w:val="false"/>
      <w:suppressAutoHyphens w:val="false"/>
      <w:overflowPunct w:val="true"/>
      <w:spacing w:before="0" w:after="0"/>
      <w:jc w:val="both"/>
      <w:textAlignment w:val="baseline"/>
    </w:pPr>
    <w:rPr>
      <w:b w:val="false"/>
      <w:sz w:val="24"/>
      <w:szCs w:val="24"/>
    </w:rPr>
  </w:style>
  <w:style w:type="paragraph" w:styleId="34" w:customStyle="1">
    <w:name w:val="3. Подпункт"/>
    <w:basedOn w:val="3"/>
    <w:qFormat/>
    <w:rsid w:val="005f4a86"/>
    <w:pPr>
      <w:keepNext w:val="false"/>
      <w:widowControl w:val="false"/>
      <w:tabs>
        <w:tab w:val="left" w:pos="1620" w:leader="none"/>
      </w:tabs>
      <w:suppressAutoHyphens w:val="false"/>
      <w:overflowPunct w:val="true"/>
      <w:spacing w:before="0" w:after="0"/>
      <w:jc w:val="both"/>
      <w:textAlignment w:val="baseline"/>
    </w:pPr>
    <w:rPr>
      <w:bCs/>
      <w:sz w:val="24"/>
      <w:szCs w:val="24"/>
    </w:rPr>
  </w:style>
  <w:style w:type="paragraph" w:styleId="ConsNormal" w:customStyle="1">
    <w:name w:val="ConsNormal"/>
    <w:qFormat/>
    <w:rsid w:val="008a113a"/>
    <w:pPr>
      <w:widowControl/>
      <w:suppressAutoHyphens w:val="true"/>
      <w:bidi w:val="0"/>
      <w:spacing w:before="0" w:after="0"/>
      <w:ind w:right="19772" w:firstLine="720"/>
      <w:jc w:val="left"/>
    </w:pPr>
    <w:rPr>
      <w:rFonts w:ascii="Arial" w:hAnsi="Arial" w:eastAsia="Times New Roman" w:cs="Times New Roman"/>
      <w:color w:val="00000A"/>
      <w:sz w:val="32"/>
      <w:szCs w:val="20"/>
      <w:lang w:val="ru-RU" w:eastAsia="en-US" w:bidi="ar-SA"/>
    </w:rPr>
  </w:style>
  <w:style w:type="paragraph" w:styleId="BalloonText">
    <w:name w:val="Balloon Text"/>
    <w:basedOn w:val="Normal"/>
    <w:qFormat/>
    <w:rsid w:val="00dc2b59"/>
    <w:pPr>
      <w:spacing w:lineRule="auto" w:line="240"/>
    </w:pPr>
    <w:rPr>
      <w:rFonts w:ascii="Tahoma" w:hAnsi="Tahoma"/>
      <w:sz w:val="16"/>
      <w:szCs w:val="16"/>
      <w:lang w:val="x-none" w:eastAsia="x-none"/>
    </w:rPr>
  </w:style>
  <w:style w:type="paragraph" w:styleId="41" w:customStyle="1">
    <w:name w:val="4. Отчерк"/>
    <w:basedOn w:val="Normal"/>
    <w:link w:val="4"/>
    <w:qFormat/>
    <w:rsid w:val="00f50d64"/>
    <w:pPr>
      <w:widowControl w:val="false"/>
      <w:spacing w:lineRule="auto" w:line="240"/>
    </w:pPr>
    <w:rPr>
      <w:sz w:val="24"/>
      <w:szCs w:val="24"/>
      <w:lang w:val="x-none" w:eastAsia="x-none"/>
    </w:rPr>
  </w:style>
  <w:style w:type="paragraph" w:styleId="Annotationtext">
    <w:name w:val="annotation text"/>
    <w:basedOn w:val="Normal"/>
    <w:qFormat/>
    <w:rsid w:val="00f50d64"/>
    <w:pPr>
      <w:spacing w:lineRule="auto" w:line="240"/>
    </w:pPr>
    <w:rPr>
      <w:sz w:val="20"/>
      <w:szCs w:val="20"/>
      <w:lang w:val="x-none" w:eastAsia="x-none"/>
    </w:rPr>
  </w:style>
  <w:style w:type="paragraph" w:styleId="Annotationsubject">
    <w:name w:val="annotation subject"/>
    <w:basedOn w:val="Annotationtext"/>
    <w:qFormat/>
    <w:rsid w:val="00f50d64"/>
    <w:pPr/>
    <w:rPr>
      <w:b/>
      <w:bCs/>
    </w:rPr>
  </w:style>
  <w:style w:type="paragraph" w:styleId="Style42">
    <w:name w:val="Footer"/>
    <w:basedOn w:val="Normal"/>
    <w:uiPriority w:val="99"/>
    <w:rsid w:val="0043217c"/>
    <w:pPr>
      <w:tabs>
        <w:tab w:val="center" w:pos="4677" w:leader="none"/>
        <w:tab w:val="right" w:pos="9355" w:leader="none"/>
      </w:tabs>
      <w:spacing w:lineRule="auto" w:line="240"/>
    </w:pPr>
    <w:rPr>
      <w:lang w:val="x-none" w:eastAsia="x-none"/>
    </w:rPr>
  </w:style>
  <w:style w:type="paragraph" w:styleId="Revision">
    <w:name w:val="Revision"/>
    <w:uiPriority w:val="99"/>
    <w:semiHidden/>
    <w:qFormat/>
    <w:rsid w:val="003003ef"/>
    <w:pPr>
      <w:widowControl/>
      <w:suppressAutoHyphens w:val="true"/>
      <w:bidi w:val="0"/>
      <w:spacing w:before="0" w:after="0"/>
      <w:jc w:val="left"/>
    </w:pPr>
    <w:rPr>
      <w:rFonts w:ascii="Times New Roman" w:hAnsi="Times New Roman" w:eastAsia="Times New Roman" w:cs="Times New Roman"/>
      <w:color w:val="00000A"/>
      <w:sz w:val="28"/>
      <w:szCs w:val="28"/>
      <w:lang w:val="ru-RU" w:eastAsia="ru-RU" w:bidi="ar-SA"/>
    </w:rPr>
  </w:style>
  <w:style w:type="paragraph" w:styleId="Style43" w:customStyle="1">
    <w:name w:val="Title"/>
    <w:basedOn w:val="Normal"/>
    <w:qFormat/>
    <w:rsid w:val="00ae674d"/>
    <w:pPr>
      <w:widowControl w:val="false"/>
      <w:overflowPunct w:val="true"/>
      <w:spacing w:lineRule="auto" w:line="240" w:before="0" w:after="120"/>
      <w:ind w:hanging="0"/>
      <w:jc w:val="center"/>
      <w:textAlignment w:val="baseline"/>
    </w:pPr>
    <w:rPr>
      <w:b/>
      <w:bCs/>
      <w:sz w:val="32"/>
      <w:szCs w:val="20"/>
    </w:rPr>
  </w:style>
  <w:style w:type="paragraph" w:styleId="Style44">
    <w:name w:val="Body Text Indent"/>
    <w:basedOn w:val="Normal"/>
    <w:rsid w:val="00ae674d"/>
    <w:pPr>
      <w:spacing w:before="0" w:after="120"/>
      <w:ind w:left="283" w:firstLine="567"/>
    </w:pPr>
    <w:rPr>
      <w:lang w:val="x-none" w:eastAsia="x-none"/>
    </w:rPr>
  </w:style>
  <w:style w:type="paragraph" w:styleId="333" w:customStyle="1">
    <w:name w:val="Пункт 3.3.3"/>
    <w:basedOn w:val="Normal"/>
    <w:qFormat/>
    <w:rsid w:val="00ae674d"/>
    <w:pPr>
      <w:keepNext w:val="true"/>
      <w:keepLines/>
      <w:widowControl w:val="false"/>
      <w:tabs>
        <w:tab w:val="left" w:pos="920" w:leader="none"/>
      </w:tabs>
      <w:overflowPunct w:val="true"/>
      <w:spacing w:lineRule="auto" w:line="240" w:before="240" w:after="240"/>
      <w:ind w:left="704" w:hanging="504"/>
      <w:jc w:val="left"/>
      <w:textAlignment w:val="baseline"/>
      <w:outlineLvl w:val="1"/>
    </w:pPr>
    <w:rPr>
      <w:sz w:val="24"/>
      <w:szCs w:val="20"/>
    </w:rPr>
  </w:style>
  <w:style w:type="paragraph" w:styleId="Caption1">
    <w:name w:val="caption1"/>
    <w:basedOn w:val="Normal"/>
    <w:next w:val="Normal"/>
    <w:qFormat/>
    <w:rsid w:val="00ae674d"/>
    <w:pPr>
      <w:widowControl w:val="false"/>
      <w:overflowPunct w:val="true"/>
      <w:spacing w:lineRule="auto" w:line="240" w:before="120" w:after="120"/>
      <w:ind w:hanging="0"/>
      <w:textAlignment w:val="baseline"/>
    </w:pPr>
    <w:rPr>
      <w:b/>
      <w:bCs/>
      <w:sz w:val="24"/>
      <w:szCs w:val="24"/>
    </w:rPr>
  </w:style>
  <w:style w:type="paragraph" w:styleId="14" w:customStyle="1">
    <w:name w:val="Знак1"/>
    <w:basedOn w:val="Normal"/>
    <w:qFormat/>
    <w:rsid w:val="00f43f0d"/>
    <w:pPr>
      <w:spacing w:lineRule="exact" w:line="240" w:before="0" w:after="160"/>
      <w:ind w:hanging="0"/>
      <w:jc w:val="left"/>
    </w:pPr>
    <w:rPr>
      <w:rFonts w:ascii="Verdana" w:hAnsi="Verdana" w:cs="Verdana"/>
      <w:sz w:val="20"/>
      <w:szCs w:val="20"/>
      <w:lang w:val="en-US" w:eastAsia="en-US"/>
    </w:rPr>
  </w:style>
  <w:style w:type="paragraph" w:styleId="Style45" w:customStyle="1">
    <w:name w:val="Контракт-раздел"/>
    <w:basedOn w:val="Normal"/>
    <w:qFormat/>
    <w:rsid w:val="00f43f0d"/>
    <w:pPr>
      <w:keepNext w:val="true"/>
      <w:keepLines/>
      <w:tabs>
        <w:tab w:val="left" w:pos="0" w:leader="none"/>
        <w:tab w:val="left" w:pos="567" w:leader="none"/>
      </w:tabs>
      <w:suppressAutoHyphens w:val="true"/>
      <w:spacing w:lineRule="auto" w:line="240" w:before="360" w:after="120"/>
      <w:jc w:val="center"/>
      <w:textAlignment w:val="baseline"/>
      <w:outlineLvl w:val="1"/>
    </w:pPr>
    <w:rPr>
      <w:b/>
      <w:bCs/>
      <w:caps/>
    </w:rPr>
  </w:style>
  <w:style w:type="paragraph" w:styleId="Style46" w:customStyle="1">
    <w:name w:val="Контракт-пункт"/>
    <w:basedOn w:val="Normal"/>
    <w:qFormat/>
    <w:rsid w:val="00f43f0d"/>
    <w:pPr/>
    <w:rPr/>
  </w:style>
  <w:style w:type="paragraph" w:styleId="Style47" w:customStyle="1">
    <w:name w:val="Контракт-подпункт"/>
    <w:basedOn w:val="Normal"/>
    <w:qFormat/>
    <w:rsid w:val="00f43f0d"/>
    <w:pPr/>
    <w:rPr/>
  </w:style>
  <w:style w:type="paragraph" w:styleId="Style48" w:customStyle="1">
    <w:name w:val="Контракт-подподпункт"/>
    <w:basedOn w:val="Normal"/>
    <w:qFormat/>
    <w:rsid w:val="00f43f0d"/>
    <w:pPr/>
    <w:rPr/>
  </w:style>
  <w:style w:type="paragraph" w:styleId="EndnoteSymbol">
    <w:name w:val="Endnote Symbol"/>
    <w:basedOn w:val="Normal"/>
    <w:uiPriority w:val="99"/>
    <w:semiHidden/>
    <w:unhideWhenUsed/>
    <w:qFormat/>
    <w:rsid w:val="008c02d8"/>
    <w:pPr/>
    <w:rPr>
      <w:sz w:val="20"/>
      <w:szCs w:val="20"/>
      <w:lang w:val="x-none" w:eastAsia="x-none"/>
    </w:rPr>
  </w:style>
  <w:style w:type="paragraph" w:styleId="ConsPlusNonformat" w:customStyle="1">
    <w:name w:val="ConsPlusNonformat"/>
    <w:qFormat/>
    <w:rsid w:val="00df3fb9"/>
    <w:pPr>
      <w:widowControl w:val="false"/>
      <w:suppressAutoHyphens w:val="true"/>
      <w:bidi w:val="0"/>
      <w:spacing w:before="0" w:after="0"/>
      <w:jc w:val="left"/>
    </w:pPr>
    <w:rPr>
      <w:rFonts w:ascii="Courier New" w:hAnsi="Courier New" w:eastAsia="Times New Roman" w:cs="Courier New"/>
      <w:color w:val="00000A"/>
      <w:sz w:val="20"/>
      <w:szCs w:val="20"/>
      <w:lang w:val="ru-RU" w:eastAsia="ru-RU" w:bidi="ar-SA"/>
    </w:rPr>
  </w:style>
  <w:style w:type="paragraph" w:styleId="DStyleparagraph">
    <w:name w:val="DStyle_paragraph"/>
    <w:qFormat/>
    <w:pPr>
      <w:widowControl/>
      <w:suppressAutoHyphens w:val="true"/>
      <w:bidi w:val="0"/>
      <w:spacing w:before="0" w:after="0"/>
      <w:jc w:val="left"/>
    </w:pPr>
    <w:rPr>
      <w:rFonts w:ascii="Times New Roman" w:hAnsi="Times New Roman" w:eastAsia="Noto Serif CJK SC" w:cs="Times New Roman"/>
      <w:color w:val="000000"/>
      <w:sz w:val="20"/>
      <w:szCs w:val="20"/>
      <w:lang w:val="ru-RU" w:eastAsia="zh-CN" w:bidi="hi-IN"/>
    </w:rPr>
  </w:style>
  <w:style w:type="paragraph" w:styleId="Standard">
    <w:name w:val="Standard"/>
    <w:basedOn w:val="DStyleparagraph"/>
    <w:qFormat/>
    <w:pPr>
      <w:spacing w:before="60" w:after="0"/>
    </w:pPr>
    <w:rPr>
      <w:color w:val="00000A"/>
      <w:sz w:val="22"/>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336503"/>
    <w:pPr>
      <w:spacing w:line="36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hyperlink" Target="http://www.asv.org.ru/" TargetMode="External"/><Relationship Id="rId10" Type="http://schemas.openxmlformats.org/officeDocument/2006/relationships/header" Target="header4.xml"/><Relationship Id="rId11" Type="http://schemas.openxmlformats.org/officeDocument/2006/relationships/footer" Target="footer2.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Relationship Id="rId18" Type="http://schemas.openxmlformats.org/officeDocument/2006/relationships/customXml" Target="../customXml/item2.xml"/><Relationship Id="rId19" Type="http://schemas.openxmlformats.org/officeDocument/2006/relationships/customXml" Target="../customXml/item3.xml"/><Relationship Id="rId20" Type="http://schemas.openxmlformats.org/officeDocument/2006/relationships/customXml" Target="../customXml/item4.xml"/><Relationship Id="rId21" Type="http://schemas.openxmlformats.org/officeDocument/2006/relationships/customXml" Target="../customXml/item5.xml"/>
</Relationships>
</file>

<file path=word/_rels/footnotes.xml.rels><?xml version="1.0" encoding="UTF-8"?>
<Relationships xmlns="http://schemas.openxmlformats.org/package/2006/relationships"><Relationship Id="rId1" Type="http://schemas.openxmlformats.org/officeDocument/2006/relationships/hyperlink" Target="https://drsk.ru/investors/disclosure/dokumenty/vnutrennie-dokumenty-obshchestva/inye-dokumenty/"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58912-A860-4625-B7F6-93D124AA8AD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85905A-A849-4DFE-9DCC-7F92ED66E4B2}">
  <ds:schemaRefs>
    <ds:schemaRef ds:uri="http://schemas.microsoft.com/sharepoint/v3/contenttype/forms"/>
  </ds:schemaRefs>
</ds:datastoreItem>
</file>

<file path=customXml/itemProps3.xml><?xml version="1.0" encoding="utf-8"?>
<ds:datastoreItem xmlns:ds="http://schemas.openxmlformats.org/officeDocument/2006/customXml" ds:itemID="{3E9EA690-B79B-4E85-8E80-B2F3A394B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E11F4E7-AE6B-43E0-A9A2-8BF5C8DB22FC}">
  <ds:schemaRefs>
    <ds:schemaRef ds:uri="http://schemas.openxmlformats.org/officeDocument/2006/bibliography"/>
  </ds:schemaRefs>
</ds:datastoreItem>
</file>

<file path=customXml/itemProps5.xml><?xml version="1.0" encoding="utf-8"?>
<ds:datastoreItem xmlns:ds="http://schemas.openxmlformats.org/officeDocument/2006/customXml" ds:itemID="{70D79FAF-489F-416E-9064-7127EA236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1333</TotalTime>
  <Application>LibreOffice/5.3.6.1$Linux_X86_64 LibreOffice_project/30$Build-1</Application>
  <Pages>46</Pages>
  <Words>15014</Words>
  <Characters>107526</Characters>
  <CharactersWithSpaces>122237</CharactersWithSpaces>
  <Paragraphs>735</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2022-11-01T07:43:00Z</dcterms:created>
  <dc:creator>UK VoHEC</dc:creator>
  <dc:description/>
  <dc:language>ru-RU</dc:language>
  <cp:lastModifiedBy/>
  <cp:lastPrinted>2020-03-18T05:28:00Z</cp:lastPrinted>
  <dcterms:modified xsi:type="dcterms:W3CDTF">2026-10-12T11:28:32Z</dcterms:modified>
  <cp:revision>76</cp:revision>
  <dc:subject/>
  <dc:title>ДОГОВОР № 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УК ГидроОГК</vt:lpwstr>
  </property>
  <property fmtid="{D5CDD505-2E9C-101B-9397-08002B2CF9AE}" pid="4" name="EDOID">
    <vt:i4>0</vt:i4>
  </property>
</Properties>
</file>