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header5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4962" w:right="1557" w:hanging="0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bookmarkStart w:id="0" w:name="_Toc139856287_Копия_1"/>
      <w:bookmarkStart w:id="1" w:name="_Toc137554584_Копия_1"/>
      <w:bookmarkStart w:id="2" w:name="_Toc141696704_Копия_1"/>
      <w:bookmarkStart w:id="3" w:name="_Toc139856287_Копия_1"/>
      <w:bookmarkStart w:id="4" w:name="_Toc137554584_Копия_1"/>
      <w:bookmarkStart w:id="5" w:name="_Toc141696704_Копия_1"/>
      <w:bookmarkEnd w:id="3"/>
      <w:bookmarkEnd w:id="4"/>
      <w:bookmarkEnd w:id="5"/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709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ОКПД 2: 45.20.11 Оказание услуг по техническому обслуживанию и текущему ремонту легковых транспортных средств в г. Хабаровске для нужд Дальневосточного филиала АО "ТК РусГидро"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709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709"/>
        <w:jc w:val="center"/>
        <w:rPr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keepNext w:val="true"/>
        <w:keepLines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bCs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5464369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1.</w:t>
              <w:tab/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5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6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7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Цель оказания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8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Существующее положение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bCs/>
            </w:rPr>
          </w:pPr>
          <w:hyperlink w:anchor="_Toc546436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r>
            <w:rPr>
              <w:rFonts w:eastAsia="新細明體" w:cs="Arial" w:cstheme="minorBidi" w:eastAsiaTheme="minorEastAsia" w:ascii="Calibri" w:hAnsi="Calibri"/>
              <w:sz w:val="24"/>
              <w:szCs w:val="24"/>
            </w:rPr>
          </w:r>
        </w:p>
        <w:p>
          <w:pPr>
            <w:pStyle w:val="TOC1"/>
            <w:rPr>
              <w:bCs/>
            </w:rPr>
          </w:pPr>
          <w:hyperlink w:anchor="_Toc54643702">
            <w:r>
              <w:rPr>
                <w:webHidden/>
                <w:rStyle w:val="Style14"/>
                <w:vanish w:val="false"/>
              </w:rPr>
              <w:t>2.</w:t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</w:r>
          </w:hyperlink>
          <w:r>
            <w:rPr>
              <w:bCs/>
            </w:rPr>
            <w:t>4</w:t>
          </w:r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3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объемам и срокам оказания услуг</w:t>
              <w:tab/>
            </w:r>
          </w:hyperlink>
          <w:r>
            <w:rPr>
              <w:rFonts w:eastAsia="新細明體" w:cs="Arial" w:ascii="Calibri" w:hAnsi="Calibri" w:asciiTheme="minorHAnsi" w:cstheme="minorBidi" w:eastAsiaTheme="minorEastAsia" w:hAnsiTheme="minorHAnsi"/>
              <w:sz w:val="24"/>
              <w:szCs w:val="24"/>
            </w:rPr>
            <w:t>4</w:t>
          </w:r>
        </w:p>
        <w:p>
          <w:pPr>
            <w:pStyle w:val="TOC3"/>
            <w:rPr>
              <w:rFonts w:ascii="Calibri" w:hAnsi="Calibri" w:eastAsia="新細明體" w:cs="Arial" w:asciiTheme="minorHAnsi" w:cstheme="minorBidi" w:eastAsiaTheme="minorEastAsia" w:hAnsiTheme="minorHAnsi"/>
            </w:rPr>
          </w:pPr>
          <w:r>
            <w:rPr>
              <w:rFonts w:ascii="Times New Roman" w:hAnsi="Times New Roman"/>
              <w:b w:val="false"/>
              <w:bCs w:val="false"/>
              <w:sz w:val="20"/>
              <w:szCs w:val="20"/>
            </w:rPr>
            <w:t xml:space="preserve">           </w:t>
          </w:r>
          <w:hyperlink w:anchor="_Toc54643704">
            <w:r>
              <w:rPr>
                <w:webHidden/>
                <w:rStyle w:val="Style14"/>
                <w:rFonts w:ascii="Times New Roman" w:hAnsi="Times New Roman"/>
                <w:b w:val="false"/>
                <w:bCs w:val="false"/>
                <w:vanish w:val="false"/>
                <w:sz w:val="20"/>
                <w:szCs w:val="20"/>
              </w:rPr>
              <w:t>2.1.1.</w:t>
            </w:r>
            <w:r>
              <w:rPr>
                <w:rStyle w:val="Style14"/>
                <w:rFonts w:eastAsia="新細明體" w:cs="Arial" w:ascii="Times New Roman" w:hAnsi="Times New Roman" w:cstheme="minorBidi" w:eastAsiaTheme="minorEastAsia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Style w:val="Style14"/>
                <w:rFonts w:ascii="Times New Roman" w:hAnsi="Times New Roman"/>
                <w:b w:val="false"/>
                <w:bCs w:val="false"/>
                <w:sz w:val="20"/>
                <w:szCs w:val="20"/>
              </w:rPr>
              <w:t>Требования к перечню и объему услуг</w:t>
            </w:r>
            <w:r>
              <w:rPr>
                <w:rStyle w:val="Style14"/>
              </w:rPr>
              <w:tab/>
            </w:r>
          </w:hyperlink>
          <w:r>
            <w:rPr>
              <w:rFonts w:eastAsia="新細明體" w:cs="Arial" w:cstheme="minorBidi" w:eastAsiaTheme="minorEastAsia"/>
            </w:rPr>
            <w:t>4</w:t>
          </w:r>
        </w:p>
        <w:p>
          <w:pPr>
            <w:pStyle w:val="TOC1"/>
            <w:rPr>
              <w:bCs/>
            </w:rPr>
          </w:pPr>
          <w:hyperlink w:anchor="_Toc54643705"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</w:r>
          </w:hyperlink>
          <w:r>
            <w:rPr>
              <w:bCs/>
            </w:rPr>
            <w:t>4</w:t>
          </w:r>
        </w:p>
        <w:p>
          <w:pPr>
            <w:pStyle w:val="TOC3"/>
            <w:rPr>
              <w:rFonts w:ascii="Calibri" w:hAnsi="Calibri" w:eastAsia="新細明體" w:cs="Arial" w:asciiTheme="minorHAnsi" w:cstheme="minorBidi" w:eastAsiaTheme="minorEastAsia" w:hAnsiTheme="minorHAnsi"/>
            </w:rPr>
          </w:pPr>
          <w:r>
            <w:rPr>
              <w:rFonts w:ascii="Times New Roman" w:hAnsi="Times New Roman"/>
              <w:b w:val="false"/>
              <w:bCs w:val="false"/>
              <w:sz w:val="20"/>
              <w:szCs w:val="20"/>
            </w:rPr>
            <w:t xml:space="preserve">           </w:t>
          </w:r>
        </w:p>
        <w:p>
          <w:pPr>
            <w:pStyle w:val="TOC3"/>
            <w:rPr/>
          </w:pPr>
          <w:r>
            <w:rPr/>
            <w:t>Таблица 2.1. Список транспортных средств………………………………………………………………………………...4</w:t>
          </w:r>
        </w:p>
        <w:p>
          <w:pPr>
            <w:pStyle w:val="TOC3"/>
            <w:rPr>
              <w:rFonts w:ascii="Calibri" w:hAnsi="Calibri" w:eastAsia="新細明體" w:cs="Arial" w:asciiTheme="minorHAnsi" w:cstheme="minorBidi" w:eastAsiaTheme="minorEastAsia" w:hAnsiTheme="minorHAnsi"/>
            </w:rPr>
          </w:pPr>
          <w:r>
            <w:rPr>
              <w:rFonts w:ascii="Times New Roman" w:hAnsi="Times New Roman"/>
              <w:b w:val="false"/>
              <w:bCs w:val="false"/>
              <w:sz w:val="20"/>
              <w:szCs w:val="20"/>
            </w:rPr>
            <w:t xml:space="preserve">           </w:t>
          </w:r>
          <w:hyperlink w:anchor="_Toc54643706">
            <w:r>
              <w:rPr>
                <w:webHidden/>
                <w:rStyle w:val="Style14"/>
                <w:rFonts w:ascii="Times New Roman" w:hAnsi="Times New Roman"/>
                <w:b w:val="false"/>
                <w:bCs w:val="false"/>
                <w:vanish w:val="false"/>
                <w:sz w:val="20"/>
                <w:szCs w:val="20"/>
              </w:rPr>
              <w:t>2.1.2.</w:t>
            </w:r>
            <w:r>
              <w:rPr>
                <w:rStyle w:val="Style14"/>
                <w:rFonts w:eastAsia="新細明體" w:cs="Arial" w:ascii="Times New Roman" w:hAnsi="Times New Roman" w:cstheme="minorBidi" w:eastAsiaTheme="minorEastAsia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Style w:val="Style14"/>
                <w:rFonts w:ascii="Times New Roman" w:hAnsi="Times New Roman"/>
                <w:b w:val="false"/>
                <w:bCs w:val="false"/>
                <w:sz w:val="20"/>
                <w:szCs w:val="20"/>
              </w:rPr>
              <w:t>Требования к срокам оказания услуг</w:t>
            </w:r>
            <w:r>
              <w:rPr>
                <w:rStyle w:val="Style14"/>
              </w:rPr>
              <w:tab/>
            </w:r>
          </w:hyperlink>
          <w:r>
            <w:rPr/>
            <w:t>5</w:t>
          </w:r>
        </w:p>
        <w:p>
          <w:pPr>
            <w:pStyle w:val="TOC1"/>
            <w:rPr>
              <w:bCs/>
            </w:rPr>
          </w:pPr>
          <w:hyperlink w:anchor="_Toc54643707"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</w:r>
          </w:hyperlink>
          <w:r>
            <w:rPr>
              <w:bCs/>
            </w:rPr>
            <w:t>5</w:t>
          </w:r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8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качеству услуг</w:t>
              <w:tab/>
            </w:r>
          </w:hyperlink>
          <w:r>
            <w:rPr>
              <w:rFonts w:eastAsia="新細明體" w:cs="Arial" w:ascii="Calibri" w:hAnsi="Calibri" w:asciiTheme="minorHAnsi" w:cstheme="minorBidi" w:eastAsiaTheme="minorEastAsia" w:hAnsiTheme="minorHAnsi"/>
              <w:sz w:val="24"/>
              <w:szCs w:val="24"/>
            </w:rPr>
            <w:t>6</w:t>
          </w:r>
        </w:p>
        <w:p>
          <w:pPr>
            <w:pStyle w:val="TOC1"/>
            <w:rPr>
              <w:bCs/>
            </w:rPr>
          </w:pPr>
          <w:hyperlink w:anchor="_Toc54643709"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</w:r>
          </w:hyperlink>
          <w:r>
            <w:rPr>
              <w:bCs/>
            </w:rPr>
            <w:t>6</w:t>
          </w:r>
        </w:p>
        <w:p>
          <w:pPr>
            <w:pStyle w:val="TOC1"/>
            <w:rPr>
              <w:bCs/>
            </w:rPr>
          </w:pPr>
          <w:r>
            <w:rPr/>
            <w:t>3. Приложения………………………………………………………………………………………....10-11</w:t>
          </w:r>
          <w:r>
            <w:rPr/>
            <w:fldChar w:fldCharType="end"/>
          </w:r>
        </w:p>
      </w:sdtContent>
    </w:sdt>
    <w:p>
      <w:pPr>
        <w:pStyle w:val="TOC1"/>
        <w:rPr/>
      </w:pPr>
      <w:r>
        <w:rPr/>
      </w:r>
    </w:p>
    <w:p>
      <w:pPr>
        <w:pStyle w:val="Heading2"/>
        <w:numPr>
          <w:ilvl w:val="0"/>
        </w:numPr>
        <w:tabs>
          <w:tab w:val="clear" w:pos="0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6" w:name="_Toc54643694"/>
      <w:r>
        <w:rPr>
          <w:lang w:val="ru-RU"/>
        </w:rPr>
        <w:t>Общие сведения</w:t>
      </w:r>
      <w:bookmarkEnd w:id="6"/>
    </w:p>
    <w:p>
      <w:pPr>
        <w:pStyle w:val="Heading4"/>
        <w:numPr>
          <w:ilvl w:val="1"/>
          <w:numId w:val="3"/>
        </w:numPr>
        <w:ind w:left="432" w:hanging="432"/>
        <w:rPr>
          <w:rStyle w:val="Style8"/>
          <w:b/>
          <w:i w:val="false"/>
          <w:i w:val="false"/>
          <w:shd w:fill="auto" w:val="clear"/>
        </w:rPr>
      </w:pPr>
      <w:bookmarkStart w:id="7" w:name="_Toc54643695"/>
      <w:bookmarkStart w:id="8" w:name="_Toc46743505"/>
      <w:r>
        <w:rPr/>
        <w:t>Обозначения и сокращения</w:t>
      </w:r>
      <w:bookmarkEnd w:id="7"/>
      <w:bookmarkEnd w:id="8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/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/>
              <w:t>Транспортные средства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tabs>
          <w:tab w:val="clear" w:pos="708"/>
          <w:tab w:val="left" w:pos="2798" w:leader="none"/>
        </w:tabs>
        <w:rPr>
          <w:b/>
          <w:sz w:val="24"/>
          <w:szCs w:val="24"/>
        </w:rPr>
      </w:pPr>
      <w:bookmarkStart w:id="9" w:name="_Toc46743506"/>
      <w:bookmarkStart w:id="10" w:name="_Toc54643696"/>
      <w:r>
        <w:rPr>
          <w:b/>
          <w:sz w:val="24"/>
          <w:szCs w:val="24"/>
        </w:rPr>
        <w:t>1.2.Наименование закупаемой продукции</w:t>
      </w:r>
      <w:bookmarkEnd w:id="9"/>
      <w:bookmarkEnd w:id="10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</w:rPr>
        <w:t>ОКПД 2: 45.20.11 Оказание услуг по техническому обслуживанию и текущему ремонту легковых транспортных средств в г. Хабаровске для нужд Дальневосточного филиала АО "ТК РусГидро"</w:t>
      </w:r>
    </w:p>
    <w:p>
      <w:pPr>
        <w:pStyle w:val="Heading4"/>
        <w:numPr>
          <w:ilvl w:val="1"/>
          <w:numId w:val="12"/>
        </w:numPr>
        <w:spacing w:before="240" w:after="60"/>
        <w:ind w:left="426" w:hanging="426"/>
        <w:rPr/>
      </w:pPr>
      <w:bookmarkStart w:id="11" w:name="_Toc54643697"/>
      <w:bookmarkStart w:id="12" w:name="_Toc46743507"/>
      <w:r>
        <w:rPr/>
        <w:t xml:space="preserve">Цель </w:t>
      </w:r>
      <w:bookmarkEnd w:id="12"/>
      <w:r>
        <w:rPr>
          <w:lang w:val="ru-RU"/>
        </w:rPr>
        <w:t>оказания услуг</w:t>
      </w:r>
      <w:bookmarkEnd w:id="11"/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технического обслуживания и текущего ремонта с соблюдением «Правил оказания услуг (выполнения работ) по техническому обслуживанию и ремонту автомототранспортных средств» с целью поддержания надлежащего технического состояния транспортных средств.</w:t>
      </w:r>
    </w:p>
    <w:p>
      <w:pPr>
        <w:pStyle w:val="Heading4"/>
        <w:numPr>
          <w:ilvl w:val="1"/>
          <w:numId w:val="3"/>
        </w:numPr>
        <w:ind w:left="432" w:hanging="432"/>
        <w:rPr/>
      </w:pPr>
      <w:bookmarkStart w:id="13" w:name="_Toc46743508"/>
      <w:bookmarkStart w:id="14" w:name="_Toc54643698"/>
      <w:r>
        <w:rPr/>
        <w:t>Существующее положение</w:t>
      </w:r>
      <w:bookmarkEnd w:id="13"/>
      <w:bookmarkEnd w:id="14"/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4"/>
          <w:szCs w:val="24"/>
        </w:rPr>
      </w:pPr>
      <w:bookmarkStart w:id="15" w:name="_Toc54643699"/>
      <w:r>
        <w:rPr>
          <w:sz w:val="24"/>
          <w:szCs w:val="24"/>
        </w:rPr>
        <w:t>Услуги оказываются в отношении транспортных средств заказчика согласно Таблицы 1. «Перечень объектов заказчиков»: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5"/>
    </w:p>
    <w:p>
      <w:pPr>
        <w:pStyle w:val="Normal"/>
        <w:rPr>
          <w:lang w:eastAsia="x-none"/>
        </w:rPr>
      </w:pPr>
      <w:r>
        <w:rPr>
          <w:lang w:eastAsia="x-none"/>
        </w:rPr>
      </w:r>
    </w:p>
    <w:tbl>
      <w:tblPr>
        <w:tblW w:w="991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63"/>
        <w:gridCol w:w="3160"/>
        <w:gridCol w:w="2501"/>
        <w:gridCol w:w="3786"/>
      </w:tblGrid>
      <w:tr>
        <w:trPr>
          <w:trHeight w:val="873" w:hRule="atLeast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2F2F2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2F2F2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2F2F2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2F2F2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Наименование основного средства 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(в отношении которого оказываются услуги)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4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rFonts w:eastAsia="Calibri"/>
                <w:iCs/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>ОКПД 2: 45.20.11 Оказание услуг по техническому обслуживанию и текущему ремонту легковых транспортных средств в г. Хабаровске для нужд Дальневосточного филиала АО "ТК РусГидро"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Хабаровский край, 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Хабаровск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321" w:leader="none"/>
              </w:tabs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color w:val="171717" w:themeColor="background2" w:themeShade="1a"/>
                <w:sz w:val="22"/>
                <w:szCs w:val="22"/>
                <w:shd w:fill="FFFFFF" w:val="clear"/>
              </w:rPr>
              <w:t>Список транспортных средств. Таблица 2.1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rStyle w:val="Style8"/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rStyle w:val="Style8"/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rStyle w:val="Style8"/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rStyle w:val="Style8"/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rStyle w:val="Style8"/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6" w:name="_Toc54643702"/>
      <w:bookmarkStart w:id="17" w:name="_Toc51339693"/>
      <w:bookmarkStart w:id="18" w:name="_Toc50125126"/>
      <w:bookmarkStart w:id="19" w:name="_Toc46743510"/>
      <w:bookmarkEnd w:id="18"/>
      <w:bookmarkEnd w:id="19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6"/>
      <w:bookmarkEnd w:id="17"/>
    </w:p>
    <w:p>
      <w:pPr>
        <w:pStyle w:val="Heading4"/>
        <w:numPr>
          <w:ilvl w:val="1"/>
          <w:numId w:val="3"/>
        </w:numPr>
        <w:spacing w:lineRule="atLeast" w:line="283"/>
        <w:ind w:left="432" w:hanging="432"/>
        <w:rPr/>
      </w:pPr>
      <w:bookmarkStart w:id="20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0"/>
    </w:p>
    <w:p>
      <w:pPr>
        <w:pStyle w:val="Heading3"/>
        <w:numPr>
          <w:ilvl w:val="2"/>
          <w:numId w:val="3"/>
        </w:numPr>
        <w:spacing w:lineRule="atLeast" w:line="283"/>
        <w:rPr/>
      </w:pPr>
      <w:bookmarkStart w:id="21" w:name="_Toc54643704"/>
      <w:r>
        <w:rPr>
          <w:lang w:val="ru-RU"/>
        </w:rPr>
        <w:t>Требования к перечню и объему услуг</w:t>
      </w:r>
      <w:bookmarkEnd w:id="21"/>
    </w:p>
    <w:p>
      <w:pPr>
        <w:pStyle w:val="Heading1"/>
        <w:keepLines/>
        <w:numPr>
          <w:ilvl w:val="0"/>
          <w:numId w:val="0"/>
        </w:numPr>
        <w:spacing w:lineRule="atLeast" w:line="283" w:before="240" w:after="60"/>
        <w:ind w:left="0" w:hanging="0"/>
        <w:rPr/>
      </w:pPr>
      <w:bookmarkStart w:id="22" w:name="_Toc54643705"/>
      <w:bookmarkStart w:id="23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3"/>
      <w:r>
        <w:rPr>
          <w:sz w:val="24"/>
          <w:szCs w:val="24"/>
          <w:lang w:val="ru-RU"/>
        </w:rPr>
        <w:t>и объем оказываемых услуг</w:t>
      </w:r>
      <w:bookmarkEnd w:id="22"/>
    </w:p>
    <w:p>
      <w:pPr>
        <w:pStyle w:val="Normal"/>
        <w:rPr>
          <w:lang w:eastAsia="x-none"/>
        </w:rPr>
      </w:pPr>
      <w:r>
        <w:rPr>
          <w:lang w:eastAsia="x-none"/>
        </w:rPr>
      </w:r>
    </w:p>
    <w:tbl>
      <w:tblPr>
        <w:tblW w:w="963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87"/>
        <w:gridCol w:w="4401"/>
        <w:gridCol w:w="3689"/>
        <w:gridCol w:w="961"/>
      </w:tblGrid>
      <w:tr>
        <w:trPr/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Количество*</w:t>
            </w:r>
          </w:p>
        </w:tc>
      </w:tr>
      <w:tr>
        <w:trPr/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565" w:hRule="exact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44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sz w:val="24"/>
                <w:szCs w:val="24"/>
              </w:rPr>
              <w:t>Техническое обслуживание транспортных средств</w:t>
            </w:r>
          </w:p>
        </w:tc>
        <w:tc>
          <w:tcPr>
            <w:tcW w:w="46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/>
                <w:sz w:val="24"/>
                <w:szCs w:val="24"/>
              </w:rPr>
              <w:t>В соответствии с ведомостью объемов услуг (Приложение № 1 к настоящим Техническим требованиям)</w:t>
            </w:r>
          </w:p>
        </w:tc>
      </w:tr>
      <w:tr>
        <w:trPr>
          <w:trHeight w:val="425" w:hRule="atLeast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Технический ремонт транспортных средств </w:t>
            </w:r>
          </w:p>
        </w:tc>
        <w:tc>
          <w:tcPr>
            <w:tcW w:w="465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</w:tbl>
    <w:p>
      <w:pPr>
        <w:pStyle w:val="Heading3"/>
        <w:numPr>
          <w:ilvl w:val="0"/>
          <w:numId w:val="0"/>
        </w:numPr>
        <w:ind w:left="0" w:firstLine="720"/>
        <w:rPr>
          <w:b w:val="false"/>
          <w:i/>
          <w:i/>
          <w:lang w:val="ru-RU"/>
        </w:rPr>
      </w:pPr>
      <w:r>
        <w:rPr>
          <w:i/>
          <w:lang w:val="ru-RU"/>
        </w:rPr>
        <w:t>*</w:t>
      </w:r>
      <w:r>
        <w:rPr>
          <w:b w:val="false"/>
          <w:i/>
          <w:lang w:val="ru-RU"/>
        </w:rPr>
        <w:t>Объем продукции является ориентировочным, Заказчик не несет ответственности за неполную выборку продукции на общую сумму договора</w:t>
      </w:r>
    </w:p>
    <w:p>
      <w:pPr>
        <w:pStyle w:val="Heading3"/>
        <w:numPr>
          <w:ilvl w:val="0"/>
          <w:numId w:val="0"/>
        </w:numPr>
        <w:ind w:left="1224" w:hanging="0"/>
        <w:rPr>
          <w:bCs/>
          <w:i/>
          <w:i/>
        </w:rPr>
      </w:pPr>
      <w:r>
        <w:rPr/>
        <w:t>Таблица 2.1. Список транспортных средств</w:t>
      </w:r>
    </w:p>
    <w:tbl>
      <w:tblPr>
        <w:tblW w:w="976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47"/>
        <w:gridCol w:w="4068"/>
        <w:gridCol w:w="2211"/>
        <w:gridCol w:w="2738"/>
      </w:tblGrid>
      <w:tr>
        <w:trPr>
          <w:trHeight w:val="307" w:hRule="atLeast"/>
        </w:trPr>
        <w:tc>
          <w:tcPr>
            <w:tcW w:w="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2F2F2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0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DEDED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Марка автомобиля</w:t>
            </w:r>
          </w:p>
        </w:tc>
        <w:tc>
          <w:tcPr>
            <w:tcW w:w="2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DEDED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Год. выпуска </w:t>
            </w:r>
          </w:p>
        </w:tc>
        <w:tc>
          <w:tcPr>
            <w:tcW w:w="2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2F2F2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Гос номер</w:t>
            </w:r>
          </w:p>
        </w:tc>
      </w:tr>
      <w:tr>
        <w:trPr>
          <w:trHeight w:val="307" w:hRule="atLeast"/>
        </w:trPr>
        <w:tc>
          <w:tcPr>
            <w:tcW w:w="7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40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2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>
          <w:trHeight w:val="61" w:hRule="atLeast"/>
        </w:trPr>
        <w:tc>
          <w:tcPr>
            <w:tcW w:w="7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40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2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NISSAN PATROL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Х 364 ТР 59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CAMRY 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 607 НР 750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УАЗ 315195 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2007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Р 907 УР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LAND CRUISER 150 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 586 АВ 763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HIACE 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 520 ХТ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CAMRY 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 384 ТС 799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CAMRY 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 605 НР 750</w:t>
            </w:r>
          </w:p>
        </w:tc>
      </w:tr>
      <w:tr>
        <w:trPr>
          <w:trHeight w:val="378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TOYOTA LAND CRUISER 150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 428 ТО 28</w:t>
            </w:r>
          </w:p>
        </w:tc>
      </w:tr>
      <w:tr>
        <w:trPr>
          <w:trHeight w:val="388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CAMRY 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 770 РР 777</w:t>
            </w:r>
          </w:p>
        </w:tc>
      </w:tr>
      <w:tr>
        <w:trPr>
          <w:trHeight w:val="364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CAMRY 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 461 МВ 750</w:t>
            </w:r>
          </w:p>
        </w:tc>
      </w:tr>
      <w:tr>
        <w:trPr>
          <w:trHeight w:val="415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LAND CRUISER 120 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2006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М 222 МК 163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TOYOTA LAND CRUISER 150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 xml:space="preserve">Е 820 КH 28 </w:t>
            </w:r>
          </w:p>
        </w:tc>
      </w:tr>
      <w:tr>
        <w:trPr>
          <w:trHeight w:val="339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Mitsubishi L200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 322 ХО 750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TOYOTA LAND CRUISER 150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 525 АУ 50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HILUX 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 413 КО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CAMRY 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 601 НР 750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TOYOTA HIGHLANDER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 228 ХЕ 163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RENAULT DUSTER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 581 ЕК 763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Volkswagen 7HC Caravelle 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Р 881 ЕВ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LAND CRUISER 120 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 812 РТ 27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RAV4 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2010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 460 МА 05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Corolla 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 053 ТА 750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MITSUBISHI OUTLANDER 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2007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 761 КМ 163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Nissan Dutsun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 990 НН 41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Land Cruiser 200 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 580 НХ 197</w:t>
            </w:r>
          </w:p>
        </w:tc>
      </w:tr>
      <w:tr>
        <w:trPr>
          <w:trHeight w:val="30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4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УАЗ-390945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 703 ХС 28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4" w:name="_Toc54643706"/>
      <w:bookmarkStart w:id="25" w:name="_Toc51339696"/>
      <w:r>
        <w:rPr>
          <w:lang w:val="ru-RU"/>
        </w:rPr>
        <w:t xml:space="preserve">Требования </w:t>
      </w:r>
      <w:bookmarkEnd w:id="25"/>
      <w:r>
        <w:rPr>
          <w:lang w:val="ru-RU"/>
        </w:rPr>
        <w:t>к срокам оказания услуг</w:t>
      </w:r>
      <w:bookmarkEnd w:id="24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6" w:name="_Toc54643707"/>
      <w:bookmarkStart w:id="27" w:name="_Toc50125127"/>
      <w:bookmarkStart w:id="28" w:name="_Toc51339697"/>
      <w:bookmarkStart w:id="29" w:name="_Toc50125126_Копия_1"/>
      <w:bookmarkEnd w:id="2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0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7"/>
      <w:bookmarkEnd w:id="28"/>
      <w:bookmarkEnd w:id="30"/>
      <w:r>
        <w:rPr>
          <w:sz w:val="24"/>
          <w:szCs w:val="24"/>
          <w:lang w:val="ru-RU"/>
        </w:rPr>
        <w:t>оказания услуг</w:t>
      </w:r>
      <w:bookmarkEnd w:id="26"/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30"/>
        <w:gridCol w:w="2550"/>
        <w:gridCol w:w="2979"/>
        <w:gridCol w:w="3116"/>
      </w:tblGrid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rFonts w:eastAsia="Calibri"/>
                <w:sz w:val="24"/>
                <w:szCs w:val="24"/>
              </w:rPr>
              <w:t>ОКПД 2: 45.20.11 Оказание услуг по техническому обслуживанию и текущему ремонту легковых транспортных средств в г. Хабаровске для нужд Дальневосточного филиала АО "ТК РусГидро"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01.01.2027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31.12.2027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ind w:left="432" w:hanging="432"/>
        <w:rPr>
          <w:lang w:val="ru-RU"/>
        </w:rPr>
      </w:pPr>
      <w:bookmarkStart w:id="31" w:name="_Toc54643708"/>
      <w:bookmarkStart w:id="32" w:name="_Toc46743511"/>
      <w:bookmarkStart w:id="33" w:name="_Toc51339698"/>
      <w:bookmarkStart w:id="34" w:name="_Toc54643709"/>
      <w:bookmarkEnd w:id="33"/>
      <w:bookmarkEnd w:id="34"/>
      <w:r>
        <w:rPr/>
        <w:t xml:space="preserve">Требования к </w:t>
      </w:r>
      <w:bookmarkEnd w:id="32"/>
      <w:r>
        <w:rPr>
          <w:lang w:val="ru-RU"/>
        </w:rPr>
        <w:t>качеству услуг</w:t>
      </w:r>
      <w:bookmarkEnd w:id="31"/>
    </w:p>
    <w:p>
      <w:pPr>
        <w:pStyle w:val="Heading1"/>
        <w:keepLines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услуг</w:t>
      </w:r>
      <w:r>
        <w:rPr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(позиция №1 Таблицы 2): </w:t>
      </w:r>
      <w:r>
        <w:rPr>
          <w:b w:val="false"/>
          <w:bCs w:val="false"/>
          <w:sz w:val="24"/>
          <w:szCs w:val="24"/>
        </w:rPr>
        <w:t>ОКПД 2: 45.20.11 Оказание услуг по техническому обслуживанию и текущему ремонту легковых транспортных средств в г. Хабаровске для нужд Дальневосточного филиала АО "ТК РусГидро"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tbl>
      <w:tblPr>
        <w:tblStyle w:val="affff7"/>
        <w:tblW w:w="1456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81"/>
        <w:gridCol w:w="2953"/>
        <w:gridCol w:w="4712"/>
        <w:gridCol w:w="2176"/>
        <w:gridCol w:w="2165"/>
        <w:gridCol w:w="1574"/>
      </w:tblGrid>
      <w:tr>
        <w:trPr>
          <w:trHeight w:val="766" w:hRule="atLeast"/>
        </w:trPr>
        <w:tc>
          <w:tcPr>
            <w:tcW w:w="98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95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71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34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57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rHeight w:val="1877" w:hRule="atLeast"/>
        </w:trPr>
        <w:tc>
          <w:tcPr>
            <w:tcW w:w="98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5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71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16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57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>
          <w:trHeight w:val="251" w:hRule="atLeast"/>
        </w:trPr>
        <w:tc>
          <w:tcPr>
            <w:tcW w:w="9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9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7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1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16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5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>
          <w:trHeight w:val="365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6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21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6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57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65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76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217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6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57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1459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95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Основание для оказания услуг</w:t>
            </w:r>
          </w:p>
        </w:tc>
        <w:tc>
          <w:tcPr>
            <w:tcW w:w="47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обязуется оказывать Заказчику услуги по техническому обслуживанию и ремонту транспортных средств Заказчика на основании заявок Заказчика.</w:t>
            </w:r>
          </w:p>
        </w:tc>
        <w:tc>
          <w:tcPr>
            <w:tcW w:w="2176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заявке согласие оказать услуги, полностью соответствующие настоящим техническим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требованиям, по форме Технического предложения, установленной в Документации 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закупке</w:t>
            </w:r>
          </w:p>
        </w:tc>
        <w:tc>
          <w:tcPr>
            <w:tcW w:w="2165" w:type="dxa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7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267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95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Использование собственных расходных материалов и запчастей Исполнителя.</w:t>
            </w:r>
          </w:p>
        </w:tc>
        <w:tc>
          <w:tcPr>
            <w:tcW w:w="47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собственных материалов и запчастей Исполнителя при оказании услуги.</w:t>
            </w:r>
          </w:p>
        </w:tc>
        <w:tc>
          <w:tcPr>
            <w:tcW w:w="2176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65" w:type="dxa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5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267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95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Ремонтные места</w:t>
            </w:r>
          </w:p>
        </w:tc>
        <w:tc>
          <w:tcPr>
            <w:tcW w:w="47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постов, оборудованных подъемниками для проведения слесарно-монтажных работ (не менее 5);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Наличие отдельного шиномонтажного поста для проведения шиномонтажных работ;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кузовного цеха;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стенда для проверки и регулировки развала-схождения колес;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Наличие оборудования (сканера) для диагностирования неисправностей ТС указанных в приложении 1 к Техническим требованиям;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цеха для проведения работ по ремонту электрооборудования ТС.</w:t>
            </w:r>
          </w:p>
        </w:tc>
        <w:tc>
          <w:tcPr>
            <w:tcW w:w="2176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65" w:type="dxa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5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07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95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Возможность выбора запасных частей и расходных материалов.</w:t>
            </w:r>
          </w:p>
        </w:tc>
        <w:tc>
          <w:tcPr>
            <w:tcW w:w="47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Предоставить возможность выбора запасных частей и расходных материалов у различных официальных источников.</w:t>
            </w:r>
          </w:p>
        </w:tc>
        <w:tc>
          <w:tcPr>
            <w:tcW w:w="2176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заявке согласие оказать услуги, полностью соответствующие настоящим техническим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требованиям, по форме Технического предложения, установленной в Документации 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закупке</w:t>
            </w:r>
          </w:p>
        </w:tc>
        <w:tc>
          <w:tcPr>
            <w:tcW w:w="216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10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95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Осуществление контроля.</w:t>
            </w:r>
          </w:p>
        </w:tc>
        <w:tc>
          <w:tcPr>
            <w:tcW w:w="471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Осуществлять допуск Заказчика к проведению контроля за выполняемыми работами при оказании услуги по ремонту ТС.</w:t>
            </w:r>
          </w:p>
        </w:tc>
        <w:tc>
          <w:tcPr>
            <w:tcW w:w="2176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6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65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6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2176" w:type="dxa"/>
            <w:vMerge w:val="continue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65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                      </w:t>
            </w:r>
          </w:p>
        </w:tc>
        <w:tc>
          <w:tcPr>
            <w:tcW w:w="1574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2339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6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Техническое обслуживание и технический ремонт не гарантийных транспортных средств должен проводиться с соблюдением «Правил оказания услуг (выполнения работ) по техническому обслуживанию и ремонту автомототранспортных средств», утвержденных Постановлением Правительства РФ от 11.04.2001 № 290, инструкций по эксплуатации транспортных средств, государственных стандартов к техническому состоянию транспортных средств, с целью поддержания надлежащего технического состояния транспортных средств.</w:t>
            </w:r>
          </w:p>
        </w:tc>
        <w:tc>
          <w:tcPr>
            <w:tcW w:w="2176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6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60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6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176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6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7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589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95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характеристикам устанавливаемых деталей, узлов, механизмов, материалам, маслам и специальных жидкостей</w:t>
            </w:r>
          </w:p>
        </w:tc>
        <w:tc>
          <w:tcPr>
            <w:tcW w:w="47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Устанавливаемые и используемые на ТС детали, узлы, механизмы, материалы, приборы, масла и специальные жидкости должны быть новыми, не бывшим в употреблении, не восстановленными, не содержать восстановленных элементов, не должны иметь дефектов, связанных с конструкцией, материалами или работой по их изготовлению. Должны соответствовать рекомендациям, изложенным в руководстве по эксплуатации, выданным заводом-изготовителем, для данной марки автомобиля.</w:t>
            </w:r>
          </w:p>
        </w:tc>
        <w:tc>
          <w:tcPr>
            <w:tcW w:w="217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6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</w:tc>
        <w:tc>
          <w:tcPr>
            <w:tcW w:w="157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365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6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176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заявке согласие оказать услуги, полностью соответствующие настоящим техническим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требованиям, по форме Технического предложения, установленной в Документации о</w:t>
            </w:r>
          </w:p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закупке</w:t>
            </w:r>
          </w:p>
        </w:tc>
        <w:tc>
          <w:tcPr>
            <w:tcW w:w="216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7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571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665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Проведение ТО и 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 xml:space="preserve">ТР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ТС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должно выполняться квалифицированным персоналом по количеству ремонтных постов и цехов</w:t>
            </w:r>
          </w:p>
        </w:tc>
        <w:tc>
          <w:tcPr>
            <w:tcW w:w="217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6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7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365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6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176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6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7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365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6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176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6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7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743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6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После выполнения работ ТС должно отвечать требованиям, регламентирующим техническое состояние и оборудование транспортных средств, участвующих в дорожном движении, в части, относящейся к обеспечению безопасности дорожного движения (Постановление правительства РФ от 23.10.1993 №1090 «О правилах дорожного движения»).</w:t>
            </w:r>
          </w:p>
        </w:tc>
        <w:tc>
          <w:tcPr>
            <w:tcW w:w="217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65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57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571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6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176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6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7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209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6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ТС прошедшие ТО и ТР должно отвечать требованиям Технического регламента Таможенного союза ТР ТС 018/2011 «О безопасности колесных транспортных средств» Утвержденного Решением Комиссии Таможенного союза от 09.12.2011г №877.</w:t>
            </w:r>
          </w:p>
        </w:tc>
        <w:tc>
          <w:tcPr>
            <w:tcW w:w="217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6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>
          <w:trHeight w:val="418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6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  <w:r>
              <w:rPr>
                <w:rStyle w:val="Style8"/>
                <w:rFonts w:eastAsia="Times New Roman" w:cs="Times New Roman"/>
                <w:b w:val="false"/>
                <w:bCs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</w:r>
          </w:p>
        </w:tc>
        <w:tc>
          <w:tcPr>
            <w:tcW w:w="2176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6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7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872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95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Осмотр транспортного средства после оказании услуги.</w:t>
            </w:r>
          </w:p>
        </w:tc>
        <w:tc>
          <w:tcPr>
            <w:tcW w:w="471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После оказании услуги Заказчик проводит визуальный осмотр транспортного средства на предмет соответствия заменённых деталей, узлов, агрегатов, механизмов в процессе ремонта.    </w:t>
            </w:r>
          </w:p>
        </w:tc>
        <w:tc>
          <w:tcPr>
            <w:tcW w:w="217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6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7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571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6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176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6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7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016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9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Акт сдачи приемки оказанных услуг</w:t>
            </w:r>
          </w:p>
        </w:tc>
        <w:tc>
          <w:tcPr>
            <w:tcW w:w="47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передает Заказчику акт сдачи-приемки оказанных услуг в двух экземплярах </w:t>
            </w:r>
          </w:p>
        </w:tc>
        <w:tc>
          <w:tcPr>
            <w:tcW w:w="217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65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574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918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9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 на оплату</w:t>
            </w:r>
          </w:p>
        </w:tc>
        <w:tc>
          <w:tcPr>
            <w:tcW w:w="47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счет на оплату после оказания услуги.</w:t>
            </w:r>
          </w:p>
        </w:tc>
        <w:tc>
          <w:tcPr>
            <w:tcW w:w="217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65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574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375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9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Счет-фактура (если контрагент является плательщиком НДС)</w:t>
            </w:r>
          </w:p>
        </w:tc>
        <w:tc>
          <w:tcPr>
            <w:tcW w:w="47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счет фактуру (если Исполнитель является плательщиком НДС)</w:t>
            </w:r>
          </w:p>
        </w:tc>
        <w:tc>
          <w:tcPr>
            <w:tcW w:w="217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65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574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525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6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2176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6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7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162" w:hRule="atLeast"/>
        </w:trPr>
        <w:tc>
          <w:tcPr>
            <w:tcW w:w="9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6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ru-RU" w:bidi="ar-SA"/>
              </w:rPr>
              <w:t>Исполнитель обязан предоставить гарантии на установленные узлы, агрегаты и запасные части согласно срокам, установленных заводом-изготовителем, а на оказанные услуги по ТР не менее 6 (шести) месяцев при условии эксплуатации транспортного средства согласно руководству по эксплуатации.</w:t>
            </w:r>
          </w:p>
        </w:tc>
        <w:tc>
          <w:tcPr>
            <w:tcW w:w="217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6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74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b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ind w:hanging="0"/>
        <w:jc w:val="center"/>
        <w:rPr>
          <w:rFonts w:eastAsia="Calibri"/>
          <w:lang w:val="x-none" w:eastAsia="x-none"/>
        </w:rPr>
      </w:pPr>
      <w:r>
        <w:rPr>
          <w:rFonts w:eastAsia="Calibri"/>
          <w:lang w:val="x-none" w:eastAsia="x-none"/>
        </w:rPr>
      </w:r>
    </w:p>
    <w:p>
      <w:pPr>
        <w:pStyle w:val="Normal"/>
        <w:jc w:val="right"/>
        <w:rPr>
          <w:rFonts w:eastAsia="Calibri"/>
          <w:lang w:val="x-none" w:eastAsia="x-none"/>
        </w:rPr>
      </w:pPr>
      <w:r>
        <w:rPr>
          <w:rFonts w:eastAsia="Calibri"/>
          <w:lang w:val="x-none" w:eastAsia="x-none"/>
        </w:rPr>
      </w:r>
    </w:p>
    <w:p>
      <w:pPr>
        <w:pStyle w:val="Normal"/>
        <w:jc w:val="right"/>
        <w:rPr>
          <w:rStyle w:val="Strong"/>
          <w:b w:val="false"/>
          <w:sz w:val="24"/>
          <w:szCs w:val="24"/>
        </w:rPr>
      </w:pPr>
      <w:r>
        <w:rPr>
          <w:rStyle w:val="Strong"/>
          <w:b w:val="false"/>
          <w:sz w:val="24"/>
          <w:szCs w:val="24"/>
        </w:rPr>
        <w:t>Приложение №1 к Техническим требованиям</w:t>
      </w:r>
    </w:p>
    <w:p>
      <w:pPr>
        <w:pStyle w:val="Normal"/>
        <w:jc w:val="right"/>
        <w:rPr>
          <w:rStyle w:val="Strong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Ведомость объемов работ по техническому обслуживанию </w:t>
      </w:r>
    </w:p>
    <w:p>
      <w:pPr>
        <w:pStyle w:val="Normal"/>
        <w:jc w:val="center"/>
        <w:rPr>
          <w:b/>
          <w:color w:val="000000"/>
          <w:sz w:val="24"/>
          <w:szCs w:val="24"/>
          <w:lang w:val="en-US"/>
        </w:rPr>
      </w:pPr>
      <w:r>
        <w:rPr>
          <w:b/>
          <w:color w:val="000000"/>
          <w:sz w:val="24"/>
          <w:szCs w:val="24"/>
        </w:rPr>
        <w:t>транспортных средств</w:t>
      </w:r>
      <w:r>
        <w:rPr>
          <w:b/>
          <w:color w:val="000000"/>
          <w:sz w:val="24"/>
          <w:szCs w:val="24"/>
          <w:lang w:val="en-US"/>
        </w:rPr>
        <w:t xml:space="preserve"> </w:t>
      </w:r>
    </w:p>
    <w:tbl>
      <w:tblPr>
        <w:tblW w:w="109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221"/>
        <w:gridCol w:w="3241"/>
        <w:gridCol w:w="1363"/>
        <w:gridCol w:w="1586"/>
        <w:gridCol w:w="1819"/>
        <w:gridCol w:w="1707"/>
      </w:tblGrid>
      <w:tr>
        <w:trPr>
          <w:trHeight w:val="300" w:hRule="atLeast"/>
        </w:trPr>
        <w:tc>
          <w:tcPr>
            <w:tcW w:w="1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2F2F2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bCs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3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DEDED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Марка автомобиля</w:t>
            </w:r>
          </w:p>
        </w:tc>
        <w:tc>
          <w:tcPr>
            <w:tcW w:w="1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DEDED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Год. выпуска </w:t>
            </w:r>
          </w:p>
        </w:tc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2F2F2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Гос номер</w:t>
            </w: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2F2F2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Наименование услуг</w:t>
            </w: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</w:tr>
      <w:tr>
        <w:trPr>
          <w:trHeight w:val="322" w:hRule="atLeast"/>
        </w:trPr>
        <w:tc>
          <w:tcPr>
            <w:tcW w:w="12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3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3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5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8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</w:tr>
      <w:tr>
        <w:trPr>
          <w:trHeight w:val="166" w:hRule="atLeast"/>
        </w:trPr>
        <w:tc>
          <w:tcPr>
            <w:tcW w:w="12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32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3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5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8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NISSAN PATROL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Х 364 ТР 59</w:t>
            </w:r>
          </w:p>
        </w:tc>
        <w:tc>
          <w:tcPr>
            <w:tcW w:w="18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CAMRY 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 607 НР 750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УАЗ 315195 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2007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Р 907 УР 27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LAND CRUISER 150 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 586 АВ 763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HIACE 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 520 ХТ 27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CAMRY 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 384 ТС 799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CAMRY 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 605 НР 750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406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TOYOTA LAND CRUISER 150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 428 ТО 28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46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CAMRY 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 770 РР 777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93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CAMRY 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 461 МВ 750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LAND CRUISER 120 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2006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М 222 МК 163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81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TOYOTA LAND CRUISER 150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 xml:space="preserve">Е 820 КH 28 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Mitsubishi L200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 322 ХО 750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TOYOTA LAND CRUISER 150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 525 АУ 50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HILUX 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 413 КО 27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CAMRY 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 601 НР 750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TOYOTA HIGHLANDER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 228 ХЕ 163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RENAULT DUSTER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 581 ЕК 763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Volkswagen 7HC Caravelle 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Р 881 ЕВ 27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LAND CRUISER 120 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 812 РТ 27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RAV4 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2010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 460 МА 05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60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Corolla 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 053 ТА 750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32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MITSUBISHI OUTLANDER </w:t>
            </w:r>
          </w:p>
        </w:tc>
        <w:tc>
          <w:tcPr>
            <w:tcW w:w="13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2007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 761 КМ 163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32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Nissan Dutsun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 990 НН 41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32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Toyota Land Cruiser 200 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 580 НХ 197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32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УАЗ-390945</w:t>
            </w:r>
          </w:p>
        </w:tc>
        <w:tc>
          <w:tcPr>
            <w:tcW w:w="13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 703 ХС 28</w:t>
            </w:r>
          </w:p>
        </w:tc>
        <w:tc>
          <w:tcPr>
            <w:tcW w:w="181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ТО-1</w:t>
            </w:r>
          </w:p>
        </w:tc>
        <w:tc>
          <w:tcPr>
            <w:tcW w:w="17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E7E6E6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Текущий ремонт (нормо-часов)</w:t>
            </w:r>
          </w:p>
        </w:tc>
        <w:tc>
          <w:tcPr>
            <w:tcW w:w="1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Слесарно-механические работы</w:t>
            </w:r>
            <w:r>
              <w:rPr>
                <w:color w:val="000000"/>
                <w:sz w:val="20"/>
                <w:szCs w:val="20"/>
              </w:rPr>
              <w:t>, н/ч</w:t>
            </w:r>
          </w:p>
        </w:tc>
        <w:tc>
          <w:tcPr>
            <w:tcW w:w="1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0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Монтажно-демонтажные работы</w:t>
            </w:r>
            <w:r>
              <w:rPr>
                <w:color w:val="000000"/>
                <w:sz w:val="20"/>
                <w:szCs w:val="20"/>
              </w:rPr>
              <w:t>, н/ч</w:t>
            </w:r>
          </w:p>
        </w:tc>
        <w:tc>
          <w:tcPr>
            <w:tcW w:w="1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0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Электромонтажные работы</w:t>
            </w:r>
            <w:r>
              <w:rPr>
                <w:color w:val="000000"/>
                <w:sz w:val="20"/>
                <w:szCs w:val="20"/>
              </w:rPr>
              <w:t>, н/ч</w:t>
            </w:r>
          </w:p>
        </w:tc>
        <w:tc>
          <w:tcPr>
            <w:tcW w:w="1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0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Шиномонтажные работы</w:t>
            </w:r>
            <w:r>
              <w:rPr>
                <w:color w:val="000000"/>
                <w:sz w:val="20"/>
                <w:szCs w:val="20"/>
              </w:rPr>
              <w:t>, н/ч</w:t>
            </w:r>
          </w:p>
        </w:tc>
        <w:tc>
          <w:tcPr>
            <w:tcW w:w="1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0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Арматурные работы</w:t>
            </w:r>
            <w:r>
              <w:rPr>
                <w:color w:val="000000"/>
                <w:sz w:val="20"/>
                <w:szCs w:val="20"/>
              </w:rPr>
              <w:t>, н/ч</w:t>
            </w:r>
          </w:p>
        </w:tc>
        <w:tc>
          <w:tcPr>
            <w:tcW w:w="1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0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Кузовные и малярные работы</w:t>
            </w:r>
            <w:r>
              <w:rPr>
                <w:color w:val="000000"/>
                <w:sz w:val="20"/>
                <w:szCs w:val="20"/>
              </w:rPr>
              <w:t>, н/ч</w:t>
            </w:r>
          </w:p>
        </w:tc>
        <w:tc>
          <w:tcPr>
            <w:tcW w:w="1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0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Диагностические работы</w:t>
            </w:r>
            <w:r>
              <w:rPr>
                <w:color w:val="000000"/>
                <w:sz w:val="20"/>
                <w:szCs w:val="20"/>
              </w:rPr>
              <w:t xml:space="preserve">, н/ч </w:t>
            </w:r>
          </w:p>
        </w:tc>
        <w:tc>
          <w:tcPr>
            <w:tcW w:w="1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>
      <w:pPr>
        <w:pStyle w:val="Normal"/>
        <w:rPr>
          <w:rFonts w:eastAsia="Calibri"/>
          <w:lang w:val="x-none" w:eastAsia="x-none"/>
        </w:rPr>
      </w:pPr>
      <w:r>
        <w:rPr>
          <w:rFonts w:eastAsia="Calibri"/>
          <w:lang w:val="x-none" w:eastAsia="x-none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Style w:val="Strong"/>
          <w:b w:val="false"/>
          <w:sz w:val="24"/>
          <w:szCs w:val="24"/>
        </w:rPr>
        <w:t>Приложение №2 к Техническим требованиям</w:t>
      </w:r>
    </w:p>
    <w:p>
      <w:pPr>
        <w:pStyle w:val="Normal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Normal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Состав услуг по техническому обслуживанию транспортных средств</w:t>
      </w:r>
    </w:p>
    <w:p>
      <w:pPr>
        <w:pStyle w:val="Normal"/>
        <w:tabs>
          <w:tab w:val="clear" w:pos="708"/>
          <w:tab w:val="left" w:pos="284" w:leader="none"/>
        </w:tabs>
        <w:spacing w:before="120" w:after="0"/>
        <w:contextualSpacing/>
        <w:rPr>
          <w:b/>
        </w:rPr>
      </w:pPr>
      <w:r>
        <w:rPr>
          <w:b/>
        </w:rPr>
      </w:r>
    </w:p>
    <w:tbl>
      <w:tblPr>
        <w:tblW w:w="10123" w:type="dxa"/>
        <w:jc w:val="left"/>
        <w:tblInd w:w="75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VBand="1" w:noHBand="0" w:lastColumn="0" w:firstColumn="1" w:lastRow="0" w:firstRow="1"/>
      </w:tblPr>
      <w:tblGrid>
        <w:gridCol w:w="865"/>
        <w:gridCol w:w="4440"/>
        <w:gridCol w:w="2701"/>
        <w:gridCol w:w="2116"/>
      </w:tblGrid>
      <w:tr>
        <w:trPr>
          <w:trHeight w:val="1517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</w:rPr>
            </w:pPr>
            <w:r>
              <w:rPr>
                <w:bCs/>
              </w:rPr>
              <w:t xml:space="preserve">ТО -1 </w:t>
            </w:r>
          </w:p>
          <w:p>
            <w:pPr>
              <w:pStyle w:val="Normal"/>
              <w:widowControl w:val="false"/>
              <w:jc w:val="center"/>
              <w:rPr>
                <w:bCs/>
              </w:rPr>
            </w:pPr>
            <w:r>
              <w:rPr>
                <w:bCs/>
              </w:rPr>
              <w:t>(каждые 10 тыс. км для бензиновых двигателей каждые 8 тыс. км для дизельных двигателей)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</w:rPr>
            </w:pPr>
            <w:r>
              <w:rPr>
                <w:bCs/>
              </w:rPr>
              <w:t>ТО -2 (каждые 30-40 тыс. км)</w:t>
            </w:r>
          </w:p>
        </w:tc>
      </w:tr>
      <w:tr>
        <w:trPr>
          <w:trHeight w:val="323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44" w:after="0"/>
              <w:ind w:left="148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Моторное масло и масляные фильтры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44" w:after="0"/>
              <w:ind w:left="3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R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44" w:after="0"/>
              <w:ind w:right="191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R</w:t>
            </w:r>
          </w:p>
        </w:tc>
      </w:tr>
      <w:tr>
        <w:trPr>
          <w:trHeight w:val="777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32" w:after="0"/>
              <w:ind w:left="146" w:right="-138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Система выпуска отработавших газов (проверка на герметичность, протяжка)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7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pacing w:before="1" w:after="0"/>
              <w:ind w:left="16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pacing w:before="1" w:after="0"/>
              <w:ind w:right="224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57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492" w:leader="none"/>
              </w:tabs>
              <w:spacing w:before="13" w:after="0"/>
              <w:ind w:left="146" w:right="3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Система охлаждения двигателя (проверка на герметичность)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161" w:after="0"/>
              <w:ind w:left="16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61" w:after="0"/>
              <w:ind w:right="224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299" w:leader="none"/>
              </w:tabs>
              <w:spacing w:before="82" w:after="0"/>
              <w:ind w:left="146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Уровень жидкости в системе охлаждения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121" w:after="0"/>
              <w:ind w:left="16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21" w:after="0"/>
              <w:ind w:right="224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299" w:leader="none"/>
              </w:tabs>
              <w:spacing w:before="32" w:after="0"/>
              <w:ind w:left="146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Приводные ремни двигателя (натяжение, состояние)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51" w:after="0"/>
              <w:ind w:left="16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51" w:after="0"/>
              <w:ind w:right="224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299" w:leader="none"/>
              </w:tabs>
              <w:spacing w:before="51" w:after="0"/>
              <w:ind w:left="15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Воздушный фильтр (проверка состояния, замена)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68" w:after="0"/>
              <w:ind w:left="3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R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8" w:after="0"/>
              <w:ind w:right="191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R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634" w:leader="none"/>
              </w:tabs>
              <w:spacing w:before="34" w:after="0"/>
              <w:ind w:left="15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Топливный бак, топливопроводы (крепление, проверка на герметичность)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157" w:after="0"/>
              <w:ind w:left="16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57" w:after="0"/>
              <w:ind w:right="224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299" w:leader="none"/>
              </w:tabs>
              <w:spacing w:before="65" w:after="0"/>
              <w:ind w:left="146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Топливный фильтр грубой очистки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92" w:after="0"/>
              <w:ind w:left="3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R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01" w:after="0"/>
              <w:ind w:right="191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R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70" w:after="0"/>
              <w:ind w:left="146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Топливный фильтр тонкой очистки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94" w:after="0"/>
              <w:ind w:left="3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R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06" w:after="0"/>
              <w:ind w:right="191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R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ind w:left="146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Осмотр трубопроводов, форсунок (утечки, повреждения)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99" w:after="0"/>
              <w:ind w:left="16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99" w:after="0"/>
              <w:ind w:right="224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37" w:after="0"/>
              <w:ind w:left="146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Тормозные барабаны и накладки (проверка износа)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70" w:after="0"/>
              <w:ind w:left="16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right="224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128" w:after="0"/>
              <w:ind w:left="146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Стояночный тормоз (работоспособность)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68" w:after="0"/>
              <w:ind w:left="12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8" w:after="0"/>
              <w:ind w:right="225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87" w:after="0"/>
              <w:ind w:left="146" w:right="3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Педаль сцепления (ход, высота), Шток ПГУ (ход)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5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ind w:left="12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5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ind w:right="225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339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128" w:after="0"/>
              <w:ind w:left="146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Масло в коробке передач и фильтр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142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42" w:after="0"/>
              <w:ind w:right="225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R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99" w:after="0"/>
              <w:ind w:left="146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Коробка передач (проверка на герметичность, очистка сапуна)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8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ind w:left="12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ind w:right="225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9" w:after="0"/>
              <w:ind w:left="146" w:right="3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Гидравлический привод сцепления (проверка на герметичность).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pacing w:before="1" w:after="0"/>
              <w:ind w:left="7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pacing w:before="1" w:after="0"/>
              <w:ind w:right="222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ind w:left="146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Замена жидкости привода сцепления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9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pacing w:before="1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jc w:val="center"/>
              <w:rPr>
                <w:rFonts w:ascii="Times New Roman" w:hAnsi="Times New Roman" w:cs="Times New Roman"/>
                <w:b/>
                <w:w w:val="103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R</w:t>
            </w:r>
          </w:p>
        </w:tc>
      </w:tr>
      <w:tr>
        <w:trPr>
          <w:trHeight w:val="870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145" w:after="0"/>
              <w:ind w:right="3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Вал вилки сцепления, выжимной подшипник (обслуживание точек смазки)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5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ind w:left="5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L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5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ind w:right="198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L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133" w:after="0"/>
              <w:ind w:left="146" w:right="3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Карданный вал, подвесной подшипник (протяжка, обслуживание точек смазки)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1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ind w:left="5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L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ind w:right="198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L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70" w:after="0"/>
              <w:ind w:left="146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Редуктор ведущего моста (проверка на герметичность, очистка сапуна)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2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ind w:left="12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ind w:right="225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ind w:left="146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Масло редуктора ведущего моста и фильтр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1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R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128" w:after="0"/>
              <w:ind w:left="15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Элементы рулевого управления (протяжка)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145" w:after="0"/>
              <w:ind w:left="12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45" w:after="0"/>
              <w:ind w:right="225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9" w:after="0"/>
              <w:ind w:left="146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Гидроусилитель рулевого управления (проверка на герметичность, уровень жидкости)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9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pacing w:before="1" w:after="0"/>
              <w:ind w:left="12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pacing w:before="1" w:after="0"/>
              <w:ind w:right="225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135" w:after="0"/>
              <w:ind w:left="146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Жидкость гидроусилителя рулевого управления и фильтр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149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R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128" w:after="0"/>
              <w:ind w:left="146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Шаровые опоры, шкворни, рулевые тяги (проверка на люфт)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142" w:after="0"/>
              <w:ind w:left="12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42" w:after="0"/>
              <w:ind w:right="225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128" w:after="0"/>
              <w:ind w:left="146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Обслуживание точек смазки рулевого управления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142" w:after="0"/>
              <w:ind w:left="5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L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42" w:after="0"/>
              <w:ind w:right="198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L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154" w:after="0"/>
              <w:ind w:left="146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Шины (износ, повреждение, давление) / колесные диски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68" w:after="0"/>
              <w:ind w:left="12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8" w:after="0"/>
              <w:ind w:right="225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154" w:after="0"/>
              <w:ind w:left="15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Элементы подвески (осмотр, протяжка)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68" w:after="0"/>
              <w:ind w:left="12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8" w:after="0"/>
              <w:ind w:right="225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154" w:after="0"/>
              <w:ind w:left="15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Обслуживание точек смазки подвески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68" w:after="0"/>
              <w:ind w:left="5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L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8" w:after="0"/>
              <w:ind w:right="198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L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157" w:after="0"/>
              <w:ind w:left="146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Подшипники ступиц (проверка на люфт)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68" w:after="0"/>
              <w:ind w:left="12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8" w:after="0"/>
              <w:ind w:right="225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157" w:after="0"/>
              <w:ind w:left="146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Подшипники ступиц (замена смазки)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68" w:after="0"/>
              <w:ind w:left="5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jc w:val="center"/>
              <w:rPr>
                <w:rFonts w:ascii="Times New Roman" w:hAnsi="Times New Roman" w:cs="Times New Roman"/>
                <w:b/>
                <w:w w:val="103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L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109" w:after="0"/>
              <w:ind w:left="146" w:right="56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Внешние световые приборы, внутреннее освещение кабины, панель приборов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7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ind w:right="18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ind w:right="239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133" w:after="0"/>
              <w:ind w:left="146" w:right="15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Стеклоомыватели и стеклоочистители, обогрев зеркальных элементов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7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ind w:right="18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7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ind w:right="239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154" w:after="0"/>
              <w:ind w:left="146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Центральный замок, электрические стеклоподъемники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140" w:after="0"/>
              <w:ind w:right="18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40" w:after="0"/>
              <w:ind w:right="239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149" w:after="0"/>
              <w:ind w:left="15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Кондиционер (проверка работоспособности)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137" w:after="0"/>
              <w:ind w:right="18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37" w:after="0"/>
              <w:ind w:right="239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159" w:after="0"/>
              <w:ind w:left="15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Соединение аккумуляторных батарей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147" w:after="0"/>
              <w:ind w:right="18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47" w:after="0"/>
              <w:ind w:right="239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157" w:after="0"/>
              <w:ind w:left="15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Аккумуляторные батареи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145" w:after="0"/>
              <w:ind w:right="18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45" w:after="0"/>
              <w:ind w:right="239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  <w:tr>
        <w:trPr>
          <w:trHeight w:val="22" w:hRule="atLeast"/>
        </w:trPr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2902" w:leader="none"/>
              </w:tabs>
              <w:spacing w:before="142" w:after="0"/>
              <w:ind w:left="15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w w:val="105"/>
                <w:sz w:val="24"/>
                <w:szCs w:val="24"/>
              </w:rPr>
              <w:t>Фильтр вентиляции салона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</w:tcPr>
          <w:p>
            <w:pPr>
              <w:pStyle w:val="TableParagraph"/>
              <w:widowControl w:val="false"/>
              <w:spacing w:before="137" w:after="0"/>
              <w:ind w:left="12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37" w:after="0"/>
              <w:ind w:right="225" w:hang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w w:val="103"/>
                <w:sz w:val="24"/>
                <w:szCs w:val="24"/>
              </w:rPr>
              <w:t>I</w:t>
            </w:r>
          </w:p>
        </w:tc>
      </w:tr>
    </w:tbl>
    <w:p>
      <w:pPr>
        <w:pStyle w:val="Normal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Обозначение видов работ:</w:t>
      </w:r>
    </w:p>
    <w:p>
      <w:pPr>
        <w:pStyle w:val="Normal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Spacing"/>
        <w:rPr/>
      </w:pPr>
      <w:r>
        <w:rPr>
          <w:b/>
          <w:w w:val="105"/>
        </w:rPr>
        <w:t xml:space="preserve">I </w:t>
      </w:r>
      <w:r>
        <w:rPr>
          <w:w w:val="105"/>
        </w:rPr>
        <w:t>– проверить, при необходимости отрегулировать, затянуть, очистить, заменить;</w:t>
      </w:r>
    </w:p>
    <w:p>
      <w:pPr>
        <w:pStyle w:val="NoSpacing"/>
        <w:rPr/>
      </w:pPr>
      <w:r>
        <w:rPr>
          <w:b/>
          <w:w w:val="105"/>
        </w:rPr>
        <w:t xml:space="preserve">R </w:t>
      </w:r>
      <w:r>
        <w:rPr>
          <w:w w:val="105"/>
        </w:rPr>
        <w:t>– заменить;</w:t>
      </w:r>
    </w:p>
    <w:p>
      <w:pPr>
        <w:pStyle w:val="NoSpacing"/>
        <w:rPr/>
      </w:pPr>
      <w:r>
        <w:rPr>
          <w:b/>
          <w:w w:val="105"/>
        </w:rPr>
        <w:t xml:space="preserve">L </w:t>
      </w:r>
      <w:r>
        <w:rPr>
          <w:w w:val="105"/>
        </w:rPr>
        <w:t>– смазать;</w:t>
      </w:r>
    </w:p>
    <w:p>
      <w:pPr>
        <w:pStyle w:val="Normal"/>
        <w:rPr>
          <w:rFonts w:eastAsia="Calibri"/>
          <w:sz w:val="24"/>
          <w:szCs w:val="24"/>
          <w:highlight w:val="lightGray"/>
          <w:lang w:eastAsia="en-US"/>
        </w:rPr>
      </w:pPr>
      <w:r>
        <w:rPr/>
      </w:r>
    </w:p>
    <w:sectPr>
      <w:headerReference w:type="default" r:id="rId5"/>
      <w:headerReference w:type="first" r:id="rId6"/>
      <w:type w:val="nextPage"/>
      <w:pgSz w:orient="landscape" w:w="16838" w:h="11906"/>
      <w:pgMar w:left="1002" w:right="992" w:gutter="0" w:header="680" w:top="851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3"/>
    <w:lvlOverride w:ilvl="0">
      <w:startOverride w:val="1"/>
    </w:lvlOverride>
    <w:lvlOverride w:ilvl="1">
      <w:startOverride w:val="3"/>
    </w:lvlOverride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154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432" w:hanging="0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55093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ascii="Calibri" w:hAnsi="Calibri" w:eastAsia="新細明體" w:cs="Arial" w:asciiTheme="minorHAnsi" w:cstheme="minorBidi" w:eastAsiaTheme="minorEastAsia" w:hAnsiTheme="minorHAnsi"/>
      <w:b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dot"/>
      </w:tabs>
    </w:pPr>
    <w:rPr>
      <w:rFonts w:ascii="Calibri" w:hAnsi="Calibri" w:cs="Calibri" w:cstheme="minorHAnsi"/>
      <w:b/>
      <w:bCs/>
      <w:sz w:val="24"/>
      <w:szCs w:val="24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ableParagraph" w:customStyle="1">
    <w:name w:val="Table Paragraph"/>
    <w:basedOn w:val="Normal"/>
    <w:uiPriority w:val="1"/>
    <w:qFormat/>
    <w:rsid w:val="00855223"/>
    <w:pPr>
      <w:widowControl w:val="false"/>
    </w:pPr>
    <w:rPr>
      <w:rFonts w:ascii="Arial" w:hAnsi="Arial" w:eastAsia="Arial" w:cs="Arial"/>
      <w:sz w:val="22"/>
      <w:szCs w:val="22"/>
      <w:lang w:bidi="ru-RU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3FE33-7625-4B46-A25B-335A4ADE0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Application>AlterOffice/3.4.0.9$Linux_X86_64 LibreOffice_project/b8daf9e823b1a5463a2f48435ddc2e8696e7d4fc</Application>
  <AppVersion>15.0000</AppVersion>
  <Pages>15</Pages>
  <Words>2024</Words>
  <Characters>11720</Characters>
  <CharactersWithSpaces>13220</CharactersWithSpaces>
  <Paragraphs>637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2023-11-15T05:56:00Z</dcterms:created>
  <dc:creator>Быстров Олег Геннадьевич</dc:creator>
  <dc:description/>
  <dc:language>ru-RU</dc:language>
  <cp:lastModifiedBy>sopinav@corp.gidroogk.com</cp:lastModifiedBy>
  <cp:lastPrinted>2026-10-11T16:43:43Z</cp:lastPrinted>
  <dcterms:modified xsi:type="dcterms:W3CDTF">2026-10-12T14:15:29Z</dcterms:modified>
  <cp:revision>51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