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eastAsia="Calibri"/>
          <w:b w:val="false"/>
          <w:bCs w:val="false"/>
          <w:sz w:val="28"/>
          <w:szCs w:val="28"/>
        </w:rPr>
        <w:t xml:space="preserve">на 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2C2D2E"/>
          <w:spacing w:val="0"/>
          <w:sz w:val="28"/>
          <w:szCs w:val="28"/>
        </w:rPr>
        <w:t>ОКПД2 84.25.11.120 Услуги по зарядке и обслуживанию огнетушителей для нужд филиала ПАО "РусГидро"-"Загорская ГАЭС"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tbl>
      <w:tblPr>
        <w:tblW w:w="97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75"/>
        <w:gridCol w:w="7905"/>
      </w:tblGrid>
      <w:tr>
        <w:trPr>
          <w:trHeight w:val="344" w:hRule="atLeast"/>
          <w:cantSplit w:val="true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x-none" w:eastAsia="x-none"/>
              </w:rPr>
              <w:t>ГОСТ Р 59641-2021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  <w:lang w:val="x-none" w:eastAsia="x-none"/>
              </w:rPr>
              <w:t>Национальный стандарт Российской Федерации. Средства противопожарной защиты зданий и сооружений. Средства первичные пожаротушения. Руководство по размещению, техническому обслуживанию и ремонту. Методы испытаний на работоспособность.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‍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(з)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огнетушитель закачного типа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(З)ПУ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(запорно-) пусковое устройство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ОУ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углекислотный огнетушитель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порошковый огнетушитель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ОТВ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огнетушащее вещество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ТОиР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техническе обслуживание и ремонт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44" w:hRule="atLeast"/>
          <w:cantSplit w:val="true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«Загорская ГАЭС»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3" w:name="_Toc54643696"/>
      <w:bookmarkStart w:id="4" w:name="_Toc46743506"/>
      <w:r>
        <w:rPr/>
        <w:t>Наименование закупаемой продукции</w:t>
      </w:r>
      <w:bookmarkEnd w:id="3"/>
      <w:bookmarkEnd w:id="4"/>
    </w:p>
    <w:p>
      <w:pPr>
        <w:pStyle w:val="Normal"/>
        <w:keepNext w:val="true"/>
        <w:keepLines/>
        <w:widowControl/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rFonts w:eastAsia="Calibri"/>
          <w:b w:val="false"/>
          <w:bCs w:val="false"/>
          <w:i w:val="false"/>
          <w:caps w:val="false"/>
          <w:smallCaps w:val="false"/>
          <w:color w:val="2C2D2E"/>
          <w:spacing w:val="0"/>
          <w:sz w:val="24"/>
          <w:szCs w:val="24"/>
          <w:lang w:eastAsia="x-none"/>
        </w:rPr>
        <w:t>ОКПД2 84.25.11.120 Услуги по зарядке и обслуживанию огнетушителей для нужд филиала ПАО "РусГидро"-"Загорская ГАЭС"</w:t>
      </w:r>
      <w:r>
        <w:rPr>
          <w:sz w:val="24"/>
          <w:szCs w:val="24"/>
          <w:lang w:eastAsia="x-none"/>
        </w:rPr>
        <w:t>.</w:t>
      </w:r>
    </w:p>
    <w:p>
      <w:pPr>
        <w:pStyle w:val="Heading4"/>
        <w:numPr>
          <w:ilvl w:val="1"/>
          <w:numId w:val="3"/>
        </w:numPr>
        <w:rPr>
          <w:lang w:val="ru-RU"/>
        </w:rPr>
      </w:pPr>
      <w:r>
        <w:rPr/>
        <w:t xml:space="preserve">Цель </w:t>
      </w:r>
      <w:r>
        <w:rPr>
          <w:lang w:val="ru-RU"/>
        </w:rPr>
        <w:t>оказания услуг</w:t>
      </w:r>
    </w:p>
    <w:p>
      <w:pPr>
        <w:pStyle w:val="BodyText"/>
        <w:widowControl/>
        <w:suppressAutoHyphens w:val="true"/>
        <w:bidi w:val="0"/>
        <w:spacing w:before="0" w:after="120"/>
        <w:ind w:left="0" w:right="0" w:firstLine="850"/>
        <w:jc w:val="both"/>
        <w:rPr/>
      </w:pPr>
      <w:r>
        <w:rPr>
          <w:b w:val="false"/>
          <w:bCs w:val="false"/>
          <w:sz w:val="24"/>
          <w:lang w:val="x-none" w:eastAsia="x-none"/>
        </w:rPr>
        <w:t xml:space="preserve">Эксплуатация огнетушителей на объектах защиты </w:t>
      </w:r>
      <w:r>
        <w:rPr>
          <w:b w:val="false"/>
          <w:bCs w:val="false"/>
          <w:sz w:val="24"/>
          <w:szCs w:val="24"/>
          <w:lang w:val="x-none" w:eastAsia="x-none"/>
        </w:rPr>
        <w:t>Филиала в соответствии с требованиями законодательства РФ в области пожарной безопасности.</w:t>
      </w: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5" w:name="_Toc54643698"/>
      <w:bookmarkStart w:id="6" w:name="_Toc46743508"/>
      <w:bookmarkStart w:id="7" w:name="_Toc54643697"/>
      <w:bookmarkStart w:id="8" w:name="_Toc46743507"/>
      <w:bookmarkEnd w:id="7"/>
      <w:bookmarkEnd w:id="8"/>
      <w:r>
        <w:rPr/>
        <w:t>Существующее положение</w:t>
      </w:r>
      <w:bookmarkEnd w:id="6"/>
      <w:r>
        <w:rPr>
          <w:lang w:val="ru-RU"/>
        </w:rPr>
        <w:t xml:space="preserve"> </w:t>
      </w:r>
      <w:bookmarkStart w:id="9" w:name="_Toc54643699"/>
      <w:bookmarkEnd w:id="5"/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contextualSpacing/>
        <w:jc w:val="both"/>
        <w:rPr>
          <w:sz w:val="24"/>
          <w:lang w:eastAsia="x-none"/>
        </w:rPr>
      </w:pPr>
      <w:r>
        <w:rPr>
          <w:b w:val="false"/>
          <w:bCs w:val="false"/>
          <w:sz w:val="24"/>
          <w:lang w:val="x-none" w:eastAsia="x-none"/>
        </w:rPr>
        <w:t xml:space="preserve">На объектах защиты </w:t>
      </w:r>
      <w:r>
        <w:rPr>
          <w:b w:val="false"/>
          <w:bCs w:val="false"/>
          <w:sz w:val="24"/>
          <w:szCs w:val="24"/>
          <w:lang w:val="x-none" w:eastAsia="x-none"/>
        </w:rPr>
        <w:t>Филиала</w:t>
      </w:r>
      <w:r>
        <w:rPr>
          <w:sz w:val="24"/>
          <w:lang w:eastAsia="x-none"/>
        </w:rPr>
        <w:t xml:space="preserve"> в качестве одного из вида первичных средств пожаротушения применяются углекислотные и порошковые огнетушители</w:t>
      </w:r>
      <w:r>
        <w:rPr>
          <w:color w:val="000000"/>
          <w:sz w:val="24"/>
          <w:lang w:eastAsia="x-none"/>
        </w:rPr>
        <w:t>.</w:t>
      </w:r>
    </w:p>
    <w:p>
      <w:pPr>
        <w:pStyle w:val="BodyText"/>
        <w:widowControl/>
        <w:suppressAutoHyphens w:val="true"/>
        <w:bidi w:val="0"/>
        <w:spacing w:before="0" w:after="0"/>
        <w:ind w:left="0" w:right="0" w:firstLine="850"/>
        <w:contextualSpacing/>
        <w:jc w:val="both"/>
        <w:rPr>
          <w:b w:val="false"/>
        </w:rPr>
      </w:pPr>
      <w:r>
        <w:rPr>
          <w:b w:val="false"/>
          <w:color w:val="000000"/>
          <w:sz w:val="24"/>
          <w:lang w:eastAsia="x-none"/>
        </w:rPr>
        <w:t xml:space="preserve">Все огнетушители Филиала должны пройти обслуживание и, при необходимоти, зарядку, в объеме, указанном в табл. 2 настоящих ТТ, в сроки, указанные в табл. 3 настоящих ТТ. </w:t>
      </w:r>
    </w:p>
    <w:p>
      <w:pPr>
        <w:pStyle w:val="BodyText"/>
        <w:widowControl/>
        <w:suppressAutoHyphens w:val="true"/>
        <w:bidi w:val="0"/>
        <w:spacing w:before="0" w:after="0"/>
        <w:ind w:left="0" w:right="0" w:firstLine="850"/>
        <w:contextualSpacing/>
        <w:jc w:val="both"/>
        <w:rPr>
          <w:b w:val="false"/>
        </w:rPr>
      </w:pPr>
      <w:r>
        <w:rPr>
          <w:b w:val="false"/>
          <w:sz w:val="24"/>
          <w:lang w:eastAsia="x-none"/>
        </w:rPr>
        <w:t xml:space="preserve">Основным документом, регламентирующим ТОиР огнетушителей, является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x-none" w:eastAsia="x-none"/>
        </w:rPr>
        <w:t>ГОСТ Р 59641-2021, согласно которому зарядка и обслуживание</w:t>
      </w:r>
      <w:r>
        <w:rPr>
          <w:b w:val="false"/>
          <w:sz w:val="24"/>
          <w:lang w:eastAsia="x-none"/>
        </w:rPr>
        <w:t xml:space="preserve"> всех огнетушителей Филиала выполняются исключительно силами специализированной организации.</w:t>
      </w:r>
    </w:p>
    <w:p>
      <w:pPr>
        <w:pStyle w:val="BodyText"/>
        <w:widowControl/>
        <w:suppressAutoHyphens w:val="true"/>
        <w:bidi w:val="0"/>
        <w:spacing w:before="0" w:after="0"/>
        <w:ind w:left="0" w:right="0" w:firstLine="850"/>
        <w:contextualSpacing/>
        <w:jc w:val="both"/>
        <w:rPr>
          <w:b w:val="false"/>
        </w:rPr>
      </w:pPr>
      <w:r>
        <w:rPr>
          <w:b w:val="false"/>
        </w:rPr>
      </w:r>
    </w:p>
    <w:p>
      <w:pPr>
        <w:pStyle w:val="Heading4"/>
        <w:tabs>
          <w:tab w:val="clear" w:pos="0"/>
        </w:tabs>
        <w:ind w:left="432" w:hanging="432"/>
        <w:rPr>
          <w:rStyle w:val="Style8"/>
          <w:b/>
          <w:i w:val="false"/>
          <w:i w:val="false"/>
          <w:shd w:fill="auto" w:val="clear"/>
          <w:lang w:val="ru-RU"/>
        </w:rPr>
      </w:pPr>
      <w:r>
        <w:rPr/>
        <w:t>Таблица 1</w:t>
      </w:r>
      <w:r>
        <w:rPr>
          <w:lang w:val="ru-RU"/>
        </w:rPr>
        <w:t>.</w:t>
      </w:r>
      <w:r>
        <w:rPr/>
        <w:t xml:space="preserve"> </w:t>
      </w:r>
      <w:r>
        <w:rPr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2"/>
        <w:gridCol w:w="3187"/>
        <w:gridCol w:w="4596"/>
        <w:gridCol w:w="1572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  <w:iCs/>
                <w:sz w:val="24"/>
                <w:szCs w:val="24"/>
              </w:rPr>
              <w:t>Зарядка и обслуживание огнетушителей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</w:rPr>
              <w:t>Россия, 141342, Московская область, Сергиево-Посадский г.о., пгт Богородское, дом 100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0" w:name="_Toc54643702"/>
      <w:bookmarkStart w:id="11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rPr/>
      </w:pPr>
      <w:bookmarkStart w:id="1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54643704"/>
      <w:r>
        <w:rPr>
          <w:lang w:val="ru-RU"/>
        </w:rPr>
        <w:t>Требования к перечню и объему услуг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54643705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оказываемых услуг</w:t>
      </w:r>
      <w:bookmarkEnd w:id="14"/>
    </w:p>
    <w:tbl>
      <w:tblPr>
        <w:tblW w:w="9764" w:type="dxa"/>
        <w:jc w:val="left"/>
        <w:tblInd w:w="1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23"/>
        <w:gridCol w:w="5265"/>
        <w:gridCol w:w="1541"/>
        <w:gridCol w:w="1934"/>
      </w:tblGrid>
      <w:tr>
        <w:trPr/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‍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 w:eastAsia="x-none"/>
              </w:rPr>
              <w:t xml:space="preserve">Обслуживание указанных в п.п. 1.1 — 1.13 настоящей таблицы огнетушителей </w:t>
            </w:r>
            <w:r>
              <w:rPr>
                <w:color w:val="000000"/>
                <w:sz w:val="24"/>
                <w:szCs w:val="24"/>
                <w:lang w:eastAsia="x-none"/>
              </w:rPr>
              <w:t xml:space="preserve">Филиала ПАО «РусГидро» - «Загорская </w:t>
            </w:r>
            <w:r>
              <w:rPr>
                <w:sz w:val="24"/>
                <w:szCs w:val="24"/>
                <w:lang w:eastAsia="x-none"/>
              </w:rPr>
              <w:t xml:space="preserve">ГАЭС» </w:t>
            </w:r>
            <w:r>
              <w:rPr>
                <w:color w:val="000000"/>
                <w:sz w:val="24"/>
                <w:szCs w:val="24"/>
                <w:lang w:eastAsia="x-none"/>
              </w:rPr>
              <w:t>в объеме: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- </w:t>
            </w:r>
            <w:r>
              <w:rPr>
                <w:b w:val="false"/>
                <w:sz w:val="24"/>
                <w:szCs w:val="24"/>
              </w:rPr>
              <w:t>осмотр, в ходе проведения которого контролируют: отсутствие вмятин, сколов, глубоких царапин на корпусе, узлах управления, гайках и головке огнетушителя; состояние защитных и лакокрасочных покрытий; наличие четкой и понятной инструкции; состояние предохранительного устройства; целостность манометра или индикатора давления (если он предусмотрен конструкцией огнетушителя), наличие необходимого клейма и величину давления в огнетушителе закачного типа или в газовом баллоне; массу огнетушителя; состояние (З)ПУ и его чеки и пломбы; состояние гибкого шланга (при его наличии) и насадка огнетушителя (на отсутствие механических повреждений, следов коррозии, литейного облоя или посторонних предметов, препятствующих свободному выходу ОТВ из огнетушителя); состояние ходовой части и надежность крепления корпуса огнетушителя на тележке (для передвижного огнетушителя);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взвешивание, измерение (определение) давления для выявления утечки вытесняющего газа, ОТВ;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перезарядка огнетушителя, имеющего недопустимую утечку вытесняющего газа, ОТВ;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>- ремонт (замена) любых составных частей огнетушителя, не прошедших дефектовку;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>- восстановление этикетки (инструкции) по пользованию огнетушителя в случае ее повреждения;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>- очистка наружной поверхности огнетушителя от грязи и пыли, удаление этикеток и бирок о предыдущих ТО при их наличии;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- размещение этикетки или бирки о проведенном ТОиР на корпусе огнетушителя, внесение соответствующей записи в Журнал эксплуатации систем противопожарной защиты и предоставление выписки из Журнала, заверенной печатью Исполнителя.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1.1.‍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ОП-4(з)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‍</w:t>
            </w:r>
            <w:r>
              <w:rPr>
                <w:i w:val="false"/>
                <w:iCs w:val="false"/>
                <w:sz w:val="24"/>
                <w:szCs w:val="24"/>
              </w:rPr>
              <w:t>1.2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ОП-5(з)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‍</w:t>
            </w:r>
            <w:r>
              <w:rPr>
                <w:i w:val="false"/>
                <w:iCs w:val="false"/>
                <w:sz w:val="24"/>
                <w:szCs w:val="24"/>
              </w:rPr>
              <w:t>1.3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ОП-8(з)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1.4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ОП-35(з)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1.5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ОП-70(з)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1.6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ОП-100(з)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1.7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ОУ-3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1.8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ОУ-5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1.9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ОУ-7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1.10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ОУ-8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1.1</w:t>
            </w: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ОУ-20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/>
              <w:t>1.1</w:t>
            </w: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ОУ-25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1.13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ОУ-55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‍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 w:eastAsia="x-none"/>
              </w:rPr>
              <w:t xml:space="preserve">Обслуживание указанных в п.п. 2.1 — 2.4 настоящей таблицы огнетушителей </w:t>
            </w:r>
            <w:r>
              <w:rPr>
                <w:color w:val="000000"/>
                <w:sz w:val="24"/>
                <w:szCs w:val="24"/>
                <w:lang w:eastAsia="x-none"/>
              </w:rPr>
              <w:t xml:space="preserve">Филиала ПАО «РусГидро» - «Загорская </w:t>
            </w:r>
            <w:r>
              <w:rPr>
                <w:sz w:val="24"/>
                <w:szCs w:val="24"/>
                <w:lang w:eastAsia="x-none"/>
              </w:rPr>
              <w:t xml:space="preserve">ГАЭС» </w:t>
            </w:r>
            <w:r>
              <w:rPr>
                <w:color w:val="000000"/>
                <w:sz w:val="24"/>
                <w:szCs w:val="24"/>
                <w:lang w:eastAsia="x-none"/>
              </w:rPr>
              <w:t>в объеме: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- </w:t>
            </w:r>
            <w:r>
              <w:rPr>
                <w:b w:val="false"/>
                <w:sz w:val="24"/>
                <w:szCs w:val="24"/>
              </w:rPr>
              <w:t>осмотр, в ходе проведения которого контролируют: отсутствие вмятин, сколов, глубоких царапин на корпусе, узлах управления, гайках и головке огнетушителя; состояние защитных и лакокрасочных покрытий; наличие четкой и понятной инструкции; состояние предохранительного устройства; целостность манометра или индикатора давления (если он предусмотрен конструкцией огнетушителя), наличие необходимого клейма; состояние (З)ПУ и его чеки и пломбы; состояние гибкого шланга (при его наличии) и насадка огнетушителя (на отсутствие механических повреждений, следов коррозии, литейного облоя или посторонних предметов, препятствующих свободному выходу ОТВ из огнетушителя); состояние ходовой части и надежность крепления корпуса огнетушителя на тележке (для передвижного огнетушителя);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испытание на прочность и герметичность, корпуса огнетушителя, шланга, (З)ПУ огнетушителя;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>- ремонт (замена) любых составных частей огнетушителя, не прошедших дефектовку;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>- восстановление лакокрасочного покрытия корпуса огнетушителя при наличии повреждений лакокрасочного покрытия, восстановление этикетки (инструкции) по пользованию огнетушителя в случае ее повреждения, удаление этикеток и бирок о предыдущих ТО;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перезарядка огнетушителя вытесняющим газом, ОТВ с контрольным взвешиванием, измерением (определением) давления вытесняющего газа, ОТВ;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- размещение этикетки или бирки о проведенном ТОиР на корпусе огнетушителя, указанием массы порожнего и полного огнетушителя,  внесение соответствующей записи в Журнал эксплуатации систем противопожарной защиты и предоставление выписки из Журнала, заверенной печатью Исполнителя.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2.1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ОП-5(з)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2.2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ОП-8(з)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ОП-35(з)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2.4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ОП-70(з)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tLeast" w:line="285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</w:rPr>
              <w:t xml:space="preserve">Утилизация </w:t>
            </w:r>
            <w:r>
              <w:rPr>
                <w:rFonts w:eastAsia="Calibri"/>
                <w:b w:val="false"/>
                <w:i w:val="false"/>
                <w:iCs w:val="false"/>
                <w:color w:val="000000"/>
                <w:sz w:val="24"/>
                <w:szCs w:val="24"/>
                <w:lang w:val="ru-RU" w:eastAsia="x-none"/>
              </w:rPr>
              <w:t>указанных в п.п. 3.1 — 3.2 настоящей таблицы</w:t>
            </w:r>
            <w:r>
              <w:rPr>
                <w:b w:val="false"/>
                <w:i w:val="false"/>
                <w:iCs w:val="false"/>
                <w:sz w:val="24"/>
                <w:szCs w:val="24"/>
              </w:rPr>
              <w:t xml:space="preserve"> огнетушителей с предоставлением акта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3.1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ОУ-5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360" w:hanging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3.2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ОУ-7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6" w:name="_Toc54643706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оказания услуг</w:t>
      </w:r>
      <w:bookmarkEnd w:id="1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54643707"/>
      <w:bookmarkStart w:id="19" w:name="_Toc51339697"/>
      <w:bookmarkStart w:id="20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9"/>
      <w:bookmarkEnd w:id="20"/>
      <w:bookmarkEnd w:id="21"/>
      <w:r>
        <w:rPr>
          <w:sz w:val="24"/>
          <w:szCs w:val="24"/>
          <w:lang w:val="ru-RU"/>
        </w:rPr>
        <w:t>оказания услуг</w:t>
      </w:r>
      <w:bookmarkEnd w:id="18"/>
    </w:p>
    <w:tbl>
      <w:tblPr>
        <w:tblW w:w="9777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1"/>
        <w:gridCol w:w="3113"/>
        <w:gridCol w:w="2134"/>
        <w:gridCol w:w="2206"/>
        <w:gridCol w:w="1623"/>
      </w:tblGrid>
      <w:tr>
        <w:trPr/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Примечание</w:t>
            </w:r>
          </w:p>
        </w:tc>
      </w:tr>
      <w:tr>
        <w:trPr/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>
        <w:trPr/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lang w:val="ru-RU" w:eastAsia="x-none"/>
              </w:rPr>
              <w:t xml:space="preserve">Услуги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val="ru-RU" w:eastAsia="x-none"/>
              </w:rPr>
              <w:t>по зарядке и обслуживанию</w:t>
            </w:r>
            <w:r>
              <w:rPr>
                <w:rFonts w:eastAsia="Calibri"/>
                <w:i w:val="false"/>
                <w:iCs w:val="false"/>
                <w:sz w:val="24"/>
                <w:szCs w:val="24"/>
                <w:lang w:val="ru-RU" w:eastAsia="x-none"/>
              </w:rPr>
              <w:t xml:space="preserve"> огнетушителей </w:t>
            </w:r>
            <w:r>
              <w:rPr>
                <w:i w:val="false"/>
                <w:iCs w:val="false"/>
                <w:sz w:val="24"/>
                <w:szCs w:val="24"/>
                <w:lang w:eastAsia="x-none"/>
              </w:rPr>
              <w:t>Филиала ПАО «РусГидро» - «Загорская ГАЭС»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15.02.2027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10.12.2027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lang w:val="ru-RU"/>
              </w:rPr>
              <w:t>По заявкам Заказчика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2" w:name="_Toc54643709"/>
      <w:bookmarkStart w:id="23" w:name="_Toc51339698"/>
      <w:bookmarkStart w:id="24" w:name="_Toc54643708"/>
      <w:bookmarkStart w:id="25" w:name="_Toc46743511"/>
      <w:r>
        <w:rPr/>
        <w:t xml:space="preserve">Требования к </w:t>
      </w:r>
      <w:bookmarkEnd w:id="25"/>
      <w:r>
        <w:rPr>
          <w:lang w:val="ru-RU"/>
        </w:rPr>
        <w:t>качеству услуг</w:t>
      </w:r>
      <w:bookmarkEnd w:id="2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3"/>
      <w:r>
        <w:rPr>
          <w:sz w:val="24"/>
          <w:szCs w:val="24"/>
          <w:lang w:val="ru-RU"/>
        </w:rPr>
        <w:t>качеству услуг</w:t>
      </w:r>
      <w:bookmarkEnd w:id="22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</w:t>
      </w:r>
    </w:p>
    <w:tbl>
      <w:tblPr>
        <w:tblStyle w:val="affff6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3513"/>
        <w:gridCol w:w="1"/>
        <w:gridCol w:w="4813"/>
        <w:gridCol w:w="35"/>
        <w:gridCol w:w="2065"/>
        <w:gridCol w:w="61"/>
        <w:gridCol w:w="2039"/>
        <w:gridCol w:w="39"/>
        <w:gridCol w:w="146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1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84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04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4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1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4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6"/>
          </w:p>
        </w:tc>
        <w:tc>
          <w:tcPr>
            <w:tcW w:w="35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4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84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При оказании услуг Исполнитель должен руководствоваться: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ГОСТ Р 51057-2001. Государственный стандарт Российской Федерации. Техника пожарная. Огнетушители переносные. Общие технические требования. Методы испытаний;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ГОСТ Р 51017-2009. Государственный стандарт Российской Федерации. Техника пожарная. Огнетушители передвижные. Общие технические требования. Методы испытаний;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ГОСТ Р 59641-2021. Национальный стандарт Российской Федерации. Средства противопожарной защиты зданий и сооружений. Средства первичные пожаротушения. Руководство по размещению, техническому обслуживанию и ремонту. Методы испытаний на работоспособность;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Постановление Правительства РФ от 28.07.2020 N 1128. Положение о лицензировании деятельности по монтажу, техническому обслуживанию и ремонту средств обеспечения пожарной безопасности зданий и сооружений;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16.09.2020 N 1479. Об утверждении Правил противопожарного режима в Российской Федерации;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Приказ МЧС России от 31.07.2020 N 571.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05" w:leader="none"/>
              </w:tabs>
              <w:suppressAutoHyphens w:val="true"/>
              <w:spacing w:before="0" w:after="0"/>
              <w:ind w:hanging="0"/>
              <w:contextualSpacing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Об утверждении минимального перечня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сооружений.</w:t>
            </w:r>
          </w:p>
        </w:tc>
        <w:tc>
          <w:tcPr>
            <w:tcW w:w="212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 должен иметь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лицензию на деятельность по монтажу, техническому обслуживанию и ремонту средств обеспечения пожарной безопасности зданий и сооружений (вид работ - монтаж, техническое обслуживание и ремонт первичных средств пожаротушения).</w:t>
            </w:r>
          </w:p>
        </w:tc>
        <w:tc>
          <w:tcPr>
            <w:tcW w:w="484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Лицензия, действующая в течение срока действия договора</w:t>
            </w:r>
          </w:p>
        </w:tc>
        <w:tc>
          <w:tcPr>
            <w:tcW w:w="212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  <w:t>Предоставить лицензию или ее реквизиты</w:t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0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126" w:type="dxa"/>
            <w:gridSpan w:val="2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  <w:t>Место оказания услуг</w:t>
            </w:r>
          </w:p>
        </w:tc>
        <w:tc>
          <w:tcPr>
            <w:tcW w:w="4848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Исполнителя.</w:t>
            </w:r>
          </w:p>
        </w:tc>
        <w:tc>
          <w:tcPr>
            <w:tcW w:w="212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</w:t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 Исполнитель в течение следующего рабочего для после даты заключения договора направляет Заказчику адрес электронной почты Исполнителя для получения заявок на ТОиР огнетушителей.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 Заказчик направляет на электронный адрес Исполнителя заявку на оказание услуг с указанием количества и типов огнетушителей для проведения ТОиР.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 Исполнитель в течение трех рабочих дней с даты получения Заявки направляет Заказчику Расчет стоимости услуг по Заявке.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4. Заказчик в течение трех рабочих дней после получения Расчета стоимости услуг: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подтверждает Исполнителю согласие с Расчетом стоимости;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направляет Исполнителю свои возражения (замечания) к Расчету стоимости;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уведомляет Исполнителя об отказе от Заявки (ее отзыве).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 Вывоз огнетушителей производится силами Исполнителя</w:t>
            </w:r>
            <w:r>
              <w:rPr/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 адресу: 141342 Московская область, Сергиево-Посадский городской округ, пгт Богородское, д. 100 в течение не более 3-х рабочих дней с даты согласования Расчета стоимости услуг.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6. Получение Заказчиком огнетушителей после ТОиР, актов выбраковки (утилизации) огнетушителей  производится по указанному выше адресу по Акту приема-передачи в срок не более 20 рабочих дней с даты передачи огнетушителей Исполнителю.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к информационной безопасности.</w:t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‍</w:t>
            </w:r>
          </w:p>
        </w:tc>
        <w:tc>
          <w:tcPr>
            <w:tcW w:w="351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Организационно-технические мероприятия к допуску персонала испонителя.</w:t>
            </w:r>
          </w:p>
        </w:tc>
        <w:tc>
          <w:tcPr>
            <w:tcW w:w="484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при оказании услуг должен соблюдать требования пропускного режима  на территории Закзчика.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078" w:type="dxa"/>
            <w:gridSpan w:val="2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Запасные части и материалы, необходимые для оказания услуг по ТОиР огнетушителей, приобретаются исполнителем самостоятельно. </w:t>
              <w:br/>
              <w:t>Все поставляемые и применяемые запасные части и материалы должны быть новыми и не использованными ранее.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Вытесняющий газ и ОТВ, используемые для перезарядки огнетушителей, а также заменяемые запасные части, должны соответствовать требованиям, указанным в паспорте и на этикетке перезаряжаемого огнетушителя.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Этикетки, бирки и другие маркировки, выполненные Исполнителем в ходе ТОиР должны быть стойкими к влаге, солнечному излучению, ветру.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Устройство для опломбирования (З)ПУ передаваемого Заказчику огнетушителя должно соответствовать требованиям: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не допускается применение в качестве чеки загнутых шплинтов, гвоздей и т.п.;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способ пломбировки не должен допускать извлечение чеки без срыва пломбы;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пломба должна быть одноразовой;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не допускаются пломбы, выполненные из очевидно прочных материалов (кабельные стяжки, толстая проволока, леска и т. п.);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95" w:leader="none"/>
              </w:tabs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 пломба и чека должны извлекаться усилием пальцев руки без применения дополнительных инструментов.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sz w:val="24"/>
                <w:szCs w:val="24"/>
              </w:rPr>
              <w:t>Требования к используемому оборудованию.</w:t>
            </w:r>
          </w:p>
        </w:tc>
        <w:tc>
          <w:tcPr>
            <w:tcW w:w="484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  <w:t xml:space="preserve">Исполнитель должен иметь принадлежащие ему на праве собственности или на ином законном основании, предусматривающем право владения и пользования, </w:t>
            </w:r>
            <w:r>
              <w:rPr>
                <w:b w:val="false"/>
                <w:sz w:val="24"/>
                <w:szCs w:val="24"/>
              </w:rPr>
              <w:t>минимальный перечень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 (вид работ - м</w:t>
            </w:r>
            <w:r>
              <w:rPr>
                <w:sz w:val="24"/>
                <w:szCs w:val="24"/>
              </w:rPr>
              <w:t>онтаж, техническое обслуживание и ремонт первичных средств пожаротушения</w:t>
            </w:r>
            <w:r>
              <w:rPr>
                <w:b w:val="false"/>
                <w:sz w:val="24"/>
                <w:szCs w:val="24"/>
              </w:rPr>
              <w:t>):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емкости для регенерации и утилизации огнетушащих составов;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камера для окраски первичных средств пожаротушения;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камера для сушки первичных средств пожаротушения;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техническое средство, предназначенное для определения массы;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техническое средство, предназначенное для клеймения корпусов огнетушителей и запорно-пусковых устройств;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техническое средство, предназначенное для зарядки огнетушителей по видам огнетушащих веществ;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техническое средство, предназначенное для проведения гидравлических испытаний;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техническое средство, предназначенное для проведения пневматических испытаний;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- инструмент и безопасный источник освещения (с напряжением питания не более 36 В) для выполнения работ по разборке и ремонту первичных средств пожаротушения;</w:t>
            </w:r>
          </w:p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contextualSpacing/>
              <w:rPr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 xml:space="preserve">- техническое средство, предназначенное для измерения линейных размеров. 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Требования к поверке используемого оборудования.</w:t>
            </w:r>
          </w:p>
        </w:tc>
        <w:tc>
          <w:tcPr>
            <w:tcW w:w="484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 xml:space="preserve">Заказчик должен иметь поверенные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ru-RU" w:bidi="ar-SA"/>
              </w:rPr>
              <w:t xml:space="preserve">в соответствии с Федеральным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kern w:val="0"/>
                <w:sz w:val="24"/>
                <w:szCs w:val="24"/>
                <w:u w:val="none"/>
                <w:effect w:val="none"/>
                <w:lang w:eastAsia="ru-RU" w:bidi="ar-SA"/>
              </w:rPr>
              <w:t>законом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ru-RU" w:bidi="ar-SA"/>
              </w:rPr>
              <w:t xml:space="preserve"> "Об обеспечении единства измерений" и технической документации: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ru-RU" w:bidi="ar-SA"/>
              </w:rPr>
              <w:t>- техническое средство, предназначенное для определения массы;</w:t>
            </w:r>
          </w:p>
          <w:p>
            <w:pPr>
              <w:pStyle w:val="BodyText"/>
              <w:widowControl w:val="false"/>
              <w:spacing w:lineRule="atLeast" w:line="285" w:before="0" w:after="0"/>
              <w:ind w:left="60" w:right="60" w:hanging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- техническое средство, предназначенное для проведения гидравлических испытаний;</w:t>
            </w:r>
          </w:p>
          <w:p>
            <w:pPr>
              <w:pStyle w:val="BodyText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ru-RU" w:bidi="ar-SA"/>
              </w:rPr>
              <w:t>- техническое средство, предназначенное для проведения пневматических испытаний;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ru-RU" w:bidi="ar-SA"/>
              </w:rPr>
              <w:t>- техническое средство, предназначенное для измерения линейных размеров.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  <w:u w:val="none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Предоставить сведения о результатах поверки, содержащиеся в </w:t>
            </w:r>
            <w:hyperlink r:id="rId5" w:tgtFrame="_blank">
              <w:r>
                <w:rPr>
                  <w:rStyle w:val="Hyperlink"/>
                  <w:b w:val="false"/>
                  <w:bCs w:val="false"/>
                  <w:i/>
                  <w:iCs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</w:rPr>
                <w:t>Федеральной государственной и</w:t>
              </w:r>
            </w:hyperlink>
            <w:r>
              <w:rPr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</w:rPr>
              <w:t>нформационной системе Росстандарта.</w:t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 квалифицированный персонал согласно п. 4 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Постановления Правительства РФ от 28.07.2020 N 1128 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Результат оказания услуг</w:t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Получение Заказчиком после проведения ТОиР исправных огнетушителей, соответствующих требованиям, изложенным в паспорте (руководстве по эксплуатации) огнетушителя и требованиям закондательства РФ в области пожарной безопасности.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оказания услуг</w:t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Заверенная печатью Исполнителя выписка из Журнала эксплуатации систем противопожарной защиты с отметками Исполнителя о выполненных работах на бумажном носителе.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Акт выбраковки (утилизации) огнетушителя на бумажном носителе.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Этикетка (бирка), размещаемая на корпусе огнетушителя с отметками о выполненных работах.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256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Акт приемки-сдачи оказанных услуг на бумажном носителе или в электронном виде.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 w:cs="Times New Roman"/>
                <w:b w:val="false"/>
                <w:i/>
                <w:i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351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  <w:t>Гарантийный срок на результат услуг</w:t>
            </w:r>
          </w:p>
        </w:tc>
        <w:tc>
          <w:tcPr>
            <w:tcW w:w="484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  <w:t>Гарантийный срок на результат услуг должен составлять 12 месяцев с даты подписания Актов об оказании Услуг.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078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362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78" w:type="dxa"/>
            <w:gridSpan w:val="2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484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212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78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6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5.</w:t>
            </w:r>
          </w:p>
        </w:tc>
        <w:tc>
          <w:tcPr>
            <w:tcW w:w="14033" w:type="dxa"/>
            <w:gridSpan w:val="9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ind w:left="31" w:hanging="0"/>
              <w:jc w:val="left"/>
              <w:rPr>
                <w:rFonts w:eastAsia="Calibri"/>
                <w:i/>
                <w:i/>
                <w:iCs/>
                <w:lang w:val="ru-RU"/>
              </w:rPr>
            </w:pPr>
            <w:r>
              <w:rPr>
                <w:rFonts w:eastAsia="Calibri" w:cs="Times New Roman"/>
                <w:b/>
                <w:kern w:val="0"/>
                <w:lang w:val="ru-RU" w:eastAsia="ru-RU" w:bidi="ar-SA"/>
              </w:rPr>
              <w:t>Требования к обязательствам исполнителя, влияющим на исполнение договора</w:t>
            </w:r>
          </w:p>
        </w:tc>
      </w:tr>
      <w:tr>
        <w:trPr>
          <w:trHeight w:val="5550" w:hRule="atLeast"/>
        </w:trPr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center"/>
              <w:rPr>
                <w:rFonts w:ascii="Times New Roman" w:hAnsi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351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Требования к погрузо-разгрузочным работам и транспортировке</w:t>
            </w:r>
          </w:p>
        </w:tc>
        <w:tc>
          <w:tcPr>
            <w:tcW w:w="4814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Упакованные огнетушители транспортируют силами Исполнителя любым видом транспорта, предоставляемым Исполнителем, в крытых транспортных средствах на любые расстояния с требованием нормативных документов, действующих на данном виде транспорта.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Допускается транспортирование огнетушителей без тары в транспортных средствах при условии обеспечения их защиты от механических повреждений, атмосферных осадков и прямых солнечных лучей.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Способ размещения огнетушителей в контейнерах или на транспортном средстве должен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исключать их перемещение и/или соударение.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 погрузке, транспортировании и разгрузке должны быть выполнены меры предосторожности в соответствии с маркировкой и надписями на таре.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 выполняются персоналом Исполнителя (для переносных огнетушителей — не менее 1 человека, для передвижных огнетушителей — не менее 2 человек).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Исполнитель должен иметь транспортные средства и персонал (водитель, грузчики и т.п.), позволяющие выполнять  погрузку, транспортирование и разгрузку огнетушителей в течение срока договора.</w:t>
            </w:r>
          </w:p>
        </w:tc>
        <w:tc>
          <w:tcPr>
            <w:tcW w:w="210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b w:val="false"/>
                <w:bCs w:val="false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0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ind w:left="31" w:hanging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0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ind w:left="31" w:hanging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Cs/>
          <w:sz w:val="26"/>
          <w:szCs w:val="26"/>
        </w:rPr>
      </w:pPr>
      <w:r>
        <w:rPr/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5A2A04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A2A04B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имвол нумерации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mrcssattr" w:customStyle="1">
    <w:name w:val="msonormal_mr_css_attr"/>
    <w:basedOn w:val="Normal"/>
    <w:qFormat/>
    <w:rsid w:val="00af2a01"/>
    <w:pPr>
      <w:spacing w:beforeAutospacing="1" w:afterAutospacing="1"/>
    </w:pPr>
    <w:rPr>
      <w:rFonts w:eastAsia="Calibri" w:eastAsiaTheme="minorHAnsi"/>
      <w:sz w:val="24"/>
      <w:szCs w:val="24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0698007851">
    <w:name w:val="206980078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fgis.gost.ru/fundmetrology/registry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EA791-CE39-4B24-906C-9E574711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6764</TotalTime>
  <Application>AlterOffice/3.4.0.9$Linux_X86_64 LibreOffice_project/b8daf9e823b1a5463a2f48435ddc2e8696e7d4fc</Application>
  <AppVersion>15.0000</AppVersion>
  <Pages>14</Pages>
  <Words>2148</Words>
  <Characters>14872</Characters>
  <CharactersWithSpaces>16678</CharactersWithSpaces>
  <Paragraphs>346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popovve@corp.gidroogk.com</cp:lastModifiedBy>
  <dcterms:modified xsi:type="dcterms:W3CDTF">2026-08-12T15:58:12Z</dcterms:modified>
  <cp:revision>96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