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suppressAutoHyphens w:val="true"/>
        <w:rPr>
          <w:rFonts w:ascii="Times New Roman" w:hAnsi="Times New Roman"/>
          <w:sz w:val="22"/>
          <w:szCs w:val="22"/>
        </w:rPr>
      </w:pPr>
      <w:r>
        <w:rPr>
          <w:sz w:val="22"/>
          <w:szCs w:val="22"/>
        </w:rPr>
      </w:r>
    </w:p>
    <w:p>
      <w:pPr>
        <w:pStyle w:val="Normal"/>
        <w:keepNext w:val="true"/>
        <w:keepLines/>
        <w:suppressAutoHyphens w:val="true"/>
        <w:rPr>
          <w:rFonts w:ascii="Times New Roman" w:hAnsi="Times New Roman"/>
          <w:sz w:val="22"/>
          <w:szCs w:val="22"/>
        </w:rPr>
      </w:pPr>
      <w:r>
        <w:rPr>
          <w:sz w:val="22"/>
          <w:szCs w:val="22"/>
        </w:rPr>
      </w:r>
    </w:p>
    <w:p>
      <w:pPr>
        <w:pStyle w:val="Normal"/>
        <w:keepNext w:val="true"/>
        <w:keepLines/>
        <w:suppressAutoHyphens w:val="true"/>
        <w:rPr>
          <w:rFonts w:ascii="Times New Roman" w:hAnsi="Times New Roman"/>
          <w:sz w:val="22"/>
          <w:szCs w:val="22"/>
        </w:rPr>
      </w:pPr>
      <w:r>
        <w:rPr>
          <w:sz w:val="22"/>
          <w:szCs w:val="22"/>
        </w:rPr>
      </w:r>
    </w:p>
    <w:p>
      <w:pPr>
        <w:pStyle w:val="Normal"/>
        <w:keepNext w:val="true"/>
        <w:keepLines/>
        <w:suppressAutoHyphens w:val="true"/>
        <w:rPr>
          <w:rFonts w:ascii="Times New Roman" w:hAnsi="Times New Roman"/>
          <w:sz w:val="22"/>
          <w:szCs w:val="22"/>
        </w:rPr>
      </w:pPr>
      <w:r>
        <w:rPr>
          <w:sz w:val="22"/>
          <w:szCs w:val="22"/>
        </w:rPr>
      </w:r>
    </w:p>
    <w:p>
      <w:pPr>
        <w:pStyle w:val="Normal"/>
        <w:keepNext w:val="true"/>
        <w:keepLines/>
        <w:suppressAutoHyphens w:val="true"/>
        <w:rPr>
          <w:rFonts w:ascii="Times New Roman" w:hAnsi="Times New Roman"/>
          <w:sz w:val="22"/>
          <w:szCs w:val="22"/>
        </w:rPr>
      </w:pPr>
      <w:r>
        <w:rPr>
          <w:sz w:val="22"/>
          <w:szCs w:val="22"/>
        </w:rPr>
      </w:r>
    </w:p>
    <w:p>
      <w:pPr>
        <w:pStyle w:val="Normal"/>
        <w:keepNext w:val="true"/>
        <w:keepLines/>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sz w:val="24"/>
          <w:szCs w:val="24"/>
        </w:rPr>
      </w:pPr>
      <w:r>
        <w:rPr>
          <w:sz w:val="24"/>
          <w:szCs w:val="24"/>
        </w:rPr>
      </w:r>
    </w:p>
    <w:p>
      <w:pPr>
        <w:pStyle w:val="Normal"/>
        <w:suppressAutoHyphens w:val="true"/>
        <w:jc w:val="center"/>
        <w:rPr/>
      </w:pPr>
      <w:r>
        <w:rPr>
          <w:rFonts w:eastAsia="Calibri"/>
          <w:b/>
          <w:sz w:val="24"/>
          <w:szCs w:val="24"/>
        </w:rPr>
        <w:t>Технические требования на постав</w:t>
      </w:r>
      <w:r>
        <w:rPr>
          <w:rFonts w:eastAsia="Calibri"/>
          <w:b/>
          <w:sz w:val="24"/>
          <w:szCs w:val="24"/>
          <w:shd w:fill="auto" w:val="clear"/>
        </w:rPr>
        <w:t>ку МТР</w:t>
      </w:r>
    </w:p>
    <w:p>
      <w:pPr>
        <w:pStyle w:val="Normal"/>
        <w:keepNext w:val="true"/>
        <w:keepLines/>
        <w:suppressAutoHyphens w:val="true"/>
        <w:jc w:val="center"/>
        <w:rPr>
          <w:rFonts w:ascii="Times New Roman" w:hAnsi="Times New Roman" w:eastAsia="Calibri"/>
          <w:b/>
          <w:sz w:val="24"/>
          <w:szCs w:val="24"/>
          <w:highlight w:val="none"/>
          <w:shd w:fill="auto" w:val="clear"/>
        </w:rPr>
      </w:pPr>
      <w:r>
        <w:rPr>
          <w:rFonts w:eastAsia="Calibri"/>
          <w:b/>
          <w:sz w:val="24"/>
          <w:szCs w:val="24"/>
          <w:shd w:fill="auto" w:val="clear"/>
        </w:rPr>
      </w:r>
    </w:p>
    <w:p>
      <w:pPr>
        <w:pStyle w:val="Normal"/>
        <w:suppressAutoHyphens w:val="true"/>
        <w:bidi w:val="0"/>
        <w:jc w:val="center"/>
        <w:rPr>
          <w:rFonts w:eastAsia="Times New Roman" w:cs="Times New Roman"/>
          <w:b/>
          <w:bCs/>
          <w:i/>
          <w:i/>
          <w:iCs/>
          <w:strike w:val="false"/>
          <w:dstrike w:val="false"/>
          <w:outline w:val="false"/>
          <w:shadow w:val="false"/>
          <w:color w:val="000000"/>
          <w:kern w:val="0"/>
          <w:sz w:val="24"/>
          <w:szCs w:val="24"/>
          <w:u w:val="none"/>
          <w:shd w:fill="auto" w:val="clear"/>
          <w:em w:val="none"/>
          <w:lang w:val="ru-RU" w:eastAsia="ru-RU" w:bidi="ar-SA"/>
        </w:rPr>
      </w:pPr>
      <w:r>
        <w:rPr>
          <w:rFonts w:eastAsia="Times New Roman" w:cs="Times New Roman"/>
          <w:b/>
          <w:bCs/>
          <w:i/>
          <w:iCs/>
          <w:strike w:val="false"/>
          <w:dstrike w:val="false"/>
          <w:outline w:val="false"/>
          <w:shadow w:val="false"/>
          <w:color w:val="000000"/>
          <w:kern w:val="0"/>
          <w:sz w:val="24"/>
          <w:szCs w:val="24"/>
          <w:u w:val="none"/>
          <w:shd w:fill="auto" w:val="clear"/>
          <w:em w:val="none"/>
          <w:lang w:val="ru-RU" w:eastAsia="ru-RU" w:bidi="ar-SA"/>
        </w:rPr>
      </w:r>
    </w:p>
    <w:p>
      <w:pPr>
        <w:pStyle w:val="18"/>
        <w:numPr>
          <w:ilvl w:val="0"/>
        </w:numPr>
        <w:spacing w:before="0" w:after="0"/>
        <w:ind w:hanging="0" w:left="0" w:right="0"/>
        <w:jc w:val="center"/>
        <w:outlineLvl w:val="9"/>
        <w:rPr>
          <w:rFonts w:ascii="Liberation Serif" w:hAnsi="Liberation Serif"/>
          <w:shd w:fill="FFFFFF" w:val="clear"/>
        </w:rPr>
      </w:pPr>
      <w:r>
        <w:rPr>
          <w:rFonts w:ascii="Liberation Serif" w:hAnsi="Liberation Serif"/>
          <w:sz w:val="28"/>
          <w:szCs w:val="28"/>
          <w:shd w:fill="FFFFFF" w:val="clear"/>
        </w:rPr>
        <w:t>ОКПД2 27.12.10.190 Ограничители перенапряжения для нужд  филиала "Хабаровские электрические сети".</w:t>
      </w:r>
    </w:p>
    <w:p>
      <w:pPr>
        <w:pStyle w:val="Normal"/>
        <w:keepNext w:val="true"/>
        <w:keepLines/>
        <w:suppressAutoHyphens w:val="true"/>
        <w:jc w:val="both"/>
        <w:rPr>
          <w:rFonts w:ascii="Times New Roman" w:hAnsi="Times New Roman"/>
          <w:sz w:val="24"/>
          <w:szCs w:val="24"/>
        </w:rPr>
      </w:pPr>
      <w:r>
        <w:rPr>
          <w:sz w:val="24"/>
          <w:szCs w:val="24"/>
        </w:rPr>
      </w:r>
    </w:p>
    <w:p>
      <w:pPr>
        <w:pStyle w:val="Normal"/>
        <w:suppressAutoHyphens w:val="true"/>
        <w:rPr>
          <w:rFonts w:ascii="Times New Roman" w:hAnsi="Times New Roman"/>
          <w:sz w:val="22"/>
          <w:szCs w:val="22"/>
        </w:rPr>
      </w:pPr>
      <w:r>
        <w:rPr>
          <w:sz w:val="22"/>
          <w:szCs w:val="22"/>
        </w:rPr>
      </w:r>
      <w:r>
        <w:br w:type="page"/>
      </w:r>
    </w:p>
    <w:p>
      <w:pPr>
        <w:pStyle w:val="Normal"/>
        <w:suppressAutoHyphens w:val="true"/>
        <w:jc w:val="center"/>
        <w:rPr/>
      </w:pPr>
      <w:r>
        <w:rPr>
          <w:b/>
          <w:bCs/>
          <w:sz w:val="24"/>
          <w:szCs w:val="24"/>
        </w:rPr>
        <w:t>СОДЕРЖАНИЕ</w:t>
      </w:r>
    </w:p>
    <w:sdt>
      <w:sdtPr>
        <w:docPartObj>
          <w:docPartGallery w:val="Table of Contents"/>
          <w:docPartUnique w:val="true"/>
        </w:docPartObj>
      </w:sdtPr>
      <w:sdtContent>
        <w:p>
          <w:pPr>
            <w:pStyle w:val="TOC1"/>
            <w:tabs>
              <w:tab w:val="clear" w:pos="708"/>
              <w:tab w:val="right" w:pos="14317" w:leader="dot"/>
            </w:tabs>
            <w:rPr/>
          </w:pPr>
          <w:r>
            <w:fldChar w:fldCharType="begin"/>
          </w:r>
          <w:r>
            <w:rPr>
              <w:rStyle w:val="Style15"/>
            </w:rPr>
            <w:instrText xml:space="preserve"> TOC \o "1-5" \h</w:instrText>
          </w:r>
          <w:r>
            <w:rPr>
              <w:rStyle w:val="Style15"/>
            </w:rPr>
            <w:fldChar w:fldCharType="separate"/>
          </w:r>
          <w:hyperlink w:anchor="__RefHeading___Toc89641_1475472420">
            <w:r>
              <w:rPr>
                <w:rStyle w:val="Style15"/>
              </w:rPr>
              <w:t>1. Общие сведения</w:t>
              <w:tab/>
              <w:t>3</w:t>
            </w:r>
          </w:hyperlink>
        </w:p>
        <w:p>
          <w:pPr>
            <w:pStyle w:val="TOC4"/>
            <w:tabs>
              <w:tab w:val="clear" w:pos="708"/>
              <w:tab w:val="right" w:pos="14317" w:leader="dot"/>
            </w:tabs>
            <w:rPr/>
          </w:pPr>
          <w:hyperlink w:anchor="__RefHeading___Toc89643_1475472420">
            <w:r>
              <w:rPr>
                <w:rStyle w:val="Style15"/>
              </w:rPr>
              <w:t>1.1. Обозначения и сокращения</w:t>
              <w:tab/>
              <w:t>3</w:t>
            </w:r>
          </w:hyperlink>
        </w:p>
        <w:p>
          <w:pPr>
            <w:pStyle w:val="TOC4"/>
            <w:tabs>
              <w:tab w:val="clear" w:pos="708"/>
              <w:tab w:val="right" w:pos="14317" w:leader="dot"/>
            </w:tabs>
            <w:rPr/>
          </w:pPr>
          <w:hyperlink w:anchor="__RefHeading___Toc89645_1475472420">
            <w:r>
              <w:rPr>
                <w:rStyle w:val="Style15"/>
              </w:rPr>
              <w:t>1.2. Наименование закупаемой продукции</w:t>
              <w:tab/>
              <w:t>3</w:t>
            </w:r>
          </w:hyperlink>
        </w:p>
        <w:p>
          <w:pPr>
            <w:pStyle w:val="TOC1"/>
            <w:tabs>
              <w:tab w:val="clear" w:pos="708"/>
              <w:tab w:val="right" w:pos="14317" w:leader="dot"/>
            </w:tabs>
            <w:rPr/>
          </w:pPr>
          <w:hyperlink w:anchor="__RefHeading___Toc89647_1475472420">
            <w:r>
              <w:rPr>
                <w:rStyle w:val="Style15"/>
              </w:rPr>
              <w:t xml:space="preserve">2. </w:t>
            </w:r>
            <w:r>
              <w:rPr>
                <w:rStyle w:val="Style15"/>
                <w:iCs/>
              </w:rPr>
              <w:t>Требования к продукции</w:t>
            </w:r>
            <w:r>
              <w:rPr>
                <w:rStyle w:val="Style15"/>
              </w:rPr>
              <w:tab/>
              <w:t>3</w:t>
            </w:r>
          </w:hyperlink>
        </w:p>
        <w:p>
          <w:pPr>
            <w:pStyle w:val="TOC4"/>
            <w:tabs>
              <w:tab w:val="clear" w:pos="708"/>
              <w:tab w:val="right" w:pos="14317" w:leader="dot"/>
            </w:tabs>
            <w:rPr/>
          </w:pPr>
          <w:hyperlink w:anchor="__RefHeading___Toc89649_1475472420">
            <w:r>
              <w:rPr>
                <w:rStyle w:val="Style15"/>
              </w:rPr>
              <w:t>2.1. Требования к объемам и срокам поставки</w:t>
              <w:tab/>
              <w:t>3</w:t>
            </w:r>
          </w:hyperlink>
        </w:p>
        <w:p>
          <w:pPr>
            <w:pStyle w:val="TOC3"/>
            <w:tabs>
              <w:tab w:val="clear" w:pos="708"/>
              <w:tab w:val="right" w:pos="14317" w:leader="dot"/>
            </w:tabs>
            <w:rPr/>
          </w:pPr>
          <w:hyperlink w:anchor="__RefHeading___Toc89651_1475472420">
            <w:r>
              <w:rPr>
                <w:rStyle w:val="Style15"/>
              </w:rPr>
              <w:t>2.1.1. Перечень и объем закупаемой продукции</w:t>
              <w:tab/>
              <w:t>3</w:t>
            </w:r>
          </w:hyperlink>
        </w:p>
        <w:p>
          <w:pPr>
            <w:pStyle w:val="Normal"/>
            <w:tabs>
              <w:tab w:val="clear" w:pos="708"/>
              <w:tab w:val="right" w:pos="14317" w:leader="dot"/>
            </w:tabs>
            <w:rPr/>
          </w:pPr>
          <w:r>
            <w:rPr>
              <w:rFonts w:eastAsia="Times New Roman" w:cs="Calibri Light (Заголовки)"/>
              <w:b/>
              <w:bCs/>
              <w:iCs/>
              <w:color w:val="auto"/>
              <w:kern w:val="0"/>
              <w:sz w:val="24"/>
              <w:szCs w:val="24"/>
              <w:lang w:val="ru-RU" w:eastAsia="ru-RU" w:bidi="ar-SA"/>
            </w:rPr>
            <w:t>3.</w:t>
          </w:r>
          <w:bookmarkStart w:id="0" w:name="_Toc75446583_Копия_1_Копия_1"/>
          <w:bookmarkStart w:id="1" w:name="_Toc75446581_Копия_1"/>
          <w:bookmarkStart w:id="2" w:name="_Toc53393312_Копия_1_Копия_1"/>
          <w:r>
            <w:rPr>
              <w:rFonts w:eastAsia="Times New Roman" w:cs="Calibri Light (Заголовки)"/>
              <w:b/>
              <w:bCs/>
              <w:iCs/>
              <w:color w:val="auto"/>
              <w:kern w:val="0"/>
              <w:sz w:val="24"/>
              <w:szCs w:val="24"/>
              <w:lang w:val="ru-RU" w:eastAsia="ru-RU" w:bidi="ar-SA"/>
            </w:rPr>
            <w:t>Требования к документации по ценообразованию</w:t>
          </w:r>
          <w:bookmarkEnd w:id="2"/>
          <w:r>
            <w:rPr>
              <w:rFonts w:eastAsia="Times New Roman" w:cs="Calibri Light (Заголовки)"/>
              <w:b/>
              <w:bCs/>
              <w:iCs/>
              <w:color w:val="auto"/>
              <w:kern w:val="0"/>
              <w:sz w:val="24"/>
              <w:szCs w:val="24"/>
              <w:lang w:val="ru-RU" w:eastAsia="ru-RU" w:bidi="ar-SA"/>
            </w:rPr>
            <w:t xml:space="preserve"> на этапе закупки</w:t>
          </w:r>
          <w:hyperlink w:anchor="__RefHeading___Toc89647_1475472420">
            <w:bookmarkEnd w:id="0"/>
            <w:bookmarkEnd w:id="1"/>
            <w:r>
              <w:rPr>
                <w:rStyle w:val="Style15"/>
                <w:rFonts w:eastAsia="Times New Roman" w:cs="Calibri Light (Заголовки)"/>
                <w:b/>
                <w:bCs/>
                <w:iCs/>
                <w:color w:val="auto"/>
                <w:kern w:val="0"/>
                <w:sz w:val="24"/>
                <w:szCs w:val="24"/>
                <w:lang w:val="ru-RU" w:eastAsia="ru-RU" w:bidi="ar-SA"/>
              </w:rPr>
              <w:tab/>
            </w:r>
          </w:hyperlink>
          <w:r>
            <w:rPr>
              <w:rFonts w:eastAsia="Times New Roman" w:cs="Calibri Light (Заголовки)"/>
              <w:b/>
              <w:bCs/>
              <w:iCs/>
              <w:color w:val="auto"/>
              <w:kern w:val="0"/>
              <w:sz w:val="24"/>
              <w:szCs w:val="24"/>
              <w:lang w:val="ru-RU" w:eastAsia="ru-RU" w:bidi="ar-SA"/>
            </w:rPr>
            <w:t>8</w:t>
          </w:r>
        </w:p>
        <w:p>
          <w:pPr>
            <w:pStyle w:val="Normal"/>
            <w:tabs>
              <w:tab w:val="clear" w:pos="708"/>
              <w:tab w:val="right" w:pos="14317" w:leader="dot"/>
            </w:tabs>
            <w:rPr/>
          </w:pPr>
          <w:r>
            <w:rPr>
              <w:rFonts w:eastAsia="Times New Roman" w:cs="Calibri Light (Заголовки)"/>
              <w:b/>
              <w:bCs/>
              <w:iCs/>
              <w:color w:val="auto"/>
              <w:kern w:val="0"/>
              <w:sz w:val="24"/>
              <w:szCs w:val="24"/>
              <w:lang w:val="ru-RU" w:eastAsia="ru-RU" w:bidi="ar-SA"/>
            </w:rPr>
            <w:t>4.Приложение</w:t>
          </w:r>
          <w:hyperlink w:anchor="__RefHeading___Toc89647_1475472420">
            <w:r>
              <w:rPr>
                <w:rStyle w:val="Style15"/>
                <w:rFonts w:eastAsia="Times New Roman" w:cs="Calibri Light (Заголовки)"/>
                <w:b/>
                <w:bCs/>
                <w:iCs/>
                <w:color w:val="auto"/>
                <w:kern w:val="0"/>
                <w:sz w:val="24"/>
                <w:szCs w:val="24"/>
                <w:lang w:val="ru-RU" w:eastAsia="ru-RU" w:bidi="ar-SA"/>
              </w:rPr>
              <w:tab/>
            </w:r>
          </w:hyperlink>
          <w:r>
            <w:rPr>
              <w:rFonts w:eastAsia="Times New Roman" w:cs="Calibri Light (Заголовки)"/>
              <w:b/>
              <w:bCs/>
              <w:iCs/>
              <w:color w:val="auto"/>
              <w:kern w:val="0"/>
              <w:sz w:val="24"/>
              <w:szCs w:val="24"/>
              <w:lang w:val="ru-RU" w:eastAsia="ru-RU" w:bidi="ar-SA"/>
            </w:rPr>
            <w:t>9</w:t>
          </w:r>
        </w:p>
        <w:p>
          <w:pPr>
            <w:pStyle w:val="TOC1"/>
            <w:tabs>
              <w:tab w:val="clear" w:pos="708"/>
              <w:tab w:val="right" w:pos="14317" w:leader="dot"/>
            </w:tabs>
            <w:rPr/>
          </w:pPr>
          <w:hyperlink w:anchor="__RefHeading___Toc89653_1475472420">
            <w:r>
              <w:rPr>
                <w:rStyle w:val="Style15"/>
              </w:rPr>
              <w:t>Таблица 1.1 Перечень и объем закупаемой продукции</w:t>
              <w:tab/>
              <w:t>3</w:t>
            </w:r>
          </w:hyperlink>
        </w:p>
        <w:p>
          <w:pPr>
            <w:pStyle w:val="TOC3"/>
            <w:tabs>
              <w:tab w:val="clear" w:pos="708"/>
              <w:tab w:val="right" w:pos="14317" w:leader="dot"/>
            </w:tabs>
            <w:rPr/>
          </w:pPr>
          <w:hyperlink w:anchor="__RefHeading___Toc89655_1475472420">
            <w:r>
              <w:rPr>
                <w:rStyle w:val="Style15"/>
              </w:rPr>
              <w:t>2.1.2. Требования к срокам поставки продукции</w:t>
              <w:tab/>
              <w:t>5</w:t>
            </w:r>
          </w:hyperlink>
        </w:p>
        <w:p>
          <w:pPr>
            <w:pStyle w:val="TOC1"/>
            <w:tabs>
              <w:tab w:val="clear" w:pos="708"/>
              <w:tab w:val="right" w:pos="14317" w:leader="dot"/>
            </w:tabs>
            <w:rPr/>
          </w:pPr>
          <w:hyperlink w:anchor="__RefHeading___Toc89657_1475472420">
            <w:r>
              <w:rPr>
                <w:rStyle w:val="Style15"/>
              </w:rPr>
              <w:t>Таблица 2.1 Требования по срокам поставки продукции</w:t>
              <w:tab/>
              <w:t>5</w:t>
            </w:r>
          </w:hyperlink>
        </w:p>
        <w:p>
          <w:pPr>
            <w:pStyle w:val="TOC4"/>
            <w:tabs>
              <w:tab w:val="clear" w:pos="708"/>
              <w:tab w:val="right" w:pos="14317" w:leader="dot"/>
            </w:tabs>
            <w:rPr/>
          </w:pPr>
          <w:hyperlink w:anchor="__RefHeading___Toc89659_1475472420">
            <w:r>
              <w:rPr>
                <w:rStyle w:val="Style15"/>
              </w:rPr>
              <w:t>2.2. Требования к качеству продукции</w:t>
              <w:tab/>
              <w:t>6</w:t>
            </w:r>
          </w:hyperlink>
        </w:p>
        <w:p>
          <w:pPr>
            <w:pStyle w:val="TOC1"/>
            <w:tabs>
              <w:tab w:val="clear" w:pos="708"/>
              <w:tab w:val="right" w:pos="14317" w:leader="dot"/>
            </w:tabs>
            <w:rPr/>
          </w:pPr>
          <w:hyperlink w:anchor="__RefHeading___Toc89661_1475472420">
            <w:r>
              <w:rPr>
                <w:rStyle w:val="Style15"/>
              </w:rPr>
              <w:t xml:space="preserve"> </w:t>
            </w:r>
            <w:r>
              <w:rPr>
                <w:rStyle w:val="Style15"/>
              </w:rPr>
              <w:t>Таблица 2.2. Требования к продукции</w:t>
              <w:tab/>
              <w:t>6</w:t>
            </w:r>
          </w:hyperlink>
        </w:p>
        <w:p>
          <w:pPr>
            <w:pStyle w:val="TOC4"/>
            <w:tabs>
              <w:tab w:val="clear" w:pos="708"/>
              <w:tab w:val="right" w:pos="14317" w:leader="dot"/>
            </w:tabs>
            <w:rPr/>
          </w:pPr>
          <w:hyperlink w:anchor="__RefHeading___Toc89663_1475472420">
            <w:r>
              <w:rPr>
                <w:rStyle w:val="Style15"/>
              </w:rPr>
              <w:t>3. Требования к документации по ценообразованию на этапе закупки</w:t>
              <w:tab/>
              <w:t>8</w:t>
            </w:r>
          </w:hyperlink>
          <w:r>
            <w:rPr>
              <w:rStyle w:val="Style15"/>
            </w:rPr>
            <w:fldChar w:fldCharType="end"/>
          </w:r>
        </w:p>
      </w:sdtContent>
    </w:sdt>
    <w:p>
      <w:pPr>
        <w:pStyle w:val="Normal"/>
        <w:suppressAutoHyphens w:val="true"/>
        <w:jc w:val="center"/>
        <w:rPr>
          <w:rFonts w:ascii="Times New Roman" w:hAnsi="Times New Roman"/>
          <w:sz w:val="22"/>
          <w:szCs w:val="22"/>
        </w:rPr>
      </w:pPr>
      <w:r>
        <w:rPr>
          <w:sz w:val="22"/>
          <w:szCs w:val="22"/>
        </w:rPr>
      </w:r>
      <w:r>
        <w:br w:type="page"/>
      </w:r>
    </w:p>
    <w:p>
      <w:pPr>
        <w:pStyle w:val="Heading1"/>
        <w:keepLines/>
        <w:numPr>
          <w:ilvl w:val="0"/>
          <w:numId w:val="3"/>
        </w:numPr>
        <w:suppressAutoHyphens w:val="true"/>
        <w:spacing w:before="120" w:after="0"/>
        <w:ind w:hanging="357" w:left="357"/>
        <w:jc w:val="center"/>
        <w:rPr/>
      </w:pPr>
      <w:bookmarkStart w:id="3" w:name="__RefHeading___Toc89641_1475472420"/>
      <w:bookmarkStart w:id="4" w:name="_Toc51339692"/>
      <w:bookmarkStart w:id="5" w:name="_Toc75446566"/>
      <w:bookmarkEnd w:id="3"/>
      <w:r>
        <w:rPr>
          <w:sz w:val="22"/>
          <w:szCs w:val="22"/>
          <w:lang w:val="ru-RU"/>
        </w:rPr>
        <w:t>Общие сведения</w:t>
      </w:r>
      <w:bookmarkEnd w:id="4"/>
      <w:bookmarkEnd w:id="5"/>
    </w:p>
    <w:p>
      <w:pPr>
        <w:pStyle w:val="Heading4"/>
        <w:numPr>
          <w:ilvl w:val="1"/>
          <w:numId w:val="3"/>
        </w:numPr>
        <w:suppressAutoHyphens w:val="true"/>
        <w:spacing w:before="120" w:after="0"/>
        <w:rPr/>
      </w:pPr>
      <w:bookmarkStart w:id="6" w:name="__RefHeading___Toc89643_1475472420"/>
      <w:bookmarkEnd w:id="6"/>
      <w:r>
        <w:rPr>
          <w:sz w:val="22"/>
          <w:szCs w:val="22"/>
        </w:rPr>
        <w:t>Обозначения и сокращения</w:t>
      </w:r>
    </w:p>
    <w:tbl>
      <w:tblPr>
        <w:tblW w:w="5000" w:type="pct"/>
        <w:jc w:val="left"/>
        <w:tblInd w:w="55" w:type="dxa"/>
        <w:tblLayout w:type="fixed"/>
        <w:tblCellMar>
          <w:top w:w="55" w:type="dxa"/>
          <w:left w:w="55" w:type="dxa"/>
          <w:bottom w:w="55" w:type="dxa"/>
          <w:right w:w="55" w:type="dxa"/>
        </w:tblCellMar>
      </w:tblPr>
      <w:tblGrid>
        <w:gridCol w:w="3799"/>
        <w:gridCol w:w="10517"/>
      </w:tblGrid>
      <w:tr>
        <w:trPr/>
        <w:tc>
          <w:tcPr>
            <w:tcW w:w="1431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60" w:after="60"/>
              <w:jc w:val="both"/>
              <w:rPr/>
            </w:pPr>
            <w:r>
              <w:rPr>
                <w:b/>
                <w:bCs/>
                <w:iCs/>
                <w:sz w:val="22"/>
                <w:szCs w:val="22"/>
              </w:rPr>
              <w:t>Обозначения и сокращения:</w:t>
            </w:r>
          </w:p>
        </w:tc>
      </w:tr>
      <w:tr>
        <w:trPr>
          <w:trHeight w:val="357" w:hRule="atLeast"/>
        </w:trPr>
        <w:tc>
          <w:tcPr>
            <w:tcW w:w="3799" w:type="dxa"/>
            <w:tcBorders>
              <w:left w:val="single" w:sz="4" w:space="0" w:color="000000"/>
              <w:bottom w:val="single" w:sz="4" w:space="0" w:color="000000"/>
            </w:tcBorders>
          </w:tcPr>
          <w:p>
            <w:pPr>
              <w:pStyle w:val="Style36"/>
              <w:widowControl w:val="false"/>
              <w:suppressAutoHyphens w:val="true"/>
              <w:rPr/>
            </w:pPr>
            <w:r>
              <w:rPr>
                <w:sz w:val="22"/>
                <w:szCs w:val="22"/>
              </w:rPr>
              <w:t>ДРСК</w:t>
            </w:r>
          </w:p>
        </w:tc>
        <w:tc>
          <w:tcPr>
            <w:tcW w:w="10517" w:type="dxa"/>
            <w:tcBorders>
              <w:left w:val="single" w:sz="4" w:space="0" w:color="000000"/>
              <w:bottom w:val="single" w:sz="4" w:space="0" w:color="000000"/>
              <w:right w:val="single" w:sz="4" w:space="0" w:color="000000"/>
            </w:tcBorders>
          </w:tcPr>
          <w:p>
            <w:pPr>
              <w:pStyle w:val="Style36"/>
              <w:widowControl w:val="false"/>
              <w:suppressAutoHyphens w:val="true"/>
              <w:rPr/>
            </w:pPr>
            <w:r>
              <w:rPr>
                <w:sz w:val="22"/>
                <w:szCs w:val="22"/>
              </w:rPr>
              <w:t>Дальневосточная распределительная сетевая компания</w:t>
            </w:r>
          </w:p>
        </w:tc>
      </w:tr>
      <w:tr>
        <w:trPr>
          <w:trHeight w:val="357" w:hRule="atLeast"/>
        </w:trPr>
        <w:tc>
          <w:tcPr>
            <w:tcW w:w="3799" w:type="dxa"/>
            <w:tcBorders>
              <w:left w:val="single" w:sz="4" w:space="0" w:color="000000"/>
              <w:bottom w:val="single" w:sz="4" w:space="0" w:color="000000"/>
            </w:tcBorders>
          </w:tcPr>
          <w:p>
            <w:pPr>
              <w:pStyle w:val="Normal"/>
              <w:widowControl w:val="false"/>
              <w:spacing w:lineRule="auto" w:line="240" w:before="0" w:after="0"/>
              <w:jc w:val="both"/>
              <w:rPr>
                <w:rFonts w:ascii="Times New Roman" w:hAnsi="Times New Roman" w:eastAsia="Times New Roman" w:cs="Times New Roman"/>
                <w:b w:val="false"/>
                <w:bCs w:val="false"/>
                <w:color w:val="auto"/>
                <w:kern w:val="0"/>
                <w:sz w:val="22"/>
                <w:szCs w:val="22"/>
                <w:lang w:val="ru-RU" w:eastAsia="ru-RU" w:bidi="ar-SA"/>
              </w:rPr>
            </w:pPr>
            <w:r>
              <w:rPr>
                <w:rFonts w:eastAsia="Times New Roman" w:cs="Times New Roman"/>
                <w:b w:val="false"/>
                <w:bCs w:val="false"/>
                <w:color w:val="auto"/>
                <w:kern w:val="0"/>
                <w:sz w:val="22"/>
                <w:szCs w:val="22"/>
                <w:lang w:val="ru-RU" w:eastAsia="ru-RU" w:bidi="ar-SA"/>
              </w:rPr>
              <w:t>УХЛ</w:t>
            </w:r>
          </w:p>
        </w:tc>
        <w:tc>
          <w:tcPr>
            <w:tcW w:w="10517" w:type="dxa"/>
            <w:tcBorders>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Liberation Serif" w:hAnsi="Liberation Serif"/>
                <w:shd w:fill="auto" w:val="clear"/>
              </w:rPr>
            </w:pPr>
            <w:r>
              <w:rPr>
                <w:rFonts w:ascii="Liberation Serif" w:hAnsi="Liberation Serif"/>
                <w:iCs/>
                <w:sz w:val="22"/>
                <w:szCs w:val="22"/>
                <w:shd w:fill="auto" w:val="clear"/>
              </w:rPr>
              <w:t>Климатическое исполнение «умеренный и холодный климат»</w:t>
            </w:r>
          </w:p>
        </w:tc>
      </w:tr>
      <w:tr>
        <w:trPr>
          <w:trHeight w:val="357" w:hRule="atLeast"/>
        </w:trPr>
        <w:tc>
          <w:tcPr>
            <w:tcW w:w="14316" w:type="dxa"/>
            <w:gridSpan w:val="2"/>
            <w:tcBorders>
              <w:left w:val="single" w:sz="4" w:space="0" w:color="000000"/>
              <w:bottom w:val="single" w:sz="4" w:space="0" w:color="000000"/>
              <w:right w:val="single" w:sz="4" w:space="0" w:color="000000"/>
            </w:tcBorders>
          </w:tcPr>
          <w:p>
            <w:pPr>
              <w:pStyle w:val="Style36"/>
              <w:widowControl w:val="false"/>
              <w:suppressAutoHyphens w:val="true"/>
              <w:rPr/>
            </w:pPr>
            <w:r>
              <w:rPr>
                <w:rFonts w:eastAsia="Times New Roman" w:cs="Times New Roman"/>
                <w:b/>
                <w:bCs/>
                <w:iCs/>
                <w:color w:val="auto"/>
                <w:kern w:val="0"/>
                <w:sz w:val="22"/>
                <w:szCs w:val="22"/>
                <w:lang w:val="ru-RU" w:eastAsia="ru-RU" w:bidi="ar-SA"/>
              </w:rPr>
              <w:t>Термины и определения:</w:t>
            </w:r>
          </w:p>
        </w:tc>
      </w:tr>
      <w:tr>
        <w:trPr/>
        <w:tc>
          <w:tcPr>
            <w:tcW w:w="3799" w:type="dxa"/>
            <w:tcBorders>
              <w:left w:val="single" w:sz="4" w:space="0" w:color="000000"/>
              <w:bottom w:val="single" w:sz="4" w:space="0" w:color="000000"/>
            </w:tcBorders>
            <w:vAlign w:val="center"/>
          </w:tcPr>
          <w:p>
            <w:pPr>
              <w:pStyle w:val="Style36"/>
              <w:widowControl w:val="false"/>
              <w:suppressAutoHyphens w:val="true"/>
              <w:jc w:val="left"/>
              <w:rPr/>
            </w:pPr>
            <w:r>
              <w:rPr>
                <w:sz w:val="22"/>
                <w:szCs w:val="22"/>
              </w:rPr>
              <w:t>ГОСТ</w:t>
            </w:r>
          </w:p>
        </w:tc>
        <w:tc>
          <w:tcPr>
            <w:tcW w:w="10517" w:type="dxa"/>
            <w:tcBorders>
              <w:left w:val="single" w:sz="4" w:space="0" w:color="000000"/>
              <w:bottom w:val="single" w:sz="4" w:space="0" w:color="000000"/>
              <w:right w:val="single" w:sz="4" w:space="0" w:color="000000"/>
            </w:tcBorders>
          </w:tcPr>
          <w:p>
            <w:pPr>
              <w:pStyle w:val="Style36"/>
              <w:widowControl w:val="false"/>
              <w:suppressAutoHyphens w:val="true"/>
              <w:rPr/>
            </w:pPr>
            <w:r>
              <w:rPr>
                <w:sz w:val="22"/>
                <w:szCs w:val="22"/>
              </w:rPr>
              <w:t>Система стандартов, устанавливающих требования к качеству продукции, процессов, работ и услуг в различных сферах деятельности.</w:t>
            </w:r>
          </w:p>
        </w:tc>
      </w:tr>
    </w:tbl>
    <w:p>
      <w:pPr>
        <w:pStyle w:val="Heading4"/>
        <w:numPr>
          <w:ilvl w:val="1"/>
          <w:numId w:val="3"/>
        </w:numPr>
        <w:suppressAutoHyphens w:val="true"/>
        <w:spacing w:before="120" w:after="0"/>
        <w:rPr/>
      </w:pPr>
      <w:bookmarkStart w:id="7" w:name="__RefHeading___Toc89645_1475472420"/>
      <w:bookmarkStart w:id="8" w:name="_Toc75446568"/>
      <w:bookmarkStart w:id="9" w:name="_Toc46743506"/>
      <w:bookmarkEnd w:id="7"/>
      <w:r>
        <w:rPr>
          <w:sz w:val="22"/>
          <w:szCs w:val="22"/>
        </w:rPr>
        <w:t>Наименование закупаемой продукции</w:t>
      </w:r>
      <w:bookmarkEnd w:id="8"/>
      <w:bookmarkEnd w:id="9"/>
    </w:p>
    <w:p>
      <w:pPr>
        <w:pStyle w:val="18"/>
        <w:numPr>
          <w:ilvl w:val="0"/>
        </w:numPr>
        <w:spacing w:before="0" w:after="0"/>
        <w:ind w:hanging="0" w:left="0" w:right="0"/>
        <w:jc w:val="center"/>
        <w:outlineLvl w:val="9"/>
        <w:rPr>
          <w:rFonts w:ascii="Liberation Serif" w:hAnsi="Liberation Serif"/>
          <w:shd w:fill="FFFFFF" w:val="clear"/>
        </w:rPr>
      </w:pPr>
      <w:r>
        <w:rPr>
          <w:rFonts w:ascii="Liberation Serif" w:hAnsi="Liberation Serif"/>
          <w:b/>
          <w:bCs/>
          <w:i/>
          <w:iCs/>
          <w:strike w:val="false"/>
          <w:dstrike w:val="false"/>
          <w:outline w:val="false"/>
          <w:shadow w:val="false"/>
          <w:sz w:val="28"/>
          <w:szCs w:val="28"/>
          <w:u w:val="none"/>
          <w:shd w:fill="auto" w:val="clear"/>
          <w:em w:val="none"/>
        </w:rPr>
        <w:t>ОКПД2 27.12.10.190 Ограничители перенапряжения для нужд  филиала "Хабаровские электрические сети".</w:t>
      </w:r>
    </w:p>
    <w:p>
      <w:pPr>
        <w:pStyle w:val="Heading1"/>
        <w:keepLines/>
        <w:numPr>
          <w:ilvl w:val="0"/>
          <w:numId w:val="3"/>
        </w:numPr>
        <w:suppressAutoHyphens w:val="true"/>
        <w:spacing w:before="120" w:after="0"/>
        <w:ind w:hanging="357" w:left="357"/>
        <w:jc w:val="center"/>
        <w:rPr/>
      </w:pPr>
      <w:bookmarkStart w:id="10" w:name="__RefHeading___Toc89647_1475472420"/>
      <w:bookmarkStart w:id="11" w:name="_Toc46743510"/>
      <w:bookmarkStart w:id="12" w:name="_Toc75446573"/>
      <w:bookmarkStart w:id="13" w:name="_Toc50125126"/>
      <w:bookmarkStart w:id="14" w:name="_Toc51339693"/>
      <w:bookmarkEnd w:id="10"/>
      <w:bookmarkEnd w:id="11"/>
      <w:bookmarkEnd w:id="13"/>
      <w:r>
        <w:rPr>
          <w:iCs/>
          <w:sz w:val="22"/>
          <w:szCs w:val="22"/>
        </w:rPr>
        <w:t>Требования к продукции</w:t>
      </w:r>
      <w:bookmarkEnd w:id="12"/>
      <w:bookmarkEnd w:id="14"/>
    </w:p>
    <w:p>
      <w:pPr>
        <w:pStyle w:val="Heading4"/>
        <w:numPr>
          <w:ilvl w:val="1"/>
          <w:numId w:val="3"/>
        </w:numPr>
        <w:suppressAutoHyphens w:val="true"/>
        <w:spacing w:before="120" w:after="0"/>
        <w:rPr/>
      </w:pPr>
      <w:bookmarkStart w:id="15" w:name="__RefHeading___Toc89649_1475472420"/>
      <w:bookmarkStart w:id="16" w:name="_Toc75446574"/>
      <w:bookmarkEnd w:id="15"/>
      <w:r>
        <w:rPr>
          <w:sz w:val="22"/>
          <w:szCs w:val="22"/>
        </w:rPr>
        <w:t xml:space="preserve">Требования к объемам и срокам </w:t>
      </w:r>
      <w:r>
        <w:rPr>
          <w:sz w:val="22"/>
          <w:szCs w:val="22"/>
          <w:lang w:val="ru-RU"/>
        </w:rPr>
        <w:t>поставки</w:t>
      </w:r>
      <w:bookmarkEnd w:id="16"/>
    </w:p>
    <w:p>
      <w:pPr>
        <w:pStyle w:val="Heading3"/>
        <w:numPr>
          <w:ilvl w:val="2"/>
          <w:numId w:val="3"/>
        </w:numPr>
        <w:suppressAutoHyphens w:val="true"/>
        <w:spacing w:before="120" w:after="0"/>
        <w:rPr/>
      </w:pPr>
      <w:bookmarkStart w:id="17" w:name="__RefHeading___Toc89651_1475472420"/>
      <w:bookmarkStart w:id="18" w:name="_Toc75446575"/>
      <w:bookmarkEnd w:id="17"/>
      <w:r>
        <w:rPr>
          <w:sz w:val="22"/>
          <w:szCs w:val="22"/>
          <w:lang w:val="ru-RU"/>
        </w:rPr>
        <w:t>Перечень и объем закупаемой продукции</w:t>
      </w:r>
      <w:bookmarkEnd w:id="18"/>
    </w:p>
    <w:p>
      <w:pPr>
        <w:pStyle w:val="Heading1"/>
        <w:keepLines/>
        <w:numPr>
          <w:ilvl w:val="0"/>
          <w:numId w:val="0"/>
        </w:numPr>
        <w:suppressAutoHyphens w:val="true"/>
        <w:spacing w:before="240" w:after="0"/>
        <w:ind w:hanging="0" w:left="0"/>
        <w:rPr/>
      </w:pPr>
      <w:bookmarkStart w:id="19" w:name="__RefHeading___Toc89653_1475472420"/>
      <w:bookmarkStart w:id="20" w:name="_Toc51339695"/>
      <w:bookmarkStart w:id="21" w:name="_Toc75446576"/>
      <w:bookmarkEnd w:id="19"/>
      <w:r>
        <w:rPr>
          <w:sz w:val="22"/>
          <w:szCs w:val="22"/>
        </w:rPr>
        <w:t xml:space="preserve">Таблица </w:t>
      </w:r>
      <w:r>
        <w:rPr>
          <w:sz w:val="22"/>
          <w:szCs w:val="22"/>
          <w:lang w:val="ru-RU"/>
        </w:rPr>
        <w:t>1.1</w:t>
      </w:r>
      <w:r>
        <w:rPr>
          <w:sz w:val="22"/>
          <w:szCs w:val="22"/>
        </w:rPr>
        <w:t xml:space="preserve"> </w:t>
      </w:r>
      <w:r>
        <w:rPr>
          <w:sz w:val="22"/>
          <w:szCs w:val="22"/>
          <w:lang w:val="ru-RU"/>
        </w:rPr>
        <w:t xml:space="preserve">Перечень </w:t>
      </w:r>
      <w:bookmarkEnd w:id="20"/>
      <w:r>
        <w:rPr>
          <w:sz w:val="22"/>
          <w:szCs w:val="22"/>
          <w:lang w:val="ru-RU"/>
        </w:rPr>
        <w:t>и объем закупаемой продукции</w:t>
      </w:r>
      <w:bookmarkEnd w:id="21"/>
    </w:p>
    <w:p>
      <w:pPr>
        <w:pStyle w:val="Normal"/>
        <w:suppressAutoHyphens w:val="true"/>
        <w:rPr>
          <w:rFonts w:ascii="Times New Roman" w:hAnsi="Times New Roman"/>
          <w:lang w:eastAsia="x-none"/>
        </w:rPr>
      </w:pPr>
      <w:r>
        <w:rPr>
          <w:lang w:eastAsia="x-none"/>
        </w:rPr>
      </w:r>
    </w:p>
    <w:tbl>
      <w:tblPr>
        <w:tblW w:w="14884" w:type="dxa"/>
        <w:jc w:val="center"/>
        <w:tblInd w:w="0" w:type="dxa"/>
        <w:tblLayout w:type="fixed"/>
        <w:tblCellMar>
          <w:top w:w="55" w:type="dxa"/>
          <w:left w:w="108" w:type="dxa"/>
          <w:bottom w:w="55" w:type="dxa"/>
          <w:right w:w="108" w:type="dxa"/>
        </w:tblCellMar>
        <w:tblLook w:val="04a0" w:noHBand="0" w:noVBand="1" w:firstColumn="1" w:lastRow="0" w:lastColumn="0" w:firstRow="1"/>
      </w:tblPr>
      <w:tblGrid>
        <w:gridCol w:w="708"/>
        <w:gridCol w:w="11624"/>
        <w:gridCol w:w="1276"/>
        <w:gridCol w:w="1275"/>
      </w:tblGrid>
      <w:tr>
        <w:trPr/>
        <w:tc>
          <w:tcPr>
            <w:tcW w:w="14883"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pPr>
            <w:r>
              <w:rPr>
                <w:b/>
                <w:sz w:val="22"/>
                <w:szCs w:val="22"/>
              </w:rPr>
              <w:t>Требование Заказчика</w:t>
            </w:r>
          </w:p>
        </w:tc>
      </w:tr>
      <w:tr>
        <w:trPr/>
        <w:tc>
          <w:tcPr>
            <w:tcW w:w="708" w:type="dxa"/>
            <w:tcBorders>
              <w:left w:val="single" w:sz="4" w:space="0" w:color="000000"/>
              <w:bottom w:val="single" w:sz="4" w:space="0" w:color="000000"/>
            </w:tcBorders>
          </w:tcPr>
          <w:p>
            <w:pPr>
              <w:pStyle w:val="Normal"/>
              <w:keepNext w:val="true"/>
              <w:widowControl w:val="false"/>
              <w:suppressAutoHyphens w:val="true"/>
              <w:jc w:val="center"/>
              <w:rPr/>
            </w:pPr>
            <w:r>
              <w:rPr>
                <w:b/>
                <w:sz w:val="22"/>
                <w:szCs w:val="22"/>
              </w:rPr>
              <w:t>№</w:t>
            </w:r>
          </w:p>
          <w:p>
            <w:pPr>
              <w:pStyle w:val="Normal"/>
              <w:widowControl w:val="false"/>
              <w:suppressAutoHyphens w:val="true"/>
              <w:jc w:val="center"/>
              <w:rPr/>
            </w:pPr>
            <w:r>
              <w:rPr>
                <w:b/>
                <w:sz w:val="22"/>
                <w:szCs w:val="22"/>
              </w:rPr>
              <w:t>п/п</w:t>
            </w:r>
          </w:p>
        </w:tc>
        <w:tc>
          <w:tcPr>
            <w:tcW w:w="11624" w:type="dxa"/>
            <w:tcBorders>
              <w:left w:val="single" w:sz="4" w:space="0" w:color="000000"/>
              <w:bottom w:val="single" w:sz="4" w:space="0" w:color="000000"/>
            </w:tcBorders>
            <w:vAlign w:val="center"/>
          </w:tcPr>
          <w:p>
            <w:pPr>
              <w:pStyle w:val="Normal"/>
              <w:widowControl w:val="false"/>
              <w:suppressAutoHyphens w:val="true"/>
              <w:jc w:val="center"/>
              <w:rPr/>
            </w:pPr>
            <w:r>
              <w:rPr>
                <w:b/>
                <w:sz w:val="22"/>
                <w:szCs w:val="22"/>
              </w:rPr>
              <w:t>Наименование</w:t>
            </w:r>
          </w:p>
        </w:tc>
        <w:tc>
          <w:tcPr>
            <w:tcW w:w="1276" w:type="dxa"/>
            <w:tcBorders>
              <w:left w:val="single" w:sz="4" w:space="0" w:color="000000"/>
              <w:bottom w:val="single" w:sz="4" w:space="0" w:color="000000"/>
            </w:tcBorders>
            <w:vAlign w:val="center"/>
          </w:tcPr>
          <w:p>
            <w:pPr>
              <w:pStyle w:val="Normal"/>
              <w:widowControl w:val="false"/>
              <w:suppressAutoHyphens w:val="true"/>
              <w:jc w:val="center"/>
              <w:rPr/>
            </w:pPr>
            <w:r>
              <w:rPr>
                <w:b/>
                <w:sz w:val="22"/>
                <w:szCs w:val="22"/>
              </w:rPr>
              <w:t>Ед. измер.</w:t>
            </w:r>
          </w:p>
        </w:tc>
        <w:tc>
          <w:tcPr>
            <w:tcW w:w="1275" w:type="dxa"/>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pPr>
            <w:r>
              <w:rPr>
                <w:b/>
                <w:sz w:val="22"/>
                <w:szCs w:val="22"/>
              </w:rPr>
              <w:t>Кол-во</w:t>
            </w:r>
          </w:p>
        </w:tc>
      </w:tr>
      <w:tr>
        <w:trPr/>
        <w:tc>
          <w:tcPr>
            <w:tcW w:w="708" w:type="dxa"/>
            <w:tcBorders>
              <w:left w:val="single" w:sz="4" w:space="0" w:color="000000"/>
              <w:bottom w:val="single" w:sz="4" w:space="0" w:color="000000"/>
            </w:tcBorders>
          </w:tcPr>
          <w:p>
            <w:pPr>
              <w:pStyle w:val="Normal"/>
              <w:widowControl w:val="false"/>
              <w:suppressAutoHyphens w:val="true"/>
              <w:jc w:val="center"/>
              <w:rPr/>
            </w:pPr>
            <w:r>
              <w:rPr>
                <w:b/>
                <w:sz w:val="22"/>
                <w:szCs w:val="22"/>
              </w:rPr>
              <w:t>1</w:t>
            </w:r>
          </w:p>
        </w:tc>
        <w:tc>
          <w:tcPr>
            <w:tcW w:w="11624" w:type="dxa"/>
            <w:tcBorders>
              <w:left w:val="single" w:sz="4" w:space="0" w:color="000000"/>
              <w:bottom w:val="single" w:sz="4" w:space="0" w:color="000000"/>
            </w:tcBorders>
          </w:tcPr>
          <w:p>
            <w:pPr>
              <w:pStyle w:val="Normal"/>
              <w:widowControl w:val="false"/>
              <w:suppressAutoHyphens w:val="true"/>
              <w:jc w:val="center"/>
              <w:rPr/>
            </w:pPr>
            <w:r>
              <w:rPr>
                <w:b/>
                <w:sz w:val="22"/>
                <w:szCs w:val="22"/>
              </w:rPr>
              <w:t>2</w:t>
            </w:r>
          </w:p>
        </w:tc>
        <w:tc>
          <w:tcPr>
            <w:tcW w:w="1276" w:type="dxa"/>
            <w:tcBorders>
              <w:left w:val="single" w:sz="4" w:space="0" w:color="000000"/>
              <w:bottom w:val="single" w:sz="4" w:space="0" w:color="000000"/>
            </w:tcBorders>
          </w:tcPr>
          <w:p>
            <w:pPr>
              <w:pStyle w:val="Normal"/>
              <w:widowControl w:val="false"/>
              <w:suppressAutoHyphens w:val="true"/>
              <w:jc w:val="center"/>
              <w:rPr/>
            </w:pPr>
            <w:r>
              <w:rPr>
                <w:b/>
                <w:sz w:val="22"/>
                <w:szCs w:val="22"/>
              </w:rPr>
              <w:t>3</w:t>
            </w:r>
          </w:p>
        </w:tc>
        <w:tc>
          <w:tcPr>
            <w:tcW w:w="1275" w:type="dxa"/>
            <w:tcBorders>
              <w:left w:val="single" w:sz="4" w:space="0" w:color="000000"/>
              <w:bottom w:val="single" w:sz="4" w:space="0" w:color="000000"/>
              <w:right w:val="single" w:sz="4" w:space="0" w:color="000000"/>
            </w:tcBorders>
          </w:tcPr>
          <w:p>
            <w:pPr>
              <w:pStyle w:val="Normal"/>
              <w:widowControl w:val="false"/>
              <w:suppressAutoHyphens w:val="true"/>
              <w:jc w:val="center"/>
              <w:rPr/>
            </w:pPr>
            <w:r>
              <w:rPr>
                <w:b/>
                <w:sz w:val="22"/>
                <w:szCs w:val="22"/>
              </w:rPr>
              <w:t>4</w:t>
            </w:r>
          </w:p>
        </w:tc>
      </w:tr>
      <w:tr>
        <w:trPr/>
        <w:tc>
          <w:tcPr>
            <w:tcW w:w="14883" w:type="dxa"/>
            <w:gridSpan w:val="4"/>
            <w:tcBorders>
              <w:left w:val="single" w:sz="4" w:space="0" w:color="000000"/>
              <w:bottom w:val="single" w:sz="4" w:space="0" w:color="000000"/>
              <w:right w:val="single" w:sz="4" w:space="0" w:color="000000"/>
            </w:tcBorders>
          </w:tcPr>
          <w:p>
            <w:pPr>
              <w:pStyle w:val="Normal"/>
              <w:widowControl w:val="false"/>
              <w:suppressAutoHyphens w:val="true"/>
              <w:jc w:val="center"/>
              <w:rPr>
                <w:b/>
                <w:bCs/>
              </w:rPr>
            </w:pPr>
            <w:r>
              <w:rPr>
                <w:b/>
                <w:bCs/>
                <w:color w:val="000000"/>
                <w:sz w:val="22"/>
                <w:szCs w:val="22"/>
              </w:rPr>
              <w:t>1.1 Филиал АО «ДРСК» «Хабаровские  ЭС» Адрес склада: 680009, г. Хабаровск, ул. Промышленная 13</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1.</w:t>
            </w:r>
          </w:p>
        </w:tc>
        <w:tc>
          <w:tcPr>
            <w:tcW w:w="11624" w:type="dxa"/>
            <w:tcBorders>
              <w:left w:val="single" w:sz="4" w:space="0" w:color="000000"/>
              <w:bottom w:val="single" w:sz="4" w:space="0" w:color="000000"/>
            </w:tcBorders>
            <w:shd w:color="auto" w:fill="auto" w:val="clear"/>
            <w:vAlign w:val="center"/>
          </w:tcPr>
          <w:p>
            <w:pPr>
              <w:pStyle w:val="Normal"/>
              <w:widowControl w:val="false"/>
              <w:ind w:hanging="0" w:left="0" w:right="0"/>
              <w:rPr>
                <w:rFonts w:ascii="Liberation Serif" w:hAnsi="Liberation Serif"/>
                <w:sz w:val="20"/>
                <w:szCs w:val="20"/>
                <w:shd w:fill="FFFFFF" w:val="clear"/>
              </w:rPr>
            </w:pPr>
            <w:r>
              <w:rPr>
                <w:rFonts w:ascii="Liberation Serif" w:hAnsi="Liberation Serif"/>
                <w:sz w:val="20"/>
                <w:szCs w:val="20"/>
                <w:shd w:fill="FFFFFF" w:val="clear"/>
              </w:rPr>
              <w:t xml:space="preserve">Ограничители перенапряжения </w:t>
            </w:r>
            <w:r>
              <w:rPr>
                <w:color w:val="000000"/>
                <w:sz w:val="20"/>
                <w:szCs w:val="20"/>
                <w:shd w:fill="FFFFFF" w:val="clear"/>
              </w:rPr>
              <w:t>ОПН-П-10/12/10/550-III УХЛ1</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color w:val="000000"/>
                <w:sz w:val="24"/>
              </w:rPr>
              <w:t>3</w:t>
            </w:r>
          </w:p>
        </w:tc>
      </w:tr>
      <w:tr>
        <w:trPr/>
        <w:tc>
          <w:tcPr>
            <w:tcW w:w="708" w:type="dxa"/>
            <w:tcBorders>
              <w:left w:val="single" w:sz="4" w:space="0" w:color="000000"/>
              <w:bottom w:val="single" w:sz="4" w:space="0" w:color="000000"/>
            </w:tcBorders>
          </w:tcPr>
          <w:p>
            <w:pPr>
              <w:pStyle w:val="Normal"/>
              <w:widowControl w:val="false"/>
              <w:suppressAutoHyphens w:val="true"/>
              <w:rPr>
                <w:rFonts w:ascii="Times New Roman" w:hAnsi="Times New Roman" w:eastAsia="Times New Roman" w:cs="Times New Roman"/>
                <w:color w:val="000000"/>
                <w:kern w:val="0"/>
                <w:sz w:val="22"/>
                <w:szCs w:val="22"/>
                <w:lang w:val="ru-RU" w:eastAsia="ru-RU" w:bidi="ar-SA"/>
              </w:rPr>
            </w:pPr>
            <w:r>
              <w:rPr>
                <w:rFonts w:eastAsia="Times New Roman" w:cs="Times New Roman"/>
                <w:color w:val="000000"/>
                <w:kern w:val="0"/>
                <w:sz w:val="22"/>
                <w:szCs w:val="22"/>
                <w:lang w:val="ru-RU" w:eastAsia="ru-RU" w:bidi="ar-SA"/>
              </w:rPr>
              <w:t>2.</w:t>
            </w:r>
          </w:p>
        </w:tc>
        <w:tc>
          <w:tcPr>
            <w:tcW w:w="11624" w:type="dxa"/>
            <w:tcBorders>
              <w:left w:val="single" w:sz="4" w:space="0" w:color="000000"/>
              <w:bottom w:val="single" w:sz="4" w:space="0" w:color="000000"/>
            </w:tcBorders>
            <w:shd w:color="auto" w:fill="auto" w:val="clear"/>
            <w:vAlign w:val="center"/>
          </w:tcPr>
          <w:p>
            <w:pPr>
              <w:pStyle w:val="Normal"/>
              <w:widowControl w:val="false"/>
              <w:ind w:hanging="0" w:left="0" w:right="0"/>
              <w:rPr>
                <w:rFonts w:ascii="Liberation Serif" w:hAnsi="Liberation Serif"/>
                <w:sz w:val="20"/>
                <w:szCs w:val="20"/>
              </w:rPr>
            </w:pPr>
            <w:r>
              <w:rPr>
                <w:rFonts w:ascii="Liberation Serif" w:hAnsi="Liberation Serif"/>
                <w:sz w:val="20"/>
                <w:szCs w:val="20"/>
              </w:rPr>
              <w:t xml:space="preserve">Ограничитель перенапряжения </w:t>
            </w:r>
            <w:r>
              <w:rPr>
                <w:color w:val="000000"/>
                <w:sz w:val="20"/>
                <w:szCs w:val="20"/>
              </w:rPr>
              <w:t>ОПН-П-110/88/20/2,8-III УХЛ1-ИО7 с ДТУ-03</w:t>
            </w:r>
          </w:p>
        </w:tc>
        <w:tc>
          <w:tcPr>
            <w:tcW w:w="1276" w:type="dxa"/>
            <w:tcBorders>
              <w:left w:val="single" w:sz="4" w:space="0" w:color="000000"/>
              <w:bottom w:val="single" w:sz="4" w:space="0" w:color="000000"/>
            </w:tcBorders>
            <w:vAlign w:val="center"/>
          </w:tcPr>
          <w:p>
            <w:pPr>
              <w:pStyle w:val="Style36"/>
              <w:widowControl w:val="false"/>
              <w:suppressAutoHyphens w:val="true"/>
              <w:jc w:val="center"/>
              <w:rPr>
                <w:sz w:val="24"/>
                <w:szCs w:val="24"/>
              </w:rPr>
            </w:pPr>
            <w:r>
              <w:rPr>
                <w:sz w:val="24"/>
                <w:szCs w:val="24"/>
              </w:rPr>
              <w:t>шт</w:t>
            </w:r>
          </w:p>
        </w:tc>
        <w:tc>
          <w:tcPr>
            <w:tcW w:w="1275" w:type="dxa"/>
            <w:tcBorders>
              <w:left w:val="single" w:sz="4" w:space="0" w:color="000000"/>
              <w:bottom w:val="single" w:sz="4" w:space="0" w:color="000000"/>
              <w:right w:val="single" w:sz="4" w:space="0" w:color="000000"/>
            </w:tcBorders>
            <w:vAlign w:val="center"/>
          </w:tcPr>
          <w:p>
            <w:pPr>
              <w:pStyle w:val="Style36"/>
              <w:jc w:val="right"/>
              <w:rPr>
                <w:rFonts w:ascii="Times New Roman" w:hAnsi="Times New Roman"/>
                <w:color w:val="000000"/>
                <w:sz w:val="24"/>
              </w:rPr>
            </w:pPr>
            <w:r>
              <w:rPr>
                <w:color w:val="000000"/>
                <w:sz w:val="24"/>
              </w:rPr>
              <w:t>1</w:t>
            </w:r>
          </w:p>
        </w:tc>
      </w:tr>
    </w:tbl>
    <w:p>
      <w:pPr>
        <w:pStyle w:val="Heading3"/>
        <w:numPr>
          <w:ilvl w:val="2"/>
          <w:numId w:val="3"/>
        </w:numPr>
        <w:suppressAutoHyphens w:val="true"/>
        <w:spacing w:before="120" w:after="0"/>
        <w:rPr/>
      </w:pPr>
      <w:bookmarkStart w:id="22" w:name="__RefHeading___Toc89655_1475472420"/>
      <w:bookmarkStart w:id="23" w:name="_Toc51339696"/>
      <w:bookmarkStart w:id="24" w:name="_Toc75446578"/>
      <w:bookmarkEnd w:id="22"/>
      <w:r>
        <w:rPr>
          <w:sz w:val="22"/>
          <w:szCs w:val="22"/>
          <w:lang w:val="ru-RU"/>
        </w:rPr>
        <w:t xml:space="preserve">Требования </w:t>
      </w:r>
      <w:bookmarkEnd w:id="23"/>
      <w:r>
        <w:rPr>
          <w:sz w:val="22"/>
          <w:szCs w:val="22"/>
          <w:lang w:val="ru-RU"/>
        </w:rPr>
        <w:t xml:space="preserve">к срокам поставки продукции </w:t>
      </w:r>
      <w:bookmarkEnd w:id="24"/>
    </w:p>
    <w:p>
      <w:pPr>
        <w:pStyle w:val="Heading1"/>
        <w:keepLines/>
        <w:numPr>
          <w:ilvl w:val="0"/>
          <w:numId w:val="0"/>
        </w:numPr>
        <w:suppressAutoHyphens w:val="true"/>
        <w:spacing w:before="240" w:after="0"/>
        <w:ind w:hanging="0" w:left="0"/>
        <w:rPr/>
      </w:pPr>
      <w:bookmarkStart w:id="25" w:name="__RefHeading___Toc89657_1475472420"/>
      <w:bookmarkStart w:id="26" w:name="_Toc75446579"/>
      <w:bookmarkStart w:id="27" w:name="_Toc50125127"/>
      <w:bookmarkStart w:id="28" w:name="_Toc51339697"/>
      <w:bookmarkStart w:id="29" w:name="_Toc50125126_Копия_1"/>
      <w:bookmarkEnd w:id="25"/>
      <w:bookmarkEnd w:id="29"/>
      <w:r>
        <w:rPr>
          <w:sz w:val="22"/>
          <w:szCs w:val="22"/>
        </w:rPr>
        <w:t xml:space="preserve">Таблица </w:t>
      </w:r>
      <w:r>
        <w:rPr>
          <w:sz w:val="22"/>
          <w:szCs w:val="22"/>
          <w:lang w:val="ru-RU"/>
        </w:rPr>
        <w:t>2</w:t>
      </w:r>
      <w:r>
        <w:rPr>
          <w:sz w:val="22"/>
          <w:szCs w:val="22"/>
        </w:rPr>
        <w:t>.</w:t>
      </w:r>
      <w:r>
        <w:rPr>
          <w:sz w:val="22"/>
          <w:szCs w:val="22"/>
          <w:lang w:val="ru-RU"/>
        </w:rPr>
        <w:t>1</w:t>
      </w:r>
      <w:r>
        <w:rPr>
          <w:sz w:val="22"/>
          <w:szCs w:val="22"/>
        </w:rPr>
        <w:t xml:space="preserve"> </w:t>
      </w:r>
      <w:bookmarkStart w:id="30" w:name="_Hlk50465284"/>
      <w:r>
        <w:rPr>
          <w:sz w:val="22"/>
          <w:szCs w:val="22"/>
        </w:rPr>
        <w:t xml:space="preserve">Требования по срокам </w:t>
      </w:r>
      <w:bookmarkEnd w:id="27"/>
      <w:bookmarkEnd w:id="28"/>
      <w:bookmarkEnd w:id="30"/>
      <w:r>
        <w:rPr>
          <w:sz w:val="22"/>
          <w:szCs w:val="22"/>
          <w:lang w:val="ru-RU"/>
        </w:rPr>
        <w:t>поставки продукции</w:t>
      </w:r>
      <w:bookmarkEnd w:id="26"/>
      <w:r>
        <w:rPr>
          <w:sz w:val="22"/>
          <w:szCs w:val="22"/>
          <w:lang w:val="ru-RU"/>
        </w:rPr>
        <w:t xml:space="preserve"> </w:t>
      </w:r>
    </w:p>
    <w:tbl>
      <w:tblPr>
        <w:tblW w:w="14850" w:type="dxa"/>
        <w:jc w:val="left"/>
        <w:tblInd w:w="-164" w:type="dxa"/>
        <w:tblLayout w:type="fixed"/>
        <w:tblCellMar>
          <w:top w:w="0" w:type="dxa"/>
          <w:left w:w="108" w:type="dxa"/>
          <w:bottom w:w="0" w:type="dxa"/>
          <w:right w:w="108" w:type="dxa"/>
        </w:tblCellMar>
        <w:tblLook w:val="04a0" w:noHBand="0" w:noVBand="1" w:firstColumn="1" w:lastRow="0" w:lastColumn="0" w:firstRow="1"/>
      </w:tblPr>
      <w:tblGrid>
        <w:gridCol w:w="836"/>
        <w:gridCol w:w="4253"/>
        <w:gridCol w:w="9761"/>
      </w:tblGrid>
      <w:tr>
        <w:trPr/>
        <w:tc>
          <w:tcPr>
            <w:tcW w:w="8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jc w:val="center"/>
              <w:rPr/>
            </w:pPr>
            <w:r>
              <w:rPr>
                <w:b/>
                <w:sz w:val="22"/>
                <w:szCs w:val="22"/>
              </w:rPr>
              <w:t xml:space="preserve">№ </w:t>
            </w:r>
            <w:r>
              <w:rPr>
                <w:b/>
                <w:sz w:val="22"/>
                <w:szCs w:val="22"/>
              </w:rPr>
              <w:t>п/п</w:t>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pPr>
            <w:r>
              <w:rPr>
                <w:b/>
                <w:sz w:val="22"/>
                <w:szCs w:val="22"/>
              </w:rPr>
              <w:t>Требования к началу срока поставки продукции</w:t>
            </w:r>
          </w:p>
        </w:tc>
        <w:tc>
          <w:tcPr>
            <w:tcW w:w="9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pPr>
            <w:r>
              <w:rPr>
                <w:b/>
                <w:sz w:val="22"/>
                <w:szCs w:val="22"/>
              </w:rPr>
              <w:t>Требования к окончанию срока поставки продукции</w:t>
            </w:r>
          </w:p>
        </w:tc>
      </w:tr>
      <w:tr>
        <w:trPr/>
        <w:tc>
          <w:tcPr>
            <w:tcW w:w="8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jc w:val="center"/>
              <w:rPr/>
            </w:pPr>
            <w:r>
              <w:rPr>
                <w:b/>
                <w:sz w:val="22"/>
                <w:szCs w:val="22"/>
              </w:rPr>
              <w:t>1</w:t>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Style30"/>
              <w:keepNext w:val="false"/>
              <w:widowControl w:val="false"/>
              <w:suppressAutoHyphens w:val="true"/>
              <w:spacing w:before="40" w:after="0"/>
              <w:jc w:val="center"/>
              <w:rPr/>
            </w:pPr>
            <w:r>
              <w:rPr>
                <w:b/>
                <w:szCs w:val="22"/>
              </w:rPr>
              <w:t>2</w:t>
            </w:r>
          </w:p>
        </w:tc>
        <w:tc>
          <w:tcPr>
            <w:tcW w:w="9761" w:type="dxa"/>
            <w:tcBorders>
              <w:top w:val="single" w:sz="4" w:space="0" w:color="000000"/>
              <w:left w:val="single" w:sz="4" w:space="0" w:color="000000"/>
              <w:bottom w:val="single" w:sz="4" w:space="0" w:color="000000"/>
              <w:right w:val="single" w:sz="4" w:space="0" w:color="000000"/>
            </w:tcBorders>
            <w:vAlign w:val="center"/>
          </w:tcPr>
          <w:p>
            <w:pPr>
              <w:pStyle w:val="Style30"/>
              <w:keepNext w:val="false"/>
              <w:widowControl w:val="false"/>
              <w:suppressAutoHyphens w:val="true"/>
              <w:spacing w:before="40" w:after="0"/>
              <w:jc w:val="center"/>
              <w:rPr/>
            </w:pPr>
            <w:r>
              <w:rPr>
                <w:b/>
                <w:szCs w:val="22"/>
              </w:rPr>
              <w:t>3</w:t>
            </w:r>
          </w:p>
        </w:tc>
      </w:tr>
      <w:tr>
        <w:trPr/>
        <w:tc>
          <w:tcPr>
            <w:tcW w:w="8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6"/>
              </w:numPr>
              <w:suppressAutoHyphens w:val="true"/>
              <w:rPr>
                <w:rFonts w:ascii="Times New Roman" w:hAnsi="Times New Roman"/>
                <w:sz w:val="22"/>
                <w:szCs w:val="22"/>
              </w:rPr>
            </w:pPr>
            <w:r>
              <w:rPr>
                <w:sz w:val="22"/>
                <w:szCs w:val="22"/>
              </w:rPr>
            </w:r>
          </w:p>
        </w:tc>
        <w:tc>
          <w:tcPr>
            <w:tcW w:w="42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pPr>
            <w:r>
              <w:rPr>
                <w:bCs/>
                <w:iCs/>
                <w:sz w:val="22"/>
                <w:szCs w:val="22"/>
              </w:rPr>
              <w:t>с даты подписания договора</w:t>
            </w:r>
          </w:p>
        </w:tc>
        <w:tc>
          <w:tcPr>
            <w:tcW w:w="9761"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Pr>
              <w:tabs>
                <w:tab w:val="clear" w:pos="708"/>
                <w:tab w:val="left" w:pos="567" w:leader="none"/>
              </w:tabs>
              <w:spacing w:lineRule="auto" w:line="240" w:before="120" w:after="0"/>
              <w:ind w:hanging="567" w:left="567" w:right="0"/>
              <w:rPr>
                <w:rFonts w:ascii="Liberation Serif" w:hAnsi="Liberation Serif"/>
                <w:b w:val="false"/>
                <w:bCs w:val="false"/>
                <w:sz w:val="22"/>
                <w:szCs w:val="22"/>
                <w:shd w:fill="auto" w:val="clear"/>
              </w:rPr>
            </w:pPr>
            <w:r>
              <w:rPr>
                <w:rFonts w:ascii="Liberation Serif" w:hAnsi="Liberation Serif"/>
                <w:b w:val="false"/>
                <w:bCs w:val="false"/>
                <w:iCs/>
                <w:sz w:val="22"/>
                <w:szCs w:val="22"/>
                <w:shd w:fill="auto" w:val="clear"/>
                <w:lang w:eastAsia="en-US"/>
              </w:rPr>
              <w:t>до 30.11.2026 г</w:t>
            </w:r>
            <w:r>
              <w:rPr>
                <w:rFonts w:ascii="Liberation Serif" w:hAnsi="Liberation Serif"/>
                <w:b w:val="false"/>
                <w:bCs w:val="false"/>
                <w:iCs/>
                <w:sz w:val="22"/>
                <w:szCs w:val="22"/>
                <w:shd w:fill="auto" w:val="clear"/>
                <w:lang w:eastAsia="x-none"/>
              </w:rPr>
              <w:t xml:space="preserve">. </w:t>
            </w:r>
            <w:r>
              <w:rPr>
                <w:rFonts w:ascii="Liberation Serif" w:hAnsi="Liberation Serif"/>
                <w:b w:val="false"/>
                <w:bCs w:val="false"/>
                <w:iCs/>
                <w:sz w:val="22"/>
                <w:szCs w:val="22"/>
                <w:shd w:fill="auto" w:val="clear"/>
                <w:lang w:eastAsia="en-US"/>
              </w:rPr>
              <w:t>с возможностью досрочной поставки</w:t>
            </w:r>
          </w:p>
        </w:tc>
      </w:tr>
    </w:tbl>
    <w:p>
      <w:pPr>
        <w:pStyle w:val="Heading4"/>
        <w:keepNext w:val="true"/>
        <w:widowControl/>
        <w:numPr>
          <w:ilvl w:val="0"/>
          <w:numId w:val="0"/>
        </w:numPr>
        <w:suppressAutoHyphens w:val="true"/>
        <w:bidi w:val="0"/>
        <w:spacing w:before="120" w:after="0"/>
        <w:ind w:hanging="0" w:left="737" w:right="0"/>
        <w:jc w:val="left"/>
        <w:rPr/>
      </w:pPr>
      <w:bookmarkStart w:id="31" w:name="__RefHeading___Toc89659_1475472420"/>
      <w:bookmarkEnd w:id="31"/>
      <w:r>
        <w:rPr>
          <w:sz w:val="22"/>
          <w:szCs w:val="22"/>
        </w:rPr>
        <w:t xml:space="preserve">2.2. </w:t>
      </w:r>
      <w:bookmarkStart w:id="32" w:name="_Toc51339698_Копия_1"/>
      <w:bookmarkStart w:id="33" w:name="_Toc46743511_Копия_1"/>
      <w:bookmarkStart w:id="34" w:name="_Toc75446581_Копия_1_Копия_1"/>
      <w:r>
        <w:rPr>
          <w:sz w:val="22"/>
          <w:szCs w:val="22"/>
        </w:rPr>
        <w:t xml:space="preserve">Требования к </w:t>
      </w:r>
      <w:bookmarkEnd w:id="33"/>
      <w:r>
        <w:rPr>
          <w:sz w:val="22"/>
          <w:szCs w:val="22"/>
          <w:lang w:val="ru-RU"/>
        </w:rPr>
        <w:t>качеству продукции</w:t>
      </w:r>
      <w:bookmarkEnd w:id="34"/>
    </w:p>
    <w:p>
      <w:pPr>
        <w:pStyle w:val="Heading1"/>
        <w:keepLines/>
        <w:numPr>
          <w:ilvl w:val="0"/>
          <w:numId w:val="0"/>
        </w:numPr>
        <w:suppressAutoHyphens w:val="true"/>
        <w:spacing w:before="240" w:after="0"/>
        <w:ind w:hanging="0" w:left="0"/>
        <w:rPr/>
      </w:pPr>
      <w:bookmarkStart w:id="35" w:name="__RefHeading___Toc89661_1475472420"/>
      <w:bookmarkEnd w:id="35"/>
      <w:r>
        <w:rPr>
          <w:sz w:val="22"/>
          <w:szCs w:val="22"/>
        </w:rPr>
        <w:t xml:space="preserve"> </w:t>
      </w:r>
      <w:bookmarkStart w:id="36" w:name="_Toc75446582_Копия_1"/>
      <w:r>
        <w:rPr>
          <w:sz w:val="22"/>
          <w:szCs w:val="22"/>
        </w:rPr>
        <w:t>Таблица </w:t>
      </w:r>
      <w:r>
        <w:rPr>
          <w:sz w:val="22"/>
          <w:szCs w:val="22"/>
          <w:shd w:fill="auto" w:val="clear"/>
          <w:lang w:val="ru-RU"/>
        </w:rPr>
        <w:t>2</w:t>
      </w:r>
      <w:r>
        <w:rPr>
          <w:sz w:val="22"/>
          <w:szCs w:val="22"/>
          <w:shd w:fill="auto" w:val="clear"/>
        </w:rPr>
        <w:t>.</w:t>
      </w:r>
      <w:r>
        <w:rPr>
          <w:sz w:val="22"/>
          <w:szCs w:val="22"/>
          <w:shd w:fill="auto" w:val="clear"/>
          <w:lang w:val="ru-RU"/>
        </w:rPr>
        <w:t>2.</w:t>
      </w:r>
      <w:r>
        <w:rPr>
          <w:sz w:val="22"/>
          <w:szCs w:val="22"/>
          <w:shd w:fill="auto" w:val="clear"/>
        </w:rPr>
        <w:t xml:space="preserve"> Требования к </w:t>
      </w:r>
      <w:r>
        <w:rPr>
          <w:sz w:val="22"/>
          <w:szCs w:val="22"/>
          <w:shd w:fill="auto" w:val="clear"/>
          <w:lang w:val="ru-RU"/>
        </w:rPr>
        <w:t>продукции</w:t>
      </w:r>
      <w:bookmarkEnd w:id="36"/>
      <w:r>
        <w:rPr>
          <w:sz w:val="22"/>
          <w:szCs w:val="22"/>
          <w:shd w:fill="auto" w:val="clear"/>
        </w:rPr>
        <w:t xml:space="preserve"> </w:t>
      </w:r>
      <w:bookmarkEnd w:id="32"/>
    </w:p>
    <w:p>
      <w:pPr>
        <w:pStyle w:val="Normal"/>
        <w:widowControl w:val="false"/>
        <w:tabs>
          <w:tab w:val="clear" w:pos="708"/>
          <w:tab w:val="left" w:pos="426" w:leader="none"/>
        </w:tabs>
        <w:suppressAutoHyphens w:val="true"/>
        <w:spacing w:before="120" w:after="0"/>
        <w:jc w:val="both"/>
        <w:rPr>
          <w:rStyle w:val="Style8"/>
          <w:rFonts w:eastAsia="Times New Roman" w:cs="Times New Roman"/>
          <w:b/>
          <w:bCs/>
          <w:i/>
          <w:i/>
          <w:iCs/>
          <w:strike w:val="false"/>
          <w:dstrike w:val="false"/>
          <w:outline w:val="false"/>
          <w:shadow w:val="false"/>
          <w:color w:val="000000"/>
          <w:kern w:val="0"/>
          <w:sz w:val="24"/>
          <w:szCs w:val="24"/>
          <w:u w:val="none"/>
          <w:shd w:fill="auto" w:val="clear"/>
          <w:em w:val="none"/>
          <w:lang w:val="ru-RU" w:eastAsia="ru-RU" w:bidi="ar-SA"/>
        </w:rPr>
      </w:pPr>
      <w:r>
        <w:rPr>
          <w:rFonts w:eastAsia="Times New Roman" w:cs="Times New Roman"/>
          <w:b/>
          <w:bCs/>
          <w:i/>
          <w:iCs/>
          <w:strike w:val="false"/>
          <w:dstrike w:val="false"/>
          <w:outline w:val="false"/>
          <w:shadow w:val="false"/>
          <w:color w:val="000000"/>
          <w:kern w:val="0"/>
          <w:sz w:val="24"/>
          <w:szCs w:val="24"/>
          <w:u w:val="none"/>
          <w:shd w:fill="auto" w:val="clear"/>
          <w:em w:val="none"/>
          <w:lang w:val="ru-RU" w:eastAsia="ru-RU" w:bidi="ar-SA"/>
        </w:rPr>
      </w:r>
    </w:p>
    <w:tbl>
      <w:tblPr>
        <w:tblStyle w:val="af0"/>
        <w:tblpPr w:vertAnchor="text" w:horzAnchor="text" w:leftFromText="180" w:rightFromText="180" w:tblpX="398" w:tblpY="1"/>
        <w:tblW w:w="14567"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674"/>
        <w:gridCol w:w="3225"/>
        <w:gridCol w:w="37"/>
        <w:gridCol w:w="4394"/>
        <w:gridCol w:w="1843"/>
        <w:gridCol w:w="2551"/>
        <w:gridCol w:w="1842"/>
      </w:tblGrid>
      <w:tr>
        <w:trPr/>
        <w:tc>
          <w:tcPr>
            <w:tcW w:w="674" w:type="dxa"/>
            <w:vMerge w:val="restart"/>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lang w:val="ru-RU" w:eastAsia="ru-RU" w:bidi="ar-SA"/>
              </w:rPr>
              <w:t xml:space="preserve">№ </w:t>
            </w:r>
            <w:r>
              <w:rPr>
                <w:rFonts w:eastAsia="Times New Roman" w:cs="Times New Roman"/>
                <w:b/>
                <w:bCs/>
                <w:kern w:val="0"/>
                <w:sz w:val="22"/>
                <w:szCs w:val="22"/>
                <w:lang w:val="ru-RU" w:eastAsia="ru-RU" w:bidi="ar-SA"/>
              </w:rPr>
              <w:t>п/п</w:t>
            </w:r>
          </w:p>
        </w:tc>
        <w:tc>
          <w:tcPr>
            <w:tcW w:w="3262" w:type="dxa"/>
            <w:gridSpan w:val="2"/>
            <w:vMerge w:val="restart"/>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lang w:val="ru-RU" w:eastAsia="ru-RU" w:bidi="ar-SA"/>
              </w:rPr>
              <w:t>Наименование параметра</w:t>
            </w:r>
          </w:p>
        </w:tc>
        <w:tc>
          <w:tcPr>
            <w:tcW w:w="4394" w:type="dxa"/>
            <w:vMerge w:val="restart"/>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lang w:val="ru-RU" w:eastAsia="ru-RU" w:bidi="ar-SA"/>
              </w:rPr>
              <w:t>Требование заказчика</w:t>
            </w:r>
          </w:p>
        </w:tc>
        <w:tc>
          <w:tcPr>
            <w:tcW w:w="4394" w:type="dxa"/>
            <w:gridSpan w:val="2"/>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lang w:val="ru-RU" w:eastAsia="ru-RU" w:bidi="ar-SA"/>
              </w:rPr>
              <w:t>Способ подтверждения участником соответствия требованиям</w:t>
            </w:r>
          </w:p>
        </w:tc>
        <w:tc>
          <w:tcPr>
            <w:tcW w:w="1842" w:type="dxa"/>
            <w:vMerge w:val="restart"/>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lang w:val="ru-RU" w:eastAsia="ru-RU" w:bidi="ar-SA"/>
              </w:rPr>
              <w:t>Предложение участника по характеристикам и параметрам</w:t>
            </w:r>
          </w:p>
        </w:tc>
      </w:tr>
      <w:tr>
        <w:trPr/>
        <w:tc>
          <w:tcPr>
            <w:tcW w:w="674" w:type="dxa"/>
            <w:vMerge w:val="continue"/>
            <w:tcBorders/>
            <w:vAlign w:val="center"/>
          </w:tcPr>
          <w:p>
            <w:pPr>
              <w:pStyle w:val="Normal"/>
              <w:widowControl w:val="false"/>
              <w:suppressAutoHyphens w:val="true"/>
              <w:spacing w:before="0" w:after="0"/>
              <w:jc w:val="left"/>
              <w:rPr>
                <w:b/>
                <w:bCs/>
                <w:sz w:val="22"/>
                <w:szCs w:val="22"/>
              </w:rPr>
            </w:pPr>
            <w:r>
              <w:rPr>
                <w:b/>
                <w:bCs/>
                <w:sz w:val="22"/>
                <w:szCs w:val="22"/>
              </w:rPr>
            </w:r>
          </w:p>
        </w:tc>
        <w:tc>
          <w:tcPr>
            <w:tcW w:w="3262" w:type="dxa"/>
            <w:gridSpan w:val="2"/>
            <w:vMerge w:val="continue"/>
            <w:tcBorders/>
            <w:vAlign w:val="center"/>
          </w:tcPr>
          <w:p>
            <w:pPr>
              <w:pStyle w:val="Normal"/>
              <w:widowControl w:val="false"/>
              <w:suppressAutoHyphens w:val="true"/>
              <w:spacing w:before="0" w:after="0"/>
              <w:jc w:val="left"/>
              <w:rPr>
                <w:b/>
                <w:bCs/>
                <w:sz w:val="22"/>
                <w:szCs w:val="22"/>
              </w:rPr>
            </w:pPr>
            <w:r>
              <w:rPr>
                <w:b/>
                <w:bCs/>
                <w:sz w:val="22"/>
                <w:szCs w:val="22"/>
              </w:rPr>
            </w:r>
          </w:p>
        </w:tc>
        <w:tc>
          <w:tcPr>
            <w:tcW w:w="4394" w:type="dxa"/>
            <w:vMerge w:val="continue"/>
            <w:tcBorders/>
            <w:vAlign w:val="center"/>
          </w:tcPr>
          <w:p>
            <w:pPr>
              <w:pStyle w:val="Normal"/>
              <w:widowControl w:val="false"/>
              <w:suppressAutoHyphens w:val="true"/>
              <w:spacing w:before="0" w:after="0"/>
              <w:jc w:val="left"/>
              <w:rPr>
                <w:b/>
                <w:bCs/>
                <w:sz w:val="22"/>
                <w:szCs w:val="22"/>
              </w:rPr>
            </w:pPr>
            <w:r>
              <w:rPr>
                <w:b/>
                <w:bCs/>
                <w:sz w:val="22"/>
                <w:szCs w:val="22"/>
              </w:rPr>
            </w:r>
          </w:p>
        </w:tc>
        <w:tc>
          <w:tcPr>
            <w:tcW w:w="1843" w:type="dxa"/>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lang w:val="ru-RU" w:eastAsia="ru-RU" w:bidi="ar-SA"/>
              </w:rPr>
              <w:t>Согласие с требованием/ указание характеристик</w:t>
            </w:r>
          </w:p>
        </w:tc>
        <w:tc>
          <w:tcPr>
            <w:tcW w:w="2551" w:type="dxa"/>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lang w:val="ru-RU" w:eastAsia="ru-RU" w:bidi="ar-SA"/>
              </w:rPr>
              <w:t>Предоставление подтверждающего документа или иной способ подтверждения</w:t>
            </w:r>
          </w:p>
        </w:tc>
        <w:tc>
          <w:tcPr>
            <w:tcW w:w="1842" w:type="dxa"/>
            <w:vMerge w:val="continue"/>
            <w:tcBorders/>
            <w:vAlign w:val="center"/>
          </w:tcPr>
          <w:p>
            <w:pPr>
              <w:pStyle w:val="Normal"/>
              <w:widowControl w:val="false"/>
              <w:suppressAutoHyphens w:val="true"/>
              <w:spacing w:before="0" w:after="0"/>
              <w:jc w:val="left"/>
              <w:rPr>
                <w:b/>
                <w:bCs/>
                <w:sz w:val="22"/>
                <w:szCs w:val="22"/>
              </w:rPr>
            </w:pPr>
            <w:r>
              <w:rPr>
                <w:b/>
                <w:bCs/>
                <w:sz w:val="22"/>
                <w:szCs w:val="22"/>
              </w:rPr>
            </w:r>
          </w:p>
        </w:tc>
      </w:tr>
      <w:tr>
        <w:trPr/>
        <w:tc>
          <w:tcPr>
            <w:tcW w:w="674" w:type="dxa"/>
            <w:tcBorders/>
            <w:vAlign w:val="center"/>
          </w:tcPr>
          <w:p>
            <w:pPr>
              <w:pStyle w:val="Normal"/>
              <w:widowControl w:val="false"/>
              <w:suppressAutoHyphens w:val="true"/>
              <w:spacing w:before="60" w:after="0"/>
              <w:jc w:val="center"/>
              <w:rPr>
                <w:sz w:val="22"/>
                <w:szCs w:val="22"/>
              </w:rPr>
            </w:pPr>
            <w:r>
              <w:rPr>
                <w:rFonts w:eastAsia="Times New Roman" w:cs="Times New Roman"/>
                <w:b/>
                <w:kern w:val="0"/>
                <w:sz w:val="22"/>
                <w:szCs w:val="22"/>
                <w:lang w:val="ru-RU" w:eastAsia="ru-RU" w:bidi="ar-SA"/>
              </w:rPr>
              <w:t>1</w:t>
            </w:r>
          </w:p>
        </w:tc>
        <w:tc>
          <w:tcPr>
            <w:tcW w:w="3262" w:type="dxa"/>
            <w:gridSpan w:val="2"/>
            <w:tcBorders/>
            <w:vAlign w:val="center"/>
          </w:tcPr>
          <w:p>
            <w:pPr>
              <w:pStyle w:val="Normal"/>
              <w:widowControl w:val="false"/>
              <w:suppressAutoHyphens w:val="true"/>
              <w:spacing w:before="0" w:after="0"/>
              <w:jc w:val="center"/>
              <w:rPr>
                <w:sz w:val="22"/>
                <w:szCs w:val="22"/>
              </w:rPr>
            </w:pPr>
            <w:r>
              <w:rPr>
                <w:rFonts w:eastAsia="Times New Roman" w:cs="Times New Roman"/>
                <w:b/>
                <w:kern w:val="0"/>
                <w:sz w:val="22"/>
                <w:szCs w:val="22"/>
                <w:lang w:val="ru-RU" w:eastAsia="ru-RU" w:bidi="ar-SA"/>
              </w:rPr>
              <w:t>2</w:t>
            </w:r>
          </w:p>
        </w:tc>
        <w:tc>
          <w:tcPr>
            <w:tcW w:w="4394" w:type="dxa"/>
            <w:tcBorders/>
            <w:vAlign w:val="center"/>
          </w:tcPr>
          <w:p>
            <w:pPr>
              <w:pStyle w:val="Normal"/>
              <w:widowControl w:val="false"/>
              <w:suppressAutoHyphens w:val="true"/>
              <w:spacing w:before="0" w:after="0"/>
              <w:jc w:val="center"/>
              <w:rPr>
                <w:sz w:val="22"/>
                <w:szCs w:val="22"/>
              </w:rPr>
            </w:pPr>
            <w:r>
              <w:rPr>
                <w:rFonts w:eastAsia="Times New Roman" w:cs="Times New Roman"/>
                <w:b/>
                <w:kern w:val="0"/>
                <w:sz w:val="22"/>
                <w:szCs w:val="22"/>
                <w:lang w:val="ru-RU" w:eastAsia="ru-RU" w:bidi="ar-SA"/>
              </w:rPr>
              <w:t>3</w:t>
            </w:r>
          </w:p>
        </w:tc>
        <w:tc>
          <w:tcPr>
            <w:tcW w:w="1843" w:type="dxa"/>
            <w:tcBorders/>
            <w:vAlign w:val="center"/>
          </w:tcPr>
          <w:p>
            <w:pPr>
              <w:pStyle w:val="Normal"/>
              <w:widowControl w:val="false"/>
              <w:suppressAutoHyphens w:val="true"/>
              <w:spacing w:before="0" w:after="0"/>
              <w:jc w:val="center"/>
              <w:rPr>
                <w:sz w:val="22"/>
                <w:szCs w:val="22"/>
              </w:rPr>
            </w:pPr>
            <w:r>
              <w:rPr>
                <w:rFonts w:eastAsia="Times New Roman" w:cs="Times New Roman"/>
                <w:b/>
                <w:kern w:val="0"/>
                <w:sz w:val="22"/>
                <w:szCs w:val="22"/>
                <w:lang w:val="ru-RU" w:eastAsia="ru-RU" w:bidi="ar-SA"/>
              </w:rPr>
              <w:t>4</w:t>
            </w:r>
          </w:p>
        </w:tc>
        <w:tc>
          <w:tcPr>
            <w:tcW w:w="2551" w:type="dxa"/>
            <w:tcBorders/>
            <w:vAlign w:val="center"/>
          </w:tcPr>
          <w:p>
            <w:pPr>
              <w:pStyle w:val="Normal"/>
              <w:widowControl w:val="false"/>
              <w:suppressAutoHyphens w:val="true"/>
              <w:spacing w:before="0" w:after="0"/>
              <w:jc w:val="center"/>
              <w:rPr>
                <w:sz w:val="22"/>
                <w:szCs w:val="22"/>
              </w:rPr>
            </w:pPr>
            <w:r>
              <w:rPr>
                <w:rFonts w:eastAsia="Times New Roman" w:cs="Times New Roman"/>
                <w:b/>
                <w:kern w:val="0"/>
                <w:sz w:val="22"/>
                <w:szCs w:val="22"/>
                <w:lang w:val="ru-RU" w:eastAsia="ru-RU" w:bidi="ar-SA"/>
              </w:rPr>
              <w:t>5</w:t>
            </w:r>
          </w:p>
        </w:tc>
        <w:tc>
          <w:tcPr>
            <w:tcW w:w="1842" w:type="dxa"/>
            <w:tcBorders/>
            <w:vAlign w:val="center"/>
          </w:tcPr>
          <w:p>
            <w:pPr>
              <w:pStyle w:val="Normal"/>
              <w:widowControl w:val="false"/>
              <w:suppressAutoHyphens w:val="true"/>
              <w:spacing w:before="0" w:after="0"/>
              <w:jc w:val="center"/>
              <w:rPr>
                <w:sz w:val="22"/>
                <w:szCs w:val="22"/>
              </w:rPr>
            </w:pPr>
            <w:r>
              <w:rPr>
                <w:rFonts w:eastAsia="Times New Roman" w:cs="Times New Roman"/>
                <w:b/>
                <w:kern w:val="0"/>
                <w:sz w:val="22"/>
                <w:szCs w:val="22"/>
                <w:lang w:val="ru-RU" w:eastAsia="ru-RU" w:bidi="ar-SA"/>
              </w:rPr>
              <w:t>6</w:t>
            </w:r>
          </w:p>
        </w:tc>
      </w:tr>
      <w:tr>
        <w:trPr/>
        <w:tc>
          <w:tcPr>
            <w:tcW w:w="674" w:type="dxa"/>
            <w:tcBorders/>
            <w:vAlign w:val="center"/>
          </w:tcPr>
          <w:p>
            <w:pPr>
              <w:pStyle w:val="Normal"/>
              <w:widowControl w:val="false"/>
              <w:suppressAutoHyphens w:val="true"/>
              <w:spacing w:before="60" w:after="0"/>
              <w:jc w:val="left"/>
              <w:rPr>
                <w:sz w:val="22"/>
                <w:szCs w:val="22"/>
              </w:rPr>
            </w:pPr>
            <w:r>
              <w:rPr>
                <w:rFonts w:eastAsia="Times New Roman" w:cs="Times New Roman"/>
                <w:b/>
                <w:kern w:val="0"/>
                <w:sz w:val="22"/>
                <w:szCs w:val="22"/>
                <w:lang w:val="ru-RU" w:eastAsia="ru-RU" w:bidi="ar-SA"/>
              </w:rPr>
              <w:t>1.</w:t>
            </w:r>
          </w:p>
        </w:tc>
        <w:tc>
          <w:tcPr>
            <w:tcW w:w="13892" w:type="dxa"/>
            <w:gridSpan w:val="6"/>
            <w:tcBorders/>
            <w:vAlign w:val="center"/>
          </w:tcPr>
          <w:p>
            <w:pPr>
              <w:pStyle w:val="Normal"/>
              <w:widowControl w:val="false"/>
              <w:suppressAutoHyphens w:val="true"/>
              <w:spacing w:before="0" w:after="0"/>
              <w:jc w:val="left"/>
              <w:rPr>
                <w:sz w:val="22"/>
                <w:szCs w:val="22"/>
              </w:rPr>
            </w:pPr>
            <w:r>
              <w:rPr>
                <w:rFonts w:eastAsia="Times New Roman" w:cs="Times New Roman"/>
                <w:b/>
                <w:kern w:val="0"/>
                <w:sz w:val="22"/>
                <w:szCs w:val="22"/>
                <w:lang w:val="ru-RU" w:eastAsia="ru-RU" w:bidi="ar-SA"/>
              </w:rPr>
              <w:t>Требования к гарантиям</w:t>
            </w:r>
          </w:p>
        </w:tc>
      </w:tr>
      <w:tr>
        <w:trPr>
          <w:trHeight w:val="771" w:hRule="atLeast"/>
        </w:trPr>
        <w:tc>
          <w:tcPr>
            <w:tcW w:w="674" w:type="dxa"/>
            <w:tcBorders/>
            <w:vAlign w:val="center"/>
          </w:tcPr>
          <w:p>
            <w:pPr>
              <w:pStyle w:val="Normal"/>
              <w:widowControl w:val="false"/>
              <w:suppressAutoHyphens w:val="true"/>
              <w:spacing w:before="60" w:after="0"/>
              <w:ind w:hanging="0" w:right="-109"/>
              <w:jc w:val="left"/>
              <w:rPr>
                <w:sz w:val="22"/>
                <w:szCs w:val="22"/>
              </w:rPr>
            </w:pPr>
            <w:r>
              <w:rPr>
                <w:rFonts w:eastAsia="Times New Roman" w:cs="Times New Roman"/>
                <w:kern w:val="0"/>
                <w:sz w:val="22"/>
                <w:szCs w:val="22"/>
                <w:lang w:val="ru-RU" w:eastAsia="ru-RU" w:bidi="ar-SA"/>
              </w:rPr>
              <w:t>1.1.</w:t>
            </w:r>
          </w:p>
        </w:tc>
        <w:tc>
          <w:tcPr>
            <w:tcW w:w="3262" w:type="dxa"/>
            <w:gridSpan w:val="2"/>
            <w:tcBorders/>
            <w:vAlign w:val="center"/>
          </w:tcPr>
          <w:p>
            <w:pPr>
              <w:pStyle w:val="Normal"/>
              <w:widowControl w:val="false"/>
              <w:suppressAutoHyphens w:val="true"/>
              <w:spacing w:before="0" w:after="0"/>
              <w:ind w:hanging="0" w:right="145"/>
              <w:jc w:val="left"/>
              <w:rPr>
                <w:sz w:val="22"/>
                <w:szCs w:val="22"/>
              </w:rPr>
            </w:pPr>
            <w:r>
              <w:rPr>
                <w:rFonts w:eastAsia="Times New Roman" w:cs="Times New Roman"/>
                <w:kern w:val="0"/>
                <w:sz w:val="22"/>
                <w:szCs w:val="22"/>
                <w:lang w:val="ru-RU" w:eastAsia="ru-RU" w:bidi="ar-SA"/>
              </w:rPr>
              <w:t xml:space="preserve">Срок гарантии на поставляемую </w:t>
            </w:r>
            <w:r>
              <w:rPr>
                <w:rFonts w:eastAsia="Times New Roman" w:cs="Times New Roman"/>
                <w:iCs/>
                <w:kern w:val="0"/>
                <w:sz w:val="22"/>
                <w:szCs w:val="22"/>
                <w:lang w:val="ru-RU" w:eastAsia="ru-RU" w:bidi="ar-SA"/>
              </w:rPr>
              <w:t>продукцию</w:t>
            </w:r>
          </w:p>
        </w:tc>
        <w:tc>
          <w:tcPr>
            <w:tcW w:w="4394" w:type="dxa"/>
            <w:tcBorders/>
            <w:vAlign w:val="cente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 xml:space="preserve">Гарантия на поставляемую продукцию должна составлять не менее 60 месяцев с даты подписания накладной </w:t>
            </w:r>
            <w:r>
              <w:rPr>
                <w:rFonts w:eastAsia="Times New Roman" w:cs="Times New Roman"/>
                <w:b/>
                <w:i/>
                <w:kern w:val="0"/>
                <w:sz w:val="22"/>
                <w:szCs w:val="22"/>
                <w:lang w:val="ru-RU" w:eastAsia="ru-RU" w:bidi="ar-SA"/>
              </w:rPr>
              <w:t>ТОРГ-12/УПД</w:t>
            </w:r>
            <w:r>
              <w:rPr>
                <w:rFonts w:eastAsia="Times New Roman" w:cs="Times New Roman"/>
                <w:kern w:val="0"/>
                <w:sz w:val="22"/>
                <w:szCs w:val="22"/>
                <w:lang w:val="ru-RU" w:eastAsia="ru-RU" w:bidi="ar-SA"/>
              </w:rPr>
              <w:t>.</w:t>
            </w:r>
          </w:p>
        </w:tc>
        <w:tc>
          <w:tcPr>
            <w:tcW w:w="1843" w:type="dxa"/>
            <w:tcBorders/>
            <w:vAlign w:val="center"/>
          </w:tcPr>
          <w:p>
            <w:pPr>
              <w:pStyle w:val="Normal"/>
              <w:widowControl w:val="false"/>
              <w:suppressAutoHyphens w:val="true"/>
              <w:spacing w:before="0" w:after="0"/>
              <w:jc w:val="center"/>
              <w:rPr>
                <w:sz w:val="22"/>
                <w:szCs w:val="22"/>
              </w:rPr>
            </w:pPr>
            <w:r>
              <w:rPr>
                <w:rFonts w:eastAsia="Times New Roman" w:cs="Times New Roman"/>
                <w:i/>
                <w:iCs/>
                <w:color w:val="808080"/>
                <w:kern w:val="0"/>
                <w:sz w:val="22"/>
                <w:szCs w:val="22"/>
                <w:shd w:fill="auto" w:val="clear"/>
                <w:lang w:val="ru-RU" w:eastAsia="ru-RU" w:bidi="ar-SA"/>
              </w:rPr>
              <w:t>Указать срок гарантии на предлагаемую продукцию</w:t>
            </w:r>
          </w:p>
        </w:tc>
        <w:tc>
          <w:tcPr>
            <w:tcW w:w="2551" w:type="dxa"/>
            <w:tcBorders/>
            <w:vAlign w:val="center"/>
          </w:tcPr>
          <w:p>
            <w:pPr>
              <w:pStyle w:val="Normal"/>
              <w:widowControl w:val="false"/>
              <w:suppressAutoHyphens w:val="true"/>
              <w:spacing w:before="0" w:after="0"/>
              <w:jc w:val="center"/>
              <w:rPr>
                <w:sz w:val="22"/>
                <w:szCs w:val="22"/>
              </w:rPr>
            </w:pPr>
            <w:r>
              <w:rPr>
                <w:rFonts w:eastAsia="Times New Roman" w:cs="Times New Roman"/>
                <w:b/>
                <w:i/>
                <w:iCs/>
                <w:color w:val="808080"/>
                <w:kern w:val="0"/>
                <w:sz w:val="22"/>
                <w:szCs w:val="22"/>
                <w:lang w:val="ru-RU" w:eastAsia="ru-RU" w:bidi="ar-SA"/>
              </w:rPr>
              <w:t>-//-</w:t>
            </w:r>
          </w:p>
        </w:tc>
        <w:tc>
          <w:tcPr>
            <w:tcW w:w="1842" w:type="dxa"/>
            <w:tcBorders/>
            <w:vAlign w:val="center"/>
          </w:tcPr>
          <w:p>
            <w:pPr>
              <w:pStyle w:val="Normal"/>
              <w:widowControl w:val="false"/>
              <w:suppressAutoHyphens w:val="true"/>
              <w:spacing w:before="0" w:after="0"/>
              <w:jc w:val="center"/>
              <w:rPr>
                <w:sz w:val="22"/>
                <w:szCs w:val="22"/>
              </w:rPr>
            </w:pPr>
            <w:r>
              <w:rPr>
                <w:sz w:val="22"/>
                <w:szCs w:val="22"/>
              </w:rPr>
            </w:r>
          </w:p>
        </w:tc>
      </w:tr>
      <w:tr>
        <w:trPr/>
        <w:tc>
          <w:tcPr>
            <w:tcW w:w="674" w:type="dxa"/>
            <w:tcBorders/>
            <w:vAlign w:val="center"/>
          </w:tcPr>
          <w:p>
            <w:pPr>
              <w:pStyle w:val="Normal"/>
              <w:widowControl w:val="false"/>
              <w:suppressAutoHyphens w:val="true"/>
              <w:spacing w:before="60" w:after="0"/>
              <w:ind w:hanging="0" w:right="-109"/>
              <w:jc w:val="left"/>
              <w:rPr>
                <w:sz w:val="22"/>
                <w:szCs w:val="22"/>
              </w:rPr>
            </w:pPr>
            <w:r>
              <w:rPr>
                <w:rFonts w:eastAsia="Times New Roman" w:cs="Times New Roman"/>
                <w:b/>
                <w:kern w:val="0"/>
                <w:sz w:val="22"/>
                <w:szCs w:val="22"/>
                <w:lang w:val="ru-RU" w:eastAsia="ru-RU" w:bidi="ar-SA"/>
              </w:rPr>
              <w:t>2.</w:t>
            </w:r>
          </w:p>
        </w:tc>
        <w:tc>
          <w:tcPr>
            <w:tcW w:w="13892" w:type="dxa"/>
            <w:gridSpan w:val="6"/>
            <w:tcBorders/>
            <w:vAlign w:val="center"/>
          </w:tcPr>
          <w:p>
            <w:pPr>
              <w:pStyle w:val="Normal"/>
              <w:widowControl w:val="false"/>
              <w:suppressAutoHyphens w:val="true"/>
              <w:spacing w:before="0" w:after="0"/>
              <w:jc w:val="left"/>
              <w:rPr>
                <w:sz w:val="22"/>
                <w:szCs w:val="22"/>
              </w:rPr>
            </w:pPr>
            <w:r>
              <w:rPr>
                <w:rFonts w:eastAsia="Times New Roman" w:cs="Times New Roman"/>
                <w:b/>
                <w:kern w:val="0"/>
                <w:sz w:val="22"/>
                <w:szCs w:val="22"/>
                <w:lang w:val="ru-RU" w:eastAsia="ru-RU" w:bidi="ar-SA"/>
              </w:rPr>
              <w:t>Требование к доставке</w:t>
            </w:r>
          </w:p>
        </w:tc>
      </w:tr>
      <w:tr>
        <w:trPr/>
        <w:tc>
          <w:tcPr>
            <w:tcW w:w="674" w:type="dxa"/>
            <w:tcBorders>
              <w:top w:val="nil"/>
            </w:tcBorders>
            <w:vAlign w:val="center"/>
          </w:tcPr>
          <w:p>
            <w:pPr>
              <w:pStyle w:val="Normal"/>
              <w:widowControl w:val="false"/>
              <w:suppressAutoHyphens w:val="true"/>
              <w:spacing w:before="60" w:after="0"/>
              <w:ind w:hanging="0" w:right="-109"/>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2.6.</w:t>
            </w:r>
          </w:p>
        </w:tc>
        <w:tc>
          <w:tcPr>
            <w:tcW w:w="3262" w:type="dxa"/>
            <w:gridSpan w:val="2"/>
            <w:tcBorders>
              <w:top w:val="nil"/>
            </w:tcBorders>
            <w:vAlign w:val="center"/>
          </w:tcPr>
          <w:p>
            <w:pPr>
              <w:pStyle w:val="Normal"/>
              <w:widowControl w:val="false"/>
              <w:suppressAutoHyphens w:val="true"/>
              <w:spacing w:before="0" w:after="0"/>
              <w:ind w:hanging="0" w:right="145"/>
              <w:jc w:val="left"/>
              <w:rPr>
                <w:sz w:val="22"/>
                <w:szCs w:val="22"/>
              </w:rPr>
            </w:pPr>
            <w:r>
              <w:rPr>
                <w:rFonts w:eastAsia="Times New Roman" w:cs="Times New Roman"/>
                <w:kern w:val="0"/>
                <w:sz w:val="22"/>
                <w:szCs w:val="22"/>
                <w:lang w:val="ru-RU" w:eastAsia="ru-RU" w:bidi="ar-SA"/>
              </w:rPr>
              <w:t xml:space="preserve">Место поставки продукции для филиала АО «ДРСК» «Хабаровские </w:t>
            </w:r>
            <w:r>
              <w:rPr>
                <w:rFonts w:eastAsia="Times New Roman" w:cs="Times New Roman"/>
                <w:bCs/>
                <w:kern w:val="0"/>
                <w:sz w:val="22"/>
                <w:szCs w:val="22"/>
                <w:lang w:val="ru-RU" w:eastAsia="ru-RU" w:bidi="ar-SA"/>
              </w:rPr>
              <w:t>ЭС</w:t>
            </w:r>
            <w:r>
              <w:rPr>
                <w:rFonts w:eastAsia="Times New Roman" w:cs="Times New Roman"/>
                <w:kern w:val="0"/>
                <w:sz w:val="22"/>
                <w:szCs w:val="22"/>
                <w:lang w:val="ru-RU" w:eastAsia="ru-RU" w:bidi="ar-SA"/>
              </w:rPr>
              <w:t>»</w:t>
            </w:r>
          </w:p>
        </w:tc>
        <w:tc>
          <w:tcPr>
            <w:tcW w:w="4394" w:type="dxa"/>
            <w:tcBorders>
              <w:top w:val="nil"/>
            </w:tcBorders>
            <w:vAlign w:val="cente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680013, г. Хабаровск, ул. Промышленная 13</w:t>
            </w:r>
          </w:p>
        </w:tc>
        <w:tc>
          <w:tcPr>
            <w:tcW w:w="1843"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Согласие с требованием</w:t>
            </w:r>
          </w:p>
        </w:tc>
        <w:tc>
          <w:tcPr>
            <w:tcW w:w="2551"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b/>
                <w:i/>
                <w:i/>
                <w:iCs/>
                <w:color w:val="808080"/>
                <w:kern w:val="0"/>
                <w:sz w:val="22"/>
                <w:szCs w:val="22"/>
                <w:lang w:val="ru-RU" w:eastAsia="ru-RU" w:bidi="ar-SA"/>
              </w:rPr>
            </w:pPr>
            <w:r>
              <w:rPr>
                <w:rFonts w:eastAsia="Times New Roman" w:cs="Times New Roman"/>
                <w:b/>
                <w:i/>
                <w:iCs/>
                <w:color w:val="808080"/>
                <w:kern w:val="0"/>
                <w:sz w:val="22"/>
                <w:szCs w:val="22"/>
                <w:lang w:val="ru-RU" w:eastAsia="ru-RU" w:bidi="ar-SA"/>
              </w:rPr>
              <w:t>-//-</w:t>
            </w:r>
          </w:p>
        </w:tc>
        <w:tc>
          <w:tcPr>
            <w:tcW w:w="1842" w:type="dxa"/>
            <w:tcBorders>
              <w:top w:val="nil"/>
            </w:tcBorders>
            <w:vAlign w:val="center"/>
          </w:tcPr>
          <w:p>
            <w:pPr>
              <w:pStyle w:val="Normal"/>
              <w:widowControl w:val="false"/>
              <w:suppressAutoHyphens w:val="true"/>
              <w:spacing w:before="0" w:after="0"/>
              <w:jc w:val="center"/>
              <w:rPr>
                <w:sz w:val="22"/>
                <w:szCs w:val="22"/>
              </w:rPr>
            </w:pPr>
            <w:r>
              <w:rPr>
                <w:sz w:val="22"/>
                <w:szCs w:val="22"/>
              </w:rPr>
            </w:r>
          </w:p>
        </w:tc>
      </w:tr>
      <w:tr>
        <w:trPr/>
        <w:tc>
          <w:tcPr>
            <w:tcW w:w="674" w:type="dxa"/>
            <w:tcBorders/>
            <w:vAlign w:val="center"/>
          </w:tcPr>
          <w:p>
            <w:pPr>
              <w:pStyle w:val="Normal"/>
              <w:widowControl w:val="false"/>
              <w:suppressAutoHyphens w:val="true"/>
              <w:spacing w:before="60" w:after="0"/>
              <w:ind w:hanging="0" w:right="-109"/>
              <w:jc w:val="left"/>
              <w:rPr>
                <w:sz w:val="22"/>
                <w:szCs w:val="22"/>
              </w:rPr>
            </w:pPr>
            <w:r>
              <w:rPr>
                <w:rFonts w:eastAsia="Times New Roman" w:cs="Times New Roman"/>
                <w:b/>
                <w:kern w:val="0"/>
                <w:sz w:val="22"/>
                <w:szCs w:val="22"/>
                <w:shd w:fill="auto" w:val="clear"/>
                <w:lang w:val="ru-RU" w:eastAsia="ru-RU" w:bidi="ar-SA"/>
              </w:rPr>
              <w:t>3.</w:t>
            </w:r>
          </w:p>
        </w:tc>
        <w:tc>
          <w:tcPr>
            <w:tcW w:w="13892" w:type="dxa"/>
            <w:gridSpan w:val="6"/>
            <w:tcBorders/>
          </w:tcPr>
          <w:p>
            <w:pPr>
              <w:pStyle w:val="Normal"/>
              <w:widowControl w:val="false"/>
              <w:suppressAutoHyphens w:val="true"/>
              <w:spacing w:before="0" w:after="0"/>
              <w:jc w:val="left"/>
              <w:rPr>
                <w:sz w:val="22"/>
                <w:szCs w:val="22"/>
              </w:rPr>
            </w:pPr>
            <w:r>
              <w:rPr>
                <w:rFonts w:eastAsia="Times New Roman" w:cs="Times New Roman"/>
                <w:b/>
                <w:kern w:val="0"/>
                <w:sz w:val="22"/>
                <w:szCs w:val="22"/>
                <w:shd w:fill="auto" w:val="clear"/>
                <w:lang w:val="ru-RU" w:eastAsia="ru-RU" w:bidi="ar-SA"/>
              </w:rPr>
              <w:t>Требования к поставляемой продукции</w:t>
            </w:r>
          </w:p>
        </w:tc>
      </w:tr>
      <w:tr>
        <w:trPr/>
        <w:tc>
          <w:tcPr>
            <w:tcW w:w="674" w:type="dxa"/>
            <w:tcBorders/>
            <w:vAlign w:val="center"/>
          </w:tcPr>
          <w:p>
            <w:pPr>
              <w:pStyle w:val="Normal"/>
              <w:widowControl w:val="false"/>
              <w:suppressAutoHyphens w:val="true"/>
              <w:spacing w:before="60" w:after="0"/>
              <w:ind w:hanging="0" w:right="-109"/>
              <w:jc w:val="left"/>
              <w:rPr>
                <w:sz w:val="22"/>
                <w:szCs w:val="22"/>
              </w:rPr>
            </w:pPr>
            <w:r>
              <w:rPr>
                <w:rFonts w:eastAsia="Times New Roman" w:cs="Times New Roman"/>
                <w:kern w:val="0"/>
                <w:sz w:val="22"/>
                <w:szCs w:val="22"/>
                <w:shd w:fill="auto" w:val="clear"/>
                <w:lang w:val="ru-RU" w:eastAsia="ru-RU" w:bidi="ar-SA"/>
              </w:rPr>
              <w:t>3.1.</w:t>
            </w:r>
          </w:p>
        </w:tc>
        <w:tc>
          <w:tcPr>
            <w:tcW w:w="3262" w:type="dxa"/>
            <w:gridSpan w:val="2"/>
            <w:tcBorders/>
            <w:vAlign w:val="center"/>
          </w:tcPr>
          <w:p>
            <w:pPr>
              <w:pStyle w:val="Normal"/>
              <w:widowControl w:val="false"/>
              <w:suppressAutoHyphens w:val="true"/>
              <w:spacing w:before="0" w:after="0"/>
              <w:ind w:hanging="0" w:right="145"/>
              <w:jc w:val="left"/>
              <w:rPr>
                <w:sz w:val="22"/>
                <w:szCs w:val="22"/>
              </w:rPr>
            </w:pPr>
            <w:r>
              <w:rPr>
                <w:rFonts w:eastAsia="Times New Roman" w:cs="Times New Roman"/>
                <w:kern w:val="0"/>
                <w:sz w:val="22"/>
                <w:szCs w:val="22"/>
                <w:shd w:fill="auto" w:val="clear"/>
                <w:lang w:val="ru-RU" w:eastAsia="ru-RU" w:bidi="ar-SA"/>
              </w:rPr>
              <w:t>Требования к году выпуска</w:t>
            </w:r>
          </w:p>
        </w:tc>
        <w:tc>
          <w:tcPr>
            <w:tcW w:w="4394" w:type="dxa"/>
            <w:tcBorders/>
            <w:vAlign w:val="center"/>
          </w:tcPr>
          <w:p>
            <w:pPr>
              <w:pStyle w:val="Normal"/>
              <w:widowControl w:val="false"/>
              <w:suppressAutoHyphens w:val="true"/>
              <w:spacing w:before="0" w:after="0"/>
              <w:jc w:val="left"/>
              <w:rPr>
                <w:sz w:val="22"/>
                <w:szCs w:val="22"/>
              </w:rPr>
            </w:pPr>
            <w:r>
              <w:rPr>
                <w:rFonts w:eastAsia="Calibri" w:cs="Times New Roman"/>
                <w:kern w:val="0"/>
                <w:sz w:val="22"/>
                <w:szCs w:val="22"/>
                <w:lang w:val="ru-RU" w:eastAsia="en-US" w:bidi="ar-SA"/>
              </w:rPr>
              <w:t xml:space="preserve">Продукция должна быть новой, ранее неиспользованной, произведенной </w:t>
            </w:r>
            <w:r>
              <w:rPr>
                <w:rFonts w:eastAsia="Calibri" w:cs="Times New Roman"/>
                <w:b/>
                <w:bCs/>
                <w:i/>
                <w:iCs/>
                <w:kern w:val="0"/>
                <w:sz w:val="22"/>
                <w:szCs w:val="22"/>
                <w:lang w:val="ru-RU" w:eastAsia="en-US" w:bidi="ar-SA"/>
              </w:rPr>
              <w:t>не ранее 2025</w:t>
            </w:r>
            <w:r>
              <w:rPr>
                <w:rFonts w:eastAsia="Calibri" w:cs="Times New Roman"/>
                <w:kern w:val="0"/>
                <w:sz w:val="22"/>
                <w:szCs w:val="22"/>
                <w:lang w:val="ru-RU" w:eastAsia="en-US" w:bidi="ar-SA"/>
              </w:rPr>
              <w:t xml:space="preserve"> года.</w:t>
            </w:r>
          </w:p>
        </w:tc>
        <w:tc>
          <w:tcPr>
            <w:tcW w:w="1843" w:type="dxa"/>
            <w:tcBorders/>
            <w:vAlign w:val="center"/>
          </w:tcPr>
          <w:p>
            <w:pPr>
              <w:pStyle w:val="Normal"/>
              <w:widowControl w:val="false"/>
              <w:suppressAutoHyphens w:val="true"/>
              <w:spacing w:before="0" w:after="0"/>
              <w:jc w:val="center"/>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Согласие с требованием</w:t>
            </w:r>
          </w:p>
        </w:tc>
        <w:tc>
          <w:tcPr>
            <w:tcW w:w="2551" w:type="dxa"/>
            <w:tcBorders/>
            <w:vAlign w:val="center"/>
          </w:tcPr>
          <w:p>
            <w:pPr>
              <w:pStyle w:val="Normal"/>
              <w:widowControl w:val="false"/>
              <w:suppressAutoHyphens w:val="true"/>
              <w:spacing w:before="0" w:after="0"/>
              <w:jc w:val="center"/>
              <w:rPr>
                <w:rFonts w:ascii="Times New Roman" w:hAnsi="Times New Roman" w:eastAsia="Times New Roman" w:cs="Times New Roman"/>
                <w:b/>
                <w:i/>
                <w:i/>
                <w:iCs/>
                <w:color w:val="808080"/>
                <w:kern w:val="0"/>
                <w:sz w:val="22"/>
                <w:szCs w:val="22"/>
                <w:lang w:val="ru-RU" w:eastAsia="ru-RU" w:bidi="ar-SA"/>
              </w:rPr>
            </w:pPr>
            <w:r>
              <w:rPr>
                <w:rFonts w:eastAsia="Times New Roman" w:cs="Times New Roman"/>
                <w:b/>
                <w:i/>
                <w:iCs/>
                <w:color w:val="808080"/>
                <w:kern w:val="0"/>
                <w:sz w:val="22"/>
                <w:szCs w:val="22"/>
                <w:lang w:val="ru-RU" w:eastAsia="ru-RU" w:bidi="ar-SA"/>
              </w:rPr>
              <w:t>-//-</w:t>
            </w:r>
          </w:p>
        </w:tc>
        <w:tc>
          <w:tcPr>
            <w:tcW w:w="1842" w:type="dxa"/>
            <w:tcBorders/>
            <w:vAlign w:val="center"/>
          </w:tcPr>
          <w:p>
            <w:pPr>
              <w:pStyle w:val="Normal"/>
              <w:widowControl w:val="false"/>
              <w:suppressAutoHyphens w:val="true"/>
              <w:spacing w:before="0" w:after="0"/>
              <w:jc w:val="center"/>
              <w:rPr>
                <w:sz w:val="22"/>
                <w:szCs w:val="22"/>
              </w:rPr>
            </w:pPr>
            <w:r>
              <w:rPr>
                <w:sz w:val="22"/>
                <w:szCs w:val="22"/>
              </w:rPr>
            </w:r>
          </w:p>
        </w:tc>
      </w:tr>
      <w:tr>
        <w:trPr/>
        <w:tc>
          <w:tcPr>
            <w:tcW w:w="674" w:type="dxa"/>
            <w:tcBorders>
              <w:top w:val="nil"/>
            </w:tcBorders>
            <w:vAlign w:val="center"/>
          </w:tcPr>
          <w:p>
            <w:pPr>
              <w:pStyle w:val="Normal"/>
              <w:widowControl w:val="false"/>
              <w:suppressAutoHyphens w:val="true"/>
              <w:spacing w:before="60" w:after="0"/>
              <w:ind w:hanging="0" w:right="-109"/>
              <w:jc w:val="left"/>
              <w:rPr>
                <w:rFonts w:ascii="Times New Roman" w:hAnsi="Times New Roman" w:eastAsia="Times New Roman" w:cs="Times New Roman"/>
                <w:color w:val="auto"/>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3.2.</w:t>
            </w:r>
          </w:p>
        </w:tc>
        <w:tc>
          <w:tcPr>
            <w:tcW w:w="3262" w:type="dxa"/>
            <w:gridSpan w:val="2"/>
            <w:tcBorders>
              <w:top w:val="nil"/>
            </w:tcBorders>
            <w:vAlign w:val="center"/>
          </w:tcPr>
          <w:p>
            <w:pPr>
              <w:pStyle w:val="Normal"/>
              <w:widowControl w:val="false"/>
              <w:spacing w:before="0" w:after="0"/>
              <w:jc w:val="left"/>
              <w:rPr/>
            </w:pPr>
            <w:r>
              <w:rPr>
                <w:rFonts w:eastAsia="Times New Roman" w:cs="Times New Roman"/>
                <w:kern w:val="0"/>
                <w:sz w:val="22"/>
                <w:szCs w:val="22"/>
                <w:lang w:val="ru-RU" w:eastAsia="ru-RU" w:bidi="ar-SA"/>
              </w:rPr>
              <w:t>Требования к оформлению документов заявки, в случае предложения Участниками эквивалента</w:t>
            </w:r>
          </w:p>
        </w:tc>
        <w:tc>
          <w:tcPr>
            <w:tcW w:w="4394" w:type="dxa"/>
            <w:tcBorders>
              <w:top w:val="nil"/>
            </w:tcBorders>
            <w:vAlign w:val="center"/>
          </w:tcPr>
          <w:p>
            <w:pPr>
              <w:pStyle w:val="Normal"/>
              <w:widowControl w:val="false"/>
              <w:spacing w:before="0" w:after="0"/>
              <w:jc w:val="left"/>
              <w:rPr/>
            </w:pPr>
            <w:r>
              <w:rPr>
                <w:rFonts w:eastAsia="Times New Roman" w:cs="Times New Roman"/>
                <w:kern w:val="0"/>
                <w:sz w:val="22"/>
                <w:szCs w:val="22"/>
                <w:lang w:val="ru-RU" w:eastAsia="ru-RU" w:bidi="ar-SA"/>
              </w:rPr>
              <w:t>Допускаются эквиваленты при условии соответствия технических характеристик и качества заявляемой продукции. Участник должен принять во внимание, что ссылка на марку (тип) продукции, носит описательный, а не обязательный характер. В случае если Участником предлагаются эквиваленты требуемой Заказчику продукции,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w:t>
            </w:r>
          </w:p>
          <w:p>
            <w:pPr>
              <w:pStyle w:val="Normal"/>
              <w:widowControl w:val="false"/>
              <w:spacing w:before="0" w:after="0"/>
              <w:jc w:val="left"/>
              <w:rPr/>
            </w:pPr>
            <w:r>
              <w:rPr>
                <w:rFonts w:eastAsia="Times New Roman" w:cs="Times New Roman"/>
                <w:kern w:val="0"/>
                <w:sz w:val="22"/>
                <w:szCs w:val="22"/>
                <w:lang w:val="ru-RU" w:eastAsia="ru-RU" w:bidi="ar-SA"/>
              </w:rPr>
              <w:t>Эквивалентная продукция - это продукция, которая по техническим и функциональным характеристикам не уступает характеристикам, заявленным в документации о закупке, в том числе по гарантийным срокам и срокам эксплуатации.</w:t>
            </w:r>
          </w:p>
          <w:p>
            <w:pPr>
              <w:pStyle w:val="Normal"/>
              <w:widowControl w:val="false"/>
              <w:spacing w:before="0" w:after="0"/>
              <w:jc w:val="left"/>
              <w:rPr/>
            </w:pPr>
            <w:r>
              <w:rPr>
                <w:rFonts w:eastAsia="Times New Roman" w:cs="Times New Roman"/>
                <w:kern w:val="0"/>
                <w:sz w:val="22"/>
                <w:szCs w:val="22"/>
                <w:lang w:val="ru-RU" w:eastAsia="ru-RU" w:bidi="ar-SA"/>
              </w:rPr>
              <w:t xml:space="preserve">Параметрами эквивалентности являются ГОСТ, стандарты и марки, указанные в </w:t>
            </w:r>
            <w:r>
              <w:rPr>
                <w:rFonts w:eastAsia="Calibri" w:cs="Times New Roman"/>
                <w:b/>
                <w:bCs/>
                <w:i/>
                <w:kern w:val="0"/>
                <w:sz w:val="24"/>
                <w:szCs w:val="24"/>
                <w:lang w:val="ru-RU" w:eastAsia="en-US" w:bidi="ar-SA"/>
              </w:rPr>
              <w:t>таблице № 1.1</w:t>
            </w:r>
            <w:r>
              <w:rPr>
                <w:rFonts w:eastAsia="Times New Roman" w:cs="Times New Roman"/>
                <w:b/>
                <w:i/>
                <w:kern w:val="0"/>
                <w:sz w:val="22"/>
                <w:szCs w:val="22"/>
                <w:lang w:val="ru-RU" w:eastAsia="ru-RU" w:bidi="ar-SA"/>
              </w:rPr>
              <w:t>.</w:t>
            </w:r>
          </w:p>
          <w:p>
            <w:pPr>
              <w:pStyle w:val="Normal"/>
              <w:widowControl w:val="false"/>
              <w:spacing w:before="0" w:after="0"/>
              <w:jc w:val="left"/>
              <w:rPr/>
            </w:pPr>
            <w:r>
              <w:rPr>
                <w:rFonts w:eastAsia="Times New Roman" w:cs="Times New Roman"/>
                <w:kern w:val="0"/>
                <w:sz w:val="22"/>
                <w:szCs w:val="22"/>
                <w:lang w:val="ru-RU" w:eastAsia="ru-RU" w:bidi="ar-SA"/>
              </w:rPr>
              <w:t xml:space="preserve">Для оценки возможности использования предлагаемого эквивалента, предложение Участника должно содержать подробную информацию в объеме, соответствующем требованиям, указанным Заказчиком в </w:t>
            </w:r>
            <w:r>
              <w:rPr>
                <w:rFonts w:eastAsia="Calibri" w:cs="Times New Roman"/>
                <w:b/>
                <w:bCs/>
                <w:i/>
                <w:kern w:val="0"/>
                <w:sz w:val="24"/>
                <w:szCs w:val="24"/>
                <w:lang w:val="ru-RU" w:eastAsia="en-US" w:bidi="ar-SA"/>
              </w:rPr>
              <w:t xml:space="preserve"> таблице № 1.1</w:t>
            </w:r>
            <w:r>
              <w:rPr>
                <w:rFonts w:eastAsia="Times New Roman" w:cs="Times New Roman"/>
                <w:b/>
                <w:i/>
                <w:kern w:val="0"/>
                <w:sz w:val="22"/>
                <w:szCs w:val="22"/>
                <w:lang w:val="ru-RU" w:eastAsia="ru-RU" w:bidi="ar-SA"/>
              </w:rPr>
              <w:t>.</w:t>
            </w:r>
          </w:p>
        </w:tc>
        <w:tc>
          <w:tcPr>
            <w:tcW w:w="1843"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Согласие с требованием</w:t>
            </w:r>
          </w:p>
        </w:tc>
        <w:tc>
          <w:tcPr>
            <w:tcW w:w="2551"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b/>
                <w:i/>
                <w:i/>
                <w:iCs/>
                <w:color w:val="808080"/>
                <w:kern w:val="0"/>
                <w:sz w:val="22"/>
                <w:szCs w:val="22"/>
                <w:lang w:val="ru-RU" w:eastAsia="ru-RU" w:bidi="ar-SA"/>
              </w:rPr>
            </w:pPr>
            <w:r>
              <w:rPr>
                <w:rFonts w:eastAsia="Times New Roman" w:cs="Times New Roman"/>
                <w:b/>
                <w:i/>
                <w:iCs/>
                <w:color w:val="808080"/>
                <w:kern w:val="0"/>
                <w:sz w:val="22"/>
                <w:szCs w:val="22"/>
                <w:lang w:val="ru-RU" w:eastAsia="ru-RU" w:bidi="ar-SA"/>
              </w:rPr>
              <w:t>-//-</w:t>
            </w:r>
          </w:p>
        </w:tc>
        <w:tc>
          <w:tcPr>
            <w:tcW w:w="1842" w:type="dxa"/>
            <w:tcBorders>
              <w:top w:val="nil"/>
            </w:tcBorders>
            <w:vAlign w:val="center"/>
          </w:tcPr>
          <w:p>
            <w:pPr>
              <w:pStyle w:val="Normal"/>
              <w:widowControl w:val="false"/>
              <w:suppressAutoHyphens w:val="true"/>
              <w:spacing w:before="0" w:after="0"/>
              <w:jc w:val="center"/>
              <w:rPr>
                <w:sz w:val="22"/>
                <w:szCs w:val="22"/>
              </w:rPr>
            </w:pPr>
            <w:r>
              <w:rPr>
                <w:sz w:val="22"/>
                <w:szCs w:val="22"/>
              </w:rPr>
            </w:r>
          </w:p>
        </w:tc>
      </w:tr>
      <w:tr>
        <w:trPr/>
        <w:tc>
          <w:tcPr>
            <w:tcW w:w="674" w:type="dxa"/>
            <w:tcBorders>
              <w:top w:val="nil"/>
            </w:tcBorders>
            <w:vAlign w:val="center"/>
          </w:tcPr>
          <w:p>
            <w:pPr>
              <w:pStyle w:val="Normal"/>
              <w:widowControl w:val="false"/>
              <w:suppressAutoHyphens w:val="true"/>
              <w:spacing w:before="60" w:after="0"/>
              <w:ind w:hanging="0" w:right="-109"/>
              <w:jc w:val="left"/>
              <w:rPr>
                <w:rFonts w:ascii="Times New Roman" w:hAnsi="Times New Roman" w:eastAsia="Times New Roman" w:cs="Times New Roman"/>
                <w:b/>
                <w:color w:val="auto"/>
                <w:kern w:val="0"/>
                <w:sz w:val="22"/>
                <w:szCs w:val="22"/>
                <w:shd w:fill="auto" w:val="clear"/>
                <w:lang w:val="ru-RU" w:eastAsia="ru-RU" w:bidi="ar-SA"/>
              </w:rPr>
            </w:pPr>
            <w:r>
              <w:rPr>
                <w:rFonts w:eastAsia="Times New Roman" w:cs="Times New Roman"/>
                <w:b/>
                <w:color w:val="000000"/>
                <w:kern w:val="0"/>
                <w:sz w:val="22"/>
                <w:szCs w:val="22"/>
                <w:shd w:fill="auto" w:val="clear"/>
                <w:lang w:val="ru-RU" w:eastAsia="ru-RU" w:bidi="ar-SA"/>
              </w:rPr>
              <w:t>4.</w:t>
            </w:r>
          </w:p>
        </w:tc>
        <w:tc>
          <w:tcPr>
            <w:tcW w:w="13892" w:type="dxa"/>
            <w:gridSpan w:val="6"/>
            <w:tcBorders>
              <w:top w:val="nil"/>
            </w:tcBorders>
            <w:vAlign w:val="center"/>
          </w:tcPr>
          <w:p>
            <w:pPr>
              <w:pStyle w:val="Normal"/>
              <w:widowControl w:val="false"/>
              <w:suppressAutoHyphens w:val="true"/>
              <w:spacing w:before="0" w:after="0"/>
              <w:jc w:val="left"/>
              <w:rPr>
                <w:rFonts w:ascii="Times New Roman" w:hAnsi="Times New Roman" w:eastAsia="Times New Roman" w:cs="Times New Roman"/>
                <w:b/>
                <w:color w:val="auto"/>
                <w:kern w:val="0"/>
                <w:sz w:val="22"/>
                <w:szCs w:val="22"/>
                <w:shd w:fill="auto" w:val="clear"/>
                <w:lang w:val="ru-RU" w:eastAsia="ru-RU" w:bidi="ar-SA"/>
              </w:rPr>
            </w:pPr>
            <w:r>
              <w:rPr>
                <w:rFonts w:eastAsia="Times New Roman" w:cs="Times New Roman"/>
                <w:b/>
                <w:color w:val="000000"/>
                <w:kern w:val="0"/>
                <w:sz w:val="22"/>
                <w:szCs w:val="22"/>
                <w:shd w:fill="auto" w:val="clear"/>
                <w:lang w:val="ru-RU" w:eastAsia="ru-RU" w:bidi="ar-SA"/>
              </w:rPr>
              <w:t>Требования к техническим и функциональным характеристикам</w:t>
            </w:r>
          </w:p>
        </w:tc>
      </w:tr>
      <w:tr>
        <w:trPr/>
        <w:tc>
          <w:tcPr>
            <w:tcW w:w="674" w:type="dxa"/>
            <w:tcBorders>
              <w:top w:val="nil"/>
            </w:tcBorders>
            <w:vAlign w:val="center"/>
          </w:tcPr>
          <w:p>
            <w:pPr>
              <w:pStyle w:val="Normal"/>
              <w:widowControl w:val="false"/>
              <w:suppressAutoHyphens w:val="true"/>
              <w:spacing w:before="60" w:after="0"/>
              <w:ind w:hanging="0" w:right="-109"/>
              <w:jc w:val="left"/>
              <w:rPr>
                <w:rFonts w:ascii="Times New Roman" w:hAnsi="Times New Roman" w:eastAsia="Times New Roman" w:cs="Times New Roman"/>
                <w:color w:val="auto"/>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4.1.</w:t>
            </w:r>
          </w:p>
        </w:tc>
        <w:tc>
          <w:tcPr>
            <w:tcW w:w="7656" w:type="dxa"/>
            <w:gridSpan w:val="3"/>
            <w:tcBorders>
              <w:top w:val="nil"/>
            </w:tcBorders>
            <w:vAlign w:val="center"/>
          </w:tcPr>
          <w:p>
            <w:pPr>
              <w:pStyle w:val="Normal"/>
              <w:widowControl w:val="false"/>
              <w:suppressAutoHyphens w:val="true"/>
              <w:spacing w:before="0" w:after="0"/>
              <w:ind w:hanging="0" w:right="145"/>
              <w:jc w:val="left"/>
              <w:rPr>
                <w:sz w:val="22"/>
                <w:szCs w:val="22"/>
              </w:rPr>
            </w:pPr>
            <w:r>
              <w:rPr>
                <w:sz w:val="22"/>
                <w:szCs w:val="22"/>
              </w:rPr>
              <w:t>Оборудование должно быть серийного производства и соответствовать техническим требованиям, ГОСТ, ПУЭ, ТУ, руководствам (инструкциям) по эксплуатации завода-изготовителя, техническому описанию, а также техническим требованиям указанным в таблице 1.1 данных технических требований, а так же указанным в Приложениях № 1.1</w:t>
            </w:r>
          </w:p>
        </w:tc>
        <w:tc>
          <w:tcPr>
            <w:tcW w:w="1843" w:type="dxa"/>
            <w:tcBorders>
              <w:top w:val="nil"/>
            </w:tcBorders>
            <w:vAlign w:val="center"/>
          </w:tcPr>
          <w:p>
            <w:pPr>
              <w:pStyle w:val="Normal"/>
              <w:widowControl w:val="false"/>
              <w:suppressAutoHyphens w:val="true"/>
              <w:spacing w:before="0" w:after="0"/>
              <w:jc w:val="center"/>
              <w:rPr>
                <w:b/>
                <w:sz w:val="22"/>
                <w:szCs w:val="22"/>
              </w:rPr>
            </w:pPr>
            <w:r>
              <w:rPr>
                <w:rFonts w:eastAsia="Times New Roman" w:cs="Times New Roman"/>
                <w:i/>
                <w:iCs/>
                <w:color w:val="808080"/>
                <w:kern w:val="0"/>
                <w:sz w:val="22"/>
                <w:szCs w:val="22"/>
                <w:shd w:fill="auto" w:val="clear"/>
                <w:lang w:val="ru-RU" w:eastAsia="ru-RU" w:bidi="ar-SA"/>
              </w:rPr>
              <w:t>Предоставить заполненные приложения</w:t>
            </w:r>
          </w:p>
        </w:tc>
        <w:tc>
          <w:tcPr>
            <w:tcW w:w="2551"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b/>
                <w:i/>
                <w:i/>
                <w:iCs/>
                <w:color w:val="808080"/>
                <w:kern w:val="0"/>
                <w:sz w:val="22"/>
                <w:szCs w:val="22"/>
                <w:lang w:val="ru-RU" w:eastAsia="ru-RU" w:bidi="ar-SA"/>
              </w:rPr>
            </w:pPr>
            <w:r>
              <w:rPr>
                <w:rFonts w:eastAsia="Times New Roman" w:cs="Times New Roman"/>
                <w:b/>
                <w:i/>
                <w:iCs/>
                <w:color w:val="808080"/>
                <w:kern w:val="0"/>
                <w:sz w:val="22"/>
                <w:szCs w:val="22"/>
                <w:lang w:val="ru-RU" w:eastAsia="ru-RU" w:bidi="ar-SA"/>
              </w:rPr>
              <w:t>-//-</w:t>
            </w:r>
          </w:p>
        </w:tc>
        <w:tc>
          <w:tcPr>
            <w:tcW w:w="1842"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r>
          </w:p>
        </w:tc>
      </w:tr>
      <w:tr>
        <w:trPr/>
        <w:tc>
          <w:tcPr>
            <w:tcW w:w="674" w:type="dxa"/>
            <w:tcBorders>
              <w:top w:val="nil"/>
            </w:tcBorders>
            <w:vAlign w:val="center"/>
          </w:tcPr>
          <w:p>
            <w:pPr>
              <w:pStyle w:val="Normal"/>
              <w:widowControl w:val="false"/>
              <w:suppressAutoHyphens w:val="true"/>
              <w:spacing w:before="60" w:after="0"/>
              <w:ind w:hanging="0" w:right="-109"/>
              <w:jc w:val="left"/>
              <w:rPr>
                <w:rFonts w:ascii="Times New Roman" w:hAnsi="Times New Roman" w:eastAsia="Times New Roman" w:cs="Times New Roman"/>
                <w:color w:val="auto"/>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4.2.</w:t>
            </w:r>
          </w:p>
        </w:tc>
        <w:tc>
          <w:tcPr>
            <w:tcW w:w="3225" w:type="dxa"/>
            <w:tcBorders>
              <w:top w:val="nil"/>
              <w:right w:val="nil"/>
            </w:tcBorders>
            <w:vAlign w:val="center"/>
          </w:tcPr>
          <w:p>
            <w:pPr>
              <w:pStyle w:val="Normal"/>
              <w:widowControl w:val="false"/>
              <w:ind w:hanging="0" w:left="0" w:right="-109"/>
              <w:jc w:val="left"/>
              <w:rPr>
                <w:rFonts w:ascii="Liberation Serif" w:hAnsi="Liberation Serif" w:cs="Liberation Serif;Times New Roman"/>
                <w:i w:val="false"/>
                <w:i w:val="false"/>
                <w:iCs w:val="false"/>
                <w:sz w:val="24"/>
                <w:szCs w:val="24"/>
              </w:rPr>
            </w:pPr>
            <w:r>
              <w:rPr>
                <w:rFonts w:cs="Liberation Serif;Times New Roman" w:ascii="Liberation Serif" w:hAnsi="Liberation Serif"/>
                <w:i w:val="false"/>
                <w:iCs w:val="false"/>
                <w:sz w:val="24"/>
                <w:szCs w:val="24"/>
              </w:rPr>
              <w:t>Требования к происхождению поставляемой продукции</w:t>
            </w:r>
          </w:p>
        </w:tc>
        <w:tc>
          <w:tcPr>
            <w:tcW w:w="4431" w:type="dxa"/>
            <w:gridSpan w:val="2"/>
            <w:tcBorders>
              <w:top w:val="nil"/>
            </w:tcBorders>
            <w:vAlign w:val="center"/>
          </w:tcPr>
          <w:p>
            <w:pPr>
              <w:pStyle w:val="Normal"/>
              <w:widowControl w:val="false"/>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В соответствии с Постановлением Правительства РФ от 23.12.2024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pPr>
              <w:pStyle w:val="Normal"/>
              <w:widowControl w:val="false"/>
              <w:jc w:val="both"/>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r>
          </w:p>
          <w:p>
            <w:pPr>
              <w:pStyle w:val="Normal"/>
              <w:widowControl w:val="false"/>
              <w:jc w:val="both"/>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Все заявки на участие в закупке, содержащие предложения о поставке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заявка, содержащая предложение о поставке товара российского происхождения</w:t>
            </w:r>
          </w:p>
        </w:tc>
        <w:tc>
          <w:tcPr>
            <w:tcW w:w="1843" w:type="dxa"/>
            <w:tcBorders>
              <w:top w:val="nil"/>
            </w:tcBorders>
            <w:vAlign w:val="center"/>
          </w:tcPr>
          <w:p>
            <w:pPr>
              <w:pStyle w:val="Normal"/>
              <w:widowControl w:val="false"/>
              <w:jc w:val="center"/>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Согласие с требованием</w:t>
            </w:r>
          </w:p>
        </w:tc>
        <w:tc>
          <w:tcPr>
            <w:tcW w:w="2551" w:type="dxa"/>
            <w:tcBorders>
              <w:top w:val="nil"/>
            </w:tcBorders>
            <w:vAlign w:val="center"/>
          </w:tcPr>
          <w:p>
            <w:pPr>
              <w:pStyle w:val="Normal"/>
              <w:widowControl w:val="false"/>
              <w:jc w:val="left"/>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В составе заявки необходимо представить:</w:t>
            </w:r>
          </w:p>
          <w:p>
            <w:pPr>
              <w:pStyle w:val="Normal"/>
              <w:widowControl w:val="false"/>
              <w:jc w:val="left"/>
              <w:rPr>
                <w:rFonts w:ascii="Times New Roman" w:hAnsi="Times New Roman" w:eastAsia="Times New Roman" w:cs="Times New Roman"/>
                <w:i/>
                <w:i/>
                <w:iCs/>
                <w:color w:val="808080"/>
                <w:kern w:val="0"/>
                <w:sz w:val="22"/>
                <w:szCs w:val="22"/>
                <w:shd w:fill="auto" w:val="clear"/>
                <w:lang w:val="ru-RU" w:eastAsia="ru-RU" w:bidi="ar-SA"/>
              </w:rPr>
            </w:pPr>
            <w:r>
              <w:rPr>
                <w:rFonts w:eastAsia="Times New Roman" w:cs="Times New Roman"/>
                <w:i/>
                <w:iCs/>
                <w:color w:val="808080"/>
                <w:kern w:val="0"/>
                <w:sz w:val="22"/>
                <w:szCs w:val="22"/>
                <w:shd w:fill="auto" w:val="clear"/>
                <w:lang w:val="ru-RU" w:eastAsia="ru-RU" w:bidi="ar-SA"/>
              </w:rPr>
              <w:t>Документы и информацию, подтверждающие страну происхождения товара в соответствии с требованиями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1842" w:type="dxa"/>
            <w:tcBorders>
              <w:top w:val="nil"/>
            </w:tcBorders>
            <w:vAlign w:val="center"/>
          </w:tcPr>
          <w:p>
            <w:pPr>
              <w:pStyle w:val="Normal"/>
              <w:widowControl w:val="false"/>
              <w:suppressAutoHyphens w:val="true"/>
              <w:spacing w:before="0" w:after="0"/>
              <w:jc w:val="center"/>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r>
          </w:p>
        </w:tc>
      </w:tr>
    </w:tbl>
    <w:p>
      <w:pPr>
        <w:pStyle w:val="Heading4"/>
        <w:numPr>
          <w:ilvl w:val="0"/>
          <w:numId w:val="0"/>
        </w:numPr>
        <w:suppressAutoHyphens w:val="true"/>
        <w:spacing w:before="120" w:after="0"/>
        <w:ind w:hanging="0" w:left="432"/>
        <w:rPr/>
      </w:pPr>
      <w:bookmarkStart w:id="37" w:name="__RefHeading___Toc89663_1475472420"/>
      <w:bookmarkEnd w:id="37"/>
      <w:r/>
      <w:r>
        <w:rPr>
          <w:sz w:val="22"/>
          <w:szCs w:val="22"/>
          <w:shd w:fill="auto" w:val="clear"/>
        </w:rPr>
        <w:t xml:space="preserve">3. </w:t>
      </w:r>
      <w:bookmarkStart w:id="38" w:name="_Toc75446581"/>
      <w:bookmarkStart w:id="39" w:name="_Toc75446583_Копия_1"/>
      <w:bookmarkStart w:id="40" w:name="_Toc53393312_Копия_1"/>
      <w:r>
        <w:rPr>
          <w:sz w:val="22"/>
          <w:szCs w:val="22"/>
          <w:shd w:fill="auto" w:val="clear"/>
          <w:lang w:val="ru-RU"/>
        </w:rPr>
        <w:t>Требования к документации по ценообразованию</w:t>
      </w:r>
      <w:bookmarkEnd w:id="40"/>
      <w:r>
        <w:rPr>
          <w:sz w:val="22"/>
          <w:szCs w:val="22"/>
          <w:shd w:fill="auto" w:val="clear"/>
          <w:lang w:val="ru-RU"/>
        </w:rPr>
        <w:t xml:space="preserve"> на этапе закупки</w:t>
      </w:r>
      <w:bookmarkStart w:id="41" w:name="_Toc51339698"/>
      <w:bookmarkEnd w:id="38"/>
      <w:bookmarkEnd w:id="39"/>
    </w:p>
    <w:p>
      <w:pPr>
        <w:pStyle w:val="Heading1"/>
        <w:keepLines/>
        <w:numPr>
          <w:ilvl w:val="0"/>
          <w:numId w:val="0"/>
        </w:numPr>
        <w:suppressAutoHyphens w:val="true"/>
        <w:spacing w:before="240" w:after="0"/>
        <w:ind w:hanging="0" w:left="0"/>
        <w:rPr>
          <w:rFonts w:eastAsia="Calibri"/>
          <w:i/>
          <w:i/>
          <w:sz w:val="22"/>
          <w:szCs w:val="22"/>
          <w:lang w:eastAsia="x-none"/>
        </w:rPr>
      </w:pPr>
      <w:r>
        <w:rPr>
          <w:rFonts w:eastAsia="Calibri"/>
          <w:i/>
          <w:sz w:val="22"/>
          <w:szCs w:val="22"/>
          <w:lang w:eastAsia="x-none"/>
        </w:rPr>
      </w:r>
      <w:bookmarkEnd w:id="41"/>
    </w:p>
    <w:p>
      <w:pPr>
        <w:pStyle w:val="Normal"/>
        <w:suppressAutoHyphens w:val="true"/>
        <w:jc w:val="both"/>
        <w:rPr/>
      </w:pPr>
      <w:bookmarkStart w:id="42" w:name="_Toc75446583"/>
      <w:bookmarkStart w:id="43" w:name="_Toc53393312"/>
      <w:r>
        <w:rPr>
          <w:sz w:val="22"/>
          <w:szCs w:val="22"/>
          <w:lang w:val="ru-RU"/>
        </w:rPr>
        <w:t>Требования к документации по ценообразованию</w:t>
      </w:r>
      <w:bookmarkEnd w:id="43"/>
      <w:r>
        <w:rPr>
          <w:sz w:val="22"/>
          <w:szCs w:val="22"/>
          <w:lang w:val="ru-RU"/>
        </w:rPr>
        <w:t xml:space="preserve"> на этапе закупки</w:t>
      </w:r>
      <w:bookmarkEnd w:id="42"/>
    </w:p>
    <w:p>
      <w:pPr>
        <w:pStyle w:val="Normal"/>
        <w:tabs>
          <w:tab w:val="clear" w:pos="708"/>
          <w:tab w:val="left" w:pos="1134" w:leader="none"/>
        </w:tabs>
        <w:suppressAutoHyphens w:val="true"/>
        <w:ind w:firstLine="567" w:right="593"/>
        <w:jc w:val="both"/>
        <w:rPr/>
      </w:pPr>
      <w:r>
        <w:rPr>
          <w:bCs/>
          <w:iCs/>
          <w:sz w:val="22"/>
          <w:szCs w:val="22"/>
          <w:lang w:eastAsia="x-none"/>
        </w:rPr>
        <w:t xml:space="preserve">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 Участник должен в форме коммерческого предложения указать Производителя предлагаемой продукции. </w:t>
      </w:r>
    </w:p>
    <w:p>
      <w:pPr>
        <w:pStyle w:val="Normal"/>
        <w:suppressAutoHyphens w:val="true"/>
        <w:ind w:firstLine="567" w:right="593"/>
        <w:jc w:val="both"/>
        <w:rPr/>
      </w:pPr>
      <w:r>
        <w:rPr>
          <w:bCs/>
          <w:iCs/>
          <w:sz w:val="22"/>
          <w:szCs w:val="22"/>
          <w:lang w:eastAsia="x-none"/>
        </w:rPr>
        <w:t>3.2.</w:t>
      </w:r>
      <w:r>
        <w:rPr>
          <w:sz w:val="22"/>
          <w:szCs w:val="22"/>
        </w:rPr>
        <w:t xml:space="preserve"> Все цены в предложении должны включать все налоги, транспортные расходы и другие обязательные платежи, стоимость всех сопутствующих работ (услуг), а также все скидки, предлагаемые участником.</w:t>
      </w:r>
    </w:p>
    <w:p>
      <w:pPr>
        <w:pStyle w:val="Normal"/>
        <w:suppressAutoHyphens w:val="true"/>
        <w:ind w:firstLine="567" w:right="593"/>
        <w:jc w:val="both"/>
        <w:rPr>
          <w:sz w:val="22"/>
          <w:szCs w:val="22"/>
        </w:rPr>
      </w:pPr>
      <w:r>
        <w:rPr>
          <w:sz w:val="22"/>
          <w:szCs w:val="22"/>
        </w:rPr>
      </w:r>
    </w:p>
    <w:p>
      <w:pPr>
        <w:pStyle w:val="Normal"/>
        <w:suppressAutoHyphens w:val="true"/>
        <w:ind w:firstLine="567" w:right="593"/>
        <w:jc w:val="both"/>
        <w:rPr>
          <w:sz w:val="22"/>
          <w:szCs w:val="22"/>
        </w:rPr>
      </w:pPr>
      <w:r>
        <w:rPr>
          <w:sz w:val="22"/>
          <w:szCs w:val="22"/>
        </w:rPr>
      </w:r>
    </w:p>
    <w:p>
      <w:pPr>
        <w:pStyle w:val="Normal"/>
        <w:suppressAutoHyphens w:val="true"/>
        <w:ind w:firstLine="567" w:right="593"/>
        <w:jc w:val="both"/>
        <w:rPr>
          <w:rFonts w:ascii="Times New Roman" w:hAnsi="Times New Roman" w:eastAsia="Calibri" w:cs="Times New Roman"/>
          <w:b/>
          <w:bCs/>
          <w:color w:val="auto"/>
          <w:kern w:val="0"/>
          <w:sz w:val="22"/>
          <w:szCs w:val="22"/>
          <w:shd w:fill="auto" w:val="clear"/>
          <w:lang w:val="ru-RU" w:eastAsia="x-none" w:bidi="ar-SA"/>
        </w:rPr>
      </w:pPr>
      <w:r>
        <w:rPr>
          <w:rFonts w:eastAsia="Calibri" w:cs="Times New Roman"/>
          <w:b/>
          <w:bCs/>
          <w:color w:val="000000"/>
          <w:kern w:val="0"/>
          <w:sz w:val="22"/>
          <w:szCs w:val="22"/>
          <w:shd w:fill="auto" w:val="clear"/>
          <w:lang w:val="ru-RU" w:eastAsia="x-none" w:bidi="ar-SA"/>
        </w:rPr>
        <w:t>4. ПРИЛОЖЕНИЕ</w:t>
      </w:r>
    </w:p>
    <w:p>
      <w:pPr>
        <w:pStyle w:val="Normal"/>
        <w:suppressAutoHyphens w:val="true"/>
        <w:ind w:firstLine="567" w:right="593"/>
        <w:jc w:val="both"/>
        <w:rPr>
          <w:b/>
          <w:bCs/>
          <w:sz w:val="22"/>
          <w:szCs w:val="22"/>
        </w:rPr>
      </w:pPr>
      <w:r>
        <w:rPr>
          <w:b/>
          <w:bCs/>
          <w:sz w:val="22"/>
          <w:szCs w:val="22"/>
        </w:rPr>
        <w:t xml:space="preserve">Приложение № 1 — </w:t>
      </w:r>
      <w:r>
        <w:rPr>
          <w:b/>
          <w:bCs/>
          <w:sz w:val="22"/>
          <w:szCs w:val="22"/>
        </w:rPr>
        <w:t>Опросный лист</w:t>
      </w:r>
    </w:p>
    <w:sectPr>
      <w:headerReference w:type="even" r:id="rId2"/>
      <w:headerReference w:type="default" r:id="rId3"/>
      <w:headerReference w:type="first" r:id="rId4"/>
      <w:type w:val="nextPage"/>
      <w:pgSz w:orient="landscape" w:w="16838" w:h="11906"/>
      <w:pgMar w:left="1418" w:right="1103" w:gutter="0" w:header="680" w:top="1134" w:footer="0" w:bottom="567"/>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Liberation Serif">
    <w:altName w:val="Times New Roman"/>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6</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6</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2"/>
        <w:sz w:val="22"/>
        <w:spacing w:val="0"/>
        <w:i w:val="false"/>
        <w:u w:val="none"/>
        <w:b/>
        <w:kern w:val="0"/>
        <w:effect w:val="none"/>
        <w:szCs w:val="22"/>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9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fals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rsid w:val="00353a27"/>
    <w:p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035e96"/>
    <w:pPr>
      <w:keepNext w:val="true"/>
      <w:numPr>
        <w:ilvl w:val="2"/>
        <w:numId w:val="3"/>
      </w:numPr>
      <w:spacing w:before="120" w:after="60"/>
      <w:outlineLvl w:val="2"/>
    </w:pPr>
    <w:rPr>
      <w:rFonts w:eastAsia="Calibri"/>
      <w:b/>
      <w:sz w:val="24"/>
      <w:szCs w:val="24"/>
      <w:lang w:val="x-none" w:eastAsia="x-none"/>
    </w:rPr>
  </w:style>
  <w:style w:type="paragraph" w:styleId="Heading4">
    <w:name w:val="Heading 4"/>
    <w:basedOn w:val="Heading3"/>
    <w:next w:val="Normal"/>
    <w:link w:val="4"/>
    <w:qFormat/>
    <w:rsid w:val="006629c9"/>
    <w:p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name w:val="Символ сноски"/>
    <w:qFormat/>
    <w:rsid w:val="00d561d9"/>
    <w:rPr>
      <w:vertAlign w:val="superscript"/>
    </w:rPr>
  </w:style>
  <w:style w:type="character" w:styleId="FootnoteReference">
    <w:name w:val="Footnote Reference"/>
    <w:rPr>
      <w:vertAlign w:val="superscript"/>
    </w:rPr>
  </w:style>
  <w:style w:type="character" w:styleId="Pagenumber">
    <w:name w:val="page number"/>
    <w:basedOn w:val="DefaultParagraphFont"/>
    <w:qFormat/>
    <w:rsid w:val="006c2f3f"/>
    <w:rPr/>
  </w:style>
  <w:style w:type="character" w:styleId="Hyperlink">
    <w:name w:val="Hyperlink"/>
    <w:uiPriority w:val="99"/>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1">
    <w:name w:val="Strong1"/>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5"/>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1" w:customStyle="1">
    <w:name w:val="Подпункт Знак1"/>
    <w:link w:val="Style23"/>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31"/>
    <w:qFormat/>
    <w:locked/>
    <w:rsid w:val="0025139e"/>
    <w:rPr>
      <w:sz w:val="26"/>
      <w:szCs w:val="26"/>
    </w:rPr>
  </w:style>
  <w:style w:type="character" w:styleId="31" w:customStyle="1">
    <w:name w:val="УРОВЕНЬ_Абзац_тип3 Знак"/>
    <w:link w:val="36"/>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name w:val="Символ концевой сноски"/>
    <w:qFormat/>
    <w:rsid w:val="003879d4"/>
    <w:rPr>
      <w:vertAlign w:val="superscript"/>
    </w:rPr>
  </w:style>
  <w:style w:type="character" w:styleId="EndnoteReference">
    <w:name w:val="Endnote Reference"/>
    <w:rPr>
      <w:vertAlign w:val="superscript"/>
    </w:rPr>
  </w:style>
  <w:style w:type="character" w:styleId="22" w:customStyle="1">
    <w:name w:val="Пункт2 Знак"/>
    <w:link w:val="24"/>
    <w:qFormat/>
    <w:rsid w:val="00de52bc"/>
    <w:rPr>
      <w:b/>
      <w:sz w:val="28"/>
    </w:rPr>
  </w:style>
  <w:style w:type="character" w:styleId="12" w:customStyle="1">
    <w:name w:val="УРОВЕНЬ_1. Знак"/>
    <w:link w:val="19"/>
    <w:qFormat/>
    <w:rsid w:val="004a17ae"/>
    <w:rPr>
      <w:rFonts w:eastAsia="Calibri"/>
      <w:caps/>
      <w:sz w:val="28"/>
      <w:szCs w:val="28"/>
      <w:lang w:eastAsia="en-US"/>
    </w:rPr>
  </w:style>
  <w:style w:type="character" w:styleId="13"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Markedcontent" w:customStyle="1">
    <w:name w:val="markedcontent"/>
    <w:basedOn w:val="DefaultParagraphFont"/>
    <w:qFormat/>
    <w:rsid w:val="00a33766"/>
    <w:rPr/>
  </w:style>
  <w:style w:type="character" w:styleId="Style14" w:customStyle="1">
    <w:name w:val="Основной текст с отступом Знак"/>
    <w:basedOn w:val="DefaultParagraphFont"/>
    <w:qFormat/>
    <w:rsid w:val="00730aab"/>
    <w:rPr>
      <w:sz w:val="24"/>
      <w:szCs w:val="24"/>
    </w:rPr>
  </w:style>
  <w:style w:type="character" w:styleId="Style15">
    <w:name w:val="Ссылка указателя"/>
    <w:qFormat/>
    <w:rPr/>
  </w:style>
  <w:style w:type="character" w:styleId="Style16">
    <w:name w:val="Символ нумерации"/>
    <w:qFormat/>
    <w:rPr/>
  </w:style>
  <w:style w:type="character" w:styleId="Strong">
    <w:name w:val="Strong"/>
    <w:qFormat/>
    <w:rPr>
      <w:b/>
      <w:bCs/>
    </w:rPr>
  </w:style>
  <w:style w:type="paragraph" w:styleId="Style17">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8">
    <w:name w:val="Указатель"/>
    <w:basedOn w:val="Normal"/>
    <w:qFormat/>
    <w:pPr>
      <w:suppressLineNumbers/>
    </w:pPr>
    <w:rPr>
      <w:rFonts w:cs="Lohit Devanagari"/>
    </w:rPr>
  </w:style>
  <w:style w:type="paragraph" w:styleId="Style19" w:customStyle="1">
    <w:name w:val="Название раздела инструкции"/>
    <w:basedOn w:val="Normal"/>
    <w:autoRedefine/>
    <w:qFormat/>
    <w:rsid w:val="00275328"/>
    <w:pPr>
      <w:jc w:val="center"/>
    </w:pPr>
    <w:rPr>
      <w:b/>
    </w:rPr>
  </w:style>
  <w:style w:type="paragraph" w:styleId="Style20"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21"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rsid w:val="00d561d9"/>
    <w:pPr/>
    <w:rPr>
      <w:sz w:val="20"/>
      <w:szCs w:val="20"/>
    </w:rPr>
  </w:style>
  <w:style w:type="paragraph" w:styleId="14"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5" w:customStyle="1">
    <w:name w:val="Название1"/>
    <w:basedOn w:val="Normal"/>
    <w:link w:val="Style1"/>
    <w:uiPriority w:val="10"/>
    <w:qFormat/>
    <w:rsid w:val="00bd4014"/>
    <w:pPr>
      <w:jc w:val="center"/>
    </w:pPr>
    <w:rPr>
      <w:szCs w:val="20"/>
      <w:lang w:val="x-none" w:eastAsia="x-none"/>
    </w:rPr>
  </w:style>
  <w:style w:type="paragraph" w:styleId="Style22">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link w:val="Style14"/>
    <w:rsid w:val="0076353a"/>
    <w:pPr>
      <w:ind w:hanging="0" w:left="36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hanging="0" w:left="283"/>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hanging="0" w:left="283"/>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hanging="0" w:left="-567" w:right="-766"/>
      <w:jc w:val="center"/>
    </w:pPr>
    <w:rPr>
      <w:b/>
      <w:bCs/>
      <w:sz w:val="24"/>
      <w:szCs w:val="20"/>
    </w:rPr>
  </w:style>
  <w:style w:type="paragraph" w:styleId="Style23" w:customStyle="1">
    <w:name w:val="Подпункт"/>
    <w:basedOn w:val="Normal"/>
    <w:link w:val="11"/>
    <w:qFormat/>
    <w:rsid w:val="0076353a"/>
    <w:pPr>
      <w:tabs>
        <w:tab w:val="clear" w:pos="708"/>
        <w:tab w:val="left" w:pos="1134" w:leader="none"/>
      </w:tabs>
      <w:snapToGrid w:val="false"/>
      <w:spacing w:lineRule="auto" w:line="360"/>
      <w:ind w:hanging="1134" w:left="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uppressAutoHyphens w:val="true"/>
      <w:snapToGrid w:val="false"/>
      <w:spacing w:before="240" w:after="120"/>
      <w:ind w:hanging="1134" w:left="1134"/>
      <w:outlineLvl w:val="2"/>
    </w:pPr>
    <w:rPr>
      <w:b/>
      <w:szCs w:val="20"/>
    </w:rPr>
  </w:style>
  <w:style w:type="paragraph" w:styleId="TOC1">
    <w:name w:val="TOC 1"/>
    <w:basedOn w:val="Normal"/>
    <w:next w:val="Normal"/>
    <w:autoRedefine/>
    <w:uiPriority w:val="39"/>
    <w:rsid w:val="00421b6b"/>
    <w:pPr>
      <w:spacing w:before="120" w:after="0"/>
    </w:pPr>
    <w:rPr>
      <w:rFonts w:cs="Calibri Light (Заголовки)"/>
      <w:b/>
      <w:bCs/>
      <w:sz w:val="24"/>
      <w:szCs w:val="24"/>
    </w:rPr>
  </w:style>
  <w:style w:type="paragraph" w:styleId="TOC3">
    <w:name w:val="TOC 3"/>
    <w:basedOn w:val="Normal"/>
    <w:next w:val="Normal"/>
    <w:autoRedefine/>
    <w:uiPriority w:val="39"/>
    <w:rsid w:val="00c01756"/>
    <w:pPr>
      <w:ind w:hanging="0" w:left="280"/>
    </w:pPr>
    <w:rPr>
      <w:rFonts w:cs="Calibri" w:cstheme="minorHAnsi"/>
      <w:sz w:val="20"/>
      <w:szCs w:val="20"/>
    </w:rPr>
  </w:style>
  <w:style w:type="paragraph" w:styleId="Style24" w:customStyle="1">
    <w:name w:val="Раздел регламента"/>
    <w:basedOn w:val="Normal"/>
    <w:qFormat/>
    <w:rsid w:val="00e228fa"/>
    <w:pPr/>
    <w:rPr/>
  </w:style>
  <w:style w:type="paragraph" w:styleId="Style25"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6"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hanging="0" w:left="196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hanging="0" w:left="84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hanging="0" w:left="56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6"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
    <w:name w:val="caption1"/>
    <w:basedOn w:val="Normal"/>
    <w:next w:val="Normal"/>
    <w:uiPriority w:val="35"/>
    <w:qFormat/>
    <w:rsid w:val="00d22f6d"/>
    <w:pPr/>
    <w:rPr>
      <w:rFonts w:eastAsia="Calibri"/>
      <w:b/>
      <w:bCs/>
      <w:color w:val="4F81BD"/>
      <w:sz w:val="18"/>
      <w:szCs w:val="18"/>
    </w:rPr>
  </w:style>
  <w:style w:type="paragraph" w:styleId="Subtitle">
    <w:name w:val="Subtitle"/>
    <w:basedOn w:val="Normal"/>
    <w:next w:val="Normal"/>
    <w:link w:val="Style2"/>
    <w:uiPriority w:val="11"/>
    <w:qFormat/>
    <w:rsid w:val="00d22f6d"/>
    <w:pPr>
      <w:ind w:firstLine="709" w:left="1066"/>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hanging="0" w:left="72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IndexHeading">
    <w:name w:val="Index Heading"/>
    <w:basedOn w:val="Style17"/>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7"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ListBullet4" w:customStyle="1">
    <w:name w:val="List Bullet 4"/>
    <w:basedOn w:val="Normal"/>
    <w:qFormat/>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8" w:customStyle="1">
    <w:name w:val="Пункт"/>
    <w:basedOn w:val="Normal"/>
    <w:qFormat/>
    <w:rsid w:val="00d22f6d"/>
    <w:pPr>
      <w:widowControl w:val="false"/>
      <w:tabs>
        <w:tab w:val="clear" w:pos="708"/>
        <w:tab w:val="left" w:pos="1134" w:leader="none"/>
      </w:tabs>
      <w:spacing w:lineRule="auto" w:line="360" w:before="120" w:after="0"/>
      <w:ind w:hanging="1134" w:left="1134" w:right="800"/>
      <w:jc w:val="both"/>
    </w:pPr>
    <w:rPr>
      <w:rFonts w:ascii="Arial" w:hAnsi="Arial"/>
      <w:b/>
      <w:i/>
      <w:szCs w:val="20"/>
    </w:rPr>
  </w:style>
  <w:style w:type="paragraph" w:styleId="17" w:customStyle="1">
    <w:name w:val="Абзац списка1"/>
    <w:basedOn w:val="Normal"/>
    <w:qFormat/>
    <w:rsid w:val="00d22f6d"/>
    <w:pPr>
      <w:spacing w:lineRule="auto" w:line="276" w:before="0" w:after="200"/>
      <w:ind w:hanging="0" w:left="720"/>
      <w:contextualSpacing/>
    </w:pPr>
    <w:rPr>
      <w:rFonts w:ascii="Calibri" w:hAnsi="Calibri"/>
      <w:sz w:val="22"/>
      <w:szCs w:val="22"/>
      <w:lang w:eastAsia="en-US"/>
    </w:rPr>
  </w:style>
  <w:style w:type="paragraph" w:styleId="Style29"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30" w:customStyle="1">
    <w:name w:val="Таблица шапка"/>
    <w:basedOn w:val="Normal"/>
    <w:qFormat/>
    <w:rsid w:val="00f64089"/>
    <w:pPr>
      <w:keepNext w:val="true"/>
      <w:spacing w:before="40" w:after="40"/>
      <w:ind w:hanging="0" w:left="57" w:right="57"/>
    </w:pPr>
    <w:rPr>
      <w:sz w:val="22"/>
      <w:szCs w:val="26"/>
    </w:rPr>
  </w:style>
  <w:style w:type="paragraph" w:styleId="Style31" w:customStyle="1">
    <w:name w:val="Подподпункт"/>
    <w:basedOn w:val="Style23"/>
    <w:link w:val="Style9"/>
    <w:qFormat/>
    <w:rsid w:val="0025139e"/>
    <w:pPr>
      <w:tabs>
        <w:tab w:val="clear" w:pos="1134"/>
        <w:tab w:val="left" w:pos="5104" w:leader="none"/>
      </w:tabs>
      <w:snapToGrid w:val="true"/>
      <w:spacing w:lineRule="auto" w:line="240" w:before="120" w:after="0"/>
      <w:ind w:hanging="567" w:left="5104"/>
    </w:pPr>
    <w:rPr>
      <w:sz w:val="26"/>
      <w:szCs w:val="26"/>
      <w:lang w:val="ru-RU" w:eastAsia="ru-RU"/>
    </w:rPr>
  </w:style>
  <w:style w:type="paragraph" w:styleId="Style32"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3"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8" w:customStyle="1">
    <w:name w:val="Стиль Заголовок 1 + по ширине"/>
    <w:basedOn w:val="Heading1"/>
    <w:qFormat/>
    <w:rsid w:val="005773b2"/>
    <w:pPr>
      <w:keepLines/>
      <w:numPr>
        <w:ilvl w:val="0"/>
        <w:numId w:val="0"/>
      </w:numPr>
      <w:tabs>
        <w:tab w:val="clear" w:pos="708"/>
        <w:tab w:val="left" w:pos="567" w:leader="none"/>
      </w:tabs>
      <w:suppressAutoHyphens w:val="true"/>
      <w:spacing w:before="480" w:after="240"/>
      <w:ind w:hanging="567" w:left="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uppressAutoHyphens w:val="true"/>
      <w:spacing w:before="120" w:after="120"/>
      <w:jc w:val="both"/>
      <w:outlineLvl w:val="0"/>
    </w:pPr>
    <w:rPr>
      <w:b/>
      <w:kern w:val="2"/>
      <w:sz w:val="24"/>
      <w:szCs w:val="20"/>
      <w:lang w:eastAsia="x-none"/>
    </w:rPr>
  </w:style>
  <w:style w:type="paragraph" w:styleId="Style34" w:customStyle="1">
    <w:name w:val="Таблица текст"/>
    <w:basedOn w:val="Normal"/>
    <w:qFormat/>
    <w:rsid w:val="00343e95"/>
    <w:pPr>
      <w:spacing w:before="40" w:after="40"/>
      <w:ind w:hanging="0" w:left="57" w:right="57"/>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9" w:customStyle="1">
    <w:name w:val="УРОВЕНЬ_1."/>
    <w:basedOn w:val="ListParagraph"/>
    <w:link w:val="12"/>
    <w:qFormat/>
    <w:rsid w:val="004a17ae"/>
    <w:pPr>
      <w:keepNext w:val="true"/>
      <w:keepLines/>
      <w:spacing w:lineRule="auto" w:line="276" w:before="240" w:after="120"/>
      <w:ind w:hanging="0" w:left="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hanging="0" w:left="112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hanging="0" w:left="140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hanging="0" w:left="1680"/>
    </w:pPr>
    <w:rPr>
      <w:rFonts w:ascii="Calibri" w:hAnsi="Calibri" w:cs="Calibri" w:asciiTheme="minorHAnsi" w:cstheme="minorHAnsi" w:hAnsiTheme="minorHAnsi"/>
      <w:sz w:val="20"/>
      <w:szCs w:val="20"/>
    </w:rPr>
  </w:style>
  <w:style w:type="paragraph" w:styleId="Style35">
    <w:name w:val="Содержимое врезки"/>
    <w:basedOn w:val="Normal"/>
    <w:qFormat/>
    <w:pPr/>
    <w:rPr/>
  </w:style>
  <w:style w:type="paragraph" w:styleId="Style36">
    <w:name w:val="Содержимое таблицы"/>
    <w:basedOn w:val="Normal"/>
    <w:qFormat/>
    <w:pPr>
      <w:widowControl w:val="false"/>
      <w:suppressLineNumbers/>
    </w:pPr>
    <w:rPr/>
  </w:style>
  <w:style w:type="paragraph" w:styleId="Style37">
    <w:name w:val="Заголовок таблицы"/>
    <w:basedOn w:val="Style36"/>
    <w:qFormat/>
    <w:pPr>
      <w:suppressLineNumbers/>
      <w:jc w:val="center"/>
    </w:pPr>
    <w:rPr>
      <w:b/>
      <w:bCs/>
    </w:rPr>
  </w:style>
  <w:style w:type="numbering" w:styleId="NoList" w:default="1">
    <w:name w:val="No List"/>
    <w:uiPriority w:val="99"/>
    <w:semiHidden/>
    <w:unhideWhenUsed/>
    <w:qFormat/>
  </w:style>
  <w:style w:type="numbering" w:styleId="110" w:customStyle="1">
    <w:name w:val="Стиль1"/>
    <w:uiPriority w:val="99"/>
    <w:qFormat/>
    <w:rsid w:val="00f001e4"/>
  </w:style>
  <w:style w:type="numbering" w:styleId="29" w:customStyle="1">
    <w:name w:val="Стиль2"/>
    <w:uiPriority w:val="99"/>
    <w:qFormat/>
    <w:rsid w:val="006629c9"/>
  </w:style>
  <w:style w:type="numbering" w:styleId="40124915411">
    <w:name w:val="40124915411"/>
    <w:qFormat/>
  </w:style>
  <w:style w:type="table" w:default="1" w:styleId="a5">
    <w:name w:val="Normal Table"/>
    <w:uiPriority w:val="99"/>
    <w:semiHidden/>
    <w:unhideWhenUsed/>
    <w:tblPr>
      <w:tblCellMar>
        <w:top w:w="0" w:type="dxa"/>
        <w:left w:w="108" w:type="dxa"/>
        <w:bottom w:w="0" w:type="dxa"/>
        <w:right w:w="108" w:type="dxa"/>
      </w:tblCellMar>
    </w:tblPr>
  </w:style>
  <w:style w:type="table" w:styleId="af0">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c">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E3187-CB0A-4DE0-A69C-A9512B3DF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3134</TotalTime>
  <Application>AlterOffice/2026.2.0.0$Linux_X86_64 LibreOffice_project/bc4ef1adf80b36c7a6365f8ed6cbf29021361edd</Application>
  <AppVersion>15.0000</AppVersion>
  <Pages>6</Pages>
  <Words>839</Words>
  <Characters>5704</Characters>
  <CharactersWithSpaces>6418</CharactersWithSpaces>
  <Paragraphs>129</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2023-06-04T22:23:00Z</dcterms:created>
  <dc:creator>Быстров Олег Геннадьевич</dc:creator>
  <dc:description/>
  <dc:language>ru-RU</dc:language>
  <cp:lastModifiedBy>manikovskaya_yug</cp:lastModifiedBy>
  <cp:lastPrinted>2006-07-26T14:04:00Z</cp:lastPrinted>
  <dcterms:modified xsi:type="dcterms:W3CDTF">2026-10-13T10:34:07Z</dcterms:modified>
  <cp:revision>251</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