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ОКПД2: 29.20.21.110 Поставка контейнера общего назначения (универсального) в Приморский край, г. Партизанск для нужд Партизанского строительного участка Дальневосточного филиала АО «ТК РусГидро»</w:t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_RefHeading___Toc2114_2713773899">
            <w:r>
              <w:rPr>
                <w:webHidden/>
                <w:rStyle w:val="Style14"/>
                <w:vanish w:val="false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16_2713773899">
            <w:r>
              <w:rPr>
                <w:webHidden/>
                <w:rStyle w:val="Style14"/>
                <w:vanish w:val="false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18_2713773899">
            <w:r>
              <w:rPr>
                <w:webHidden/>
                <w:rStyle w:val="Style14"/>
                <w:vanish w:val="false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20_2713773899">
            <w:r>
              <w:rPr>
                <w:webHidden/>
                <w:rStyle w:val="Style14"/>
                <w:vanish w:val="false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24_2713773899">
            <w:r>
              <w:rPr>
                <w:webHidden/>
                <w:rStyle w:val="Style14"/>
                <w:vanish w:val="false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26_2713773899">
            <w:r>
              <w:rPr>
                <w:webHidden/>
                <w:rStyle w:val="Style14"/>
                <w:vanish w:val="false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28_2713773899">
            <w:r>
              <w:rPr>
                <w:webHidden/>
                <w:rStyle w:val="Style14"/>
                <w:vanish w:val="false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0_2713773899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32_2713773899">
            <w:r>
              <w:rPr>
                <w:webHidden/>
                <w:rStyle w:val="Style14"/>
                <w:vanish w:val="false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4_2713773899"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4"/>
            <w:tabs>
              <w:tab w:val="clear" w:pos="709"/>
              <w:tab w:val="right" w:pos="9921" w:leader="dot"/>
            </w:tabs>
            <w:rPr/>
          </w:pPr>
          <w:hyperlink w:anchor="__RefHeading___Toc2136_2713773899">
            <w:r>
              <w:rPr>
                <w:webHidden/>
                <w:rStyle w:val="Style14"/>
                <w:vanish w:val="false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8_2713773899">
            <w:r>
              <w:rPr>
                <w:webHidden/>
                <w:rStyle w:val="Style14"/>
                <w:vanish w:val="false"/>
              </w:rPr>
              <w:t xml:space="preserve"> </w:t>
            </w:r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新細明體" w:cs="Arial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新細明體" w:cs="Arial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spacing w:before="0" w:after="0"/>
        <w:ind w:hanging="0" w:left="0"/>
        <w:jc w:val="center"/>
        <w:rPr>
          <w:sz w:val="24"/>
          <w:szCs w:val="24"/>
        </w:rPr>
      </w:pPr>
      <w:bookmarkStart w:id="0" w:name="__RefHeading___Toc2114_2713773899"/>
      <w:bookmarkStart w:id="1" w:name="_Toc51339692"/>
      <w:bookmarkStart w:id="2" w:name="_Toc75446566"/>
      <w:bookmarkEnd w:id="0"/>
      <w:r>
        <w:rPr>
          <w:sz w:val="24"/>
          <w:szCs w:val="24"/>
        </w:rPr>
        <w:t>Общие сведения</w:t>
      </w:r>
      <w:bookmarkEnd w:id="1"/>
      <w:bookmarkEnd w:id="2"/>
    </w:p>
    <w:p>
      <w:pPr>
        <w:pStyle w:val="Heading4"/>
        <w:numPr>
          <w:ilvl w:val="1"/>
          <w:numId w:val="3"/>
        </w:numPr>
        <w:spacing w:before="120" w:after="60"/>
        <w:ind w:hanging="0" w:left="567"/>
        <w:rPr>
          <w:sz w:val="24"/>
          <w:szCs w:val="24"/>
        </w:rPr>
      </w:pPr>
      <w:bookmarkStart w:id="3" w:name="__RefHeading___Toc2116_2713773899"/>
      <w:bookmarkStart w:id="4" w:name="_Toc46743505"/>
      <w:bookmarkStart w:id="5" w:name="_Toc75446567"/>
      <w:bookmarkEnd w:id="3"/>
      <w:r>
        <w:rPr>
          <w:sz w:val="24"/>
          <w:szCs w:val="24"/>
        </w:rPr>
        <w:t>Обозначения и сокращения</w:t>
      </w:r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ТМЦ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Товарно-материальные ценности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tabs>
          <w:tab w:val="clear" w:pos="709"/>
          <w:tab w:val="left" w:pos="851" w:leader="none"/>
          <w:tab w:val="left" w:pos="1134" w:leader="none"/>
        </w:tabs>
        <w:spacing w:before="0" w:after="0"/>
        <w:ind w:firstLine="135" w:left="567"/>
        <w:rPr>
          <w:sz w:val="24"/>
          <w:szCs w:val="24"/>
        </w:rPr>
      </w:pPr>
      <w:bookmarkStart w:id="6" w:name="__RefHeading___Toc2118_2713773899"/>
      <w:bookmarkStart w:id="7" w:name="_Toc46743506"/>
      <w:bookmarkStart w:id="8" w:name="_Toc75446568"/>
      <w:bookmarkEnd w:id="6"/>
      <w:r>
        <w:rPr>
          <w:sz w:val="24"/>
          <w:szCs w:val="24"/>
        </w:rPr>
        <w:t>Наименование закупаемой продукции</w:t>
      </w:r>
      <w:bookmarkEnd w:id="7"/>
      <w:bookmarkEnd w:id="8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Style w:val="Style8"/>
          <w:rFonts w:eastAsia="Calibri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ОКПД2: 29.20.21.110 Поставка контейнера общего назначения (универсального) в Приморский край, г. Партизанск для нужд Партизанского строительного участка Дальневосточного филиала АО «ТК РусГидро»</w:t>
      </w: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ru-RU"/>
        </w:rPr>
        <w:t>.</w:t>
      </w:r>
    </w:p>
    <w:p>
      <w:pPr>
        <w:pStyle w:val="Heading4"/>
        <w:numPr>
          <w:ilvl w:val="1"/>
          <w:numId w:val="3"/>
        </w:numPr>
        <w:tabs>
          <w:tab w:val="clear" w:pos="709"/>
          <w:tab w:val="left" w:pos="1134" w:leader="none"/>
        </w:tabs>
        <w:ind w:firstLine="135" w:left="567"/>
        <w:rPr>
          <w:sz w:val="24"/>
          <w:szCs w:val="24"/>
        </w:rPr>
      </w:pPr>
      <w:bookmarkStart w:id="9" w:name="__RefHeading___Toc2120_2713773899"/>
      <w:bookmarkStart w:id="10" w:name="_Toc75446569"/>
      <w:bookmarkStart w:id="11" w:name="_Toc46743507"/>
      <w:bookmarkEnd w:id="9"/>
      <w:r>
        <w:rPr>
          <w:sz w:val="24"/>
          <w:szCs w:val="24"/>
        </w:rPr>
        <w:t xml:space="preserve">Цель </w:t>
      </w:r>
      <w:bookmarkEnd w:id="11"/>
      <w:r>
        <w:rPr>
          <w:sz w:val="24"/>
          <w:szCs w:val="24"/>
        </w:rPr>
        <w:t>использования закупаемой продукции</w:t>
      </w:r>
      <w:bookmarkEnd w:id="10"/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sz w:val="24"/>
          <w:szCs w:val="24"/>
        </w:rPr>
      </w:pPr>
      <w:r>
        <w:rPr>
          <w:rStyle w:val="Style8"/>
          <w:rFonts w:eastAsia="Calibri" w:cs="Times New Roman"/>
          <w:b w:val="false"/>
          <w:bCs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Контейнер общего назначения (универсальный) закупается для хранения и сохранности ТМЦ Партизанского строительного участка Дальневосточного филиала АО «ТК РусГидро»</w:t>
      </w:r>
      <w:r>
        <w:rPr/>
        <w:t>.</w:t>
      </w:r>
      <w:bookmarkStart w:id="12" w:name="_Toc51339693"/>
      <w:bookmarkStart w:id="13" w:name="_Toc75446573"/>
    </w:p>
    <w:p>
      <w:pPr>
        <w:pStyle w:val="Heading1"/>
        <w:numPr>
          <w:ilvl w:val="0"/>
          <w:numId w:val="3"/>
        </w:numPr>
        <w:ind w:hanging="0" w:left="0"/>
        <w:jc w:val="center"/>
        <w:rPr>
          <w:sz w:val="24"/>
          <w:szCs w:val="24"/>
        </w:rPr>
      </w:pPr>
      <w:bookmarkStart w:id="14" w:name="__RefHeading___Toc2124_2713773899"/>
      <w:bookmarkEnd w:id="14"/>
      <w:r>
        <w:rPr>
          <w:sz w:val="24"/>
          <w:szCs w:val="24"/>
        </w:rPr>
        <w:t>Требования к продукции</w:t>
      </w:r>
      <w:bookmarkEnd w:id="12"/>
      <w:bookmarkEnd w:id="13"/>
    </w:p>
    <w:p>
      <w:pPr>
        <w:pStyle w:val="Heading4"/>
        <w:numPr>
          <w:ilvl w:val="1"/>
          <w:numId w:val="3"/>
        </w:numPr>
        <w:tabs>
          <w:tab w:val="clear" w:pos="709"/>
          <w:tab w:val="left" w:pos="1134" w:leader="none"/>
        </w:tabs>
        <w:spacing w:before="0" w:after="0"/>
        <w:ind w:firstLine="135" w:left="567"/>
        <w:rPr>
          <w:sz w:val="24"/>
          <w:szCs w:val="24"/>
        </w:rPr>
      </w:pPr>
      <w:bookmarkStart w:id="15" w:name="__RefHeading___Toc2126_2713773899"/>
      <w:bookmarkStart w:id="16" w:name="_Toc75446574"/>
      <w:bookmarkEnd w:id="1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6"/>
    </w:p>
    <w:p>
      <w:pPr>
        <w:pStyle w:val="Heading3"/>
        <w:numPr>
          <w:ilvl w:val="2"/>
          <w:numId w:val="3"/>
        </w:numPr>
        <w:tabs>
          <w:tab w:val="clear" w:pos="709"/>
          <w:tab w:val="left" w:pos="1134" w:leader="none"/>
        </w:tabs>
        <w:spacing w:before="0" w:after="0"/>
        <w:ind w:hanging="0" w:left="567"/>
        <w:rPr>
          <w:sz w:val="24"/>
          <w:szCs w:val="24"/>
        </w:rPr>
      </w:pPr>
      <w:bookmarkStart w:id="17" w:name="__RefHeading___Toc2128_2713773899"/>
      <w:bookmarkStart w:id="18" w:name="_Toc75446575"/>
      <w:bookmarkEnd w:id="17"/>
      <w:r>
        <w:rPr>
          <w:sz w:val="24"/>
          <w:szCs w:val="24"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</w:rPr>
      </w:pPr>
      <w:bookmarkStart w:id="19" w:name="__RefHeading___Toc2130_2713773899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1.1 Перечень </w:t>
      </w:r>
      <w:bookmarkEnd w:id="21"/>
      <w:r>
        <w:rPr>
          <w:sz w:val="24"/>
          <w:szCs w:val="24"/>
        </w:rPr>
        <w:t>и объем закупаемой продукции</w:t>
      </w:r>
      <w:bookmarkEnd w:id="20"/>
    </w:p>
    <w:tbl>
      <w:tblPr>
        <w:tblW w:w="963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8"/>
        <w:gridCol w:w="6099"/>
        <w:gridCol w:w="1272"/>
        <w:gridCol w:w="1558"/>
      </w:tblGrid>
      <w:tr>
        <w:trPr>
          <w:trHeight w:val="85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45" w:hRule="atLeast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609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34"/>
              <w:widowControl w:val="false"/>
              <w:jc w:val="left"/>
              <w:rPr>
                <w:rFonts w:ascii="Times New Roman" w:hAnsi="Times New Roman"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Контейнер общего назначения (универсальный)</w:t>
            </w:r>
          </w:p>
        </w:tc>
        <w:tc>
          <w:tcPr>
            <w:tcW w:w="127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шт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pacing w:before="0" w:after="0"/>
              <w:jc w:val="center"/>
              <w:rPr>
                <w:rFonts w:ascii="Times New Roman" w:hAnsi="Times New Roman" w:eastAsia="Calibri" w:cs="Arial"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3"/>
        </w:numPr>
        <w:spacing w:before="0" w:after="0"/>
        <w:ind w:firstLine="567" w:left="0"/>
        <w:rPr>
          <w:sz w:val="24"/>
          <w:szCs w:val="24"/>
        </w:rPr>
      </w:pPr>
      <w:bookmarkStart w:id="22" w:name="__RefHeading___Toc2132_2713773899"/>
      <w:bookmarkStart w:id="23" w:name="_Toc75446578"/>
      <w:bookmarkStart w:id="24" w:name="_Toc51339696"/>
      <w:bookmarkEnd w:id="22"/>
      <w:r>
        <w:rPr>
          <w:sz w:val="24"/>
          <w:szCs w:val="24"/>
        </w:rPr>
        <w:t xml:space="preserve">Требования </w:t>
      </w:r>
      <w:bookmarkEnd w:id="24"/>
      <w:r>
        <w:rPr>
          <w:sz w:val="24"/>
          <w:szCs w:val="24"/>
        </w:rPr>
        <w:t>к срокам поставки продукции и оказания сопутствующих услуг</w:t>
      </w:r>
      <w:bookmarkEnd w:id="23"/>
    </w:p>
    <w:p>
      <w:pPr>
        <w:pStyle w:val="Heading1"/>
        <w:numPr>
          <w:ilvl w:val="0"/>
          <w:numId w:val="0"/>
        </w:numPr>
        <w:ind w:hanging="0" w:left="567"/>
        <w:rPr>
          <w:sz w:val="24"/>
          <w:szCs w:val="24"/>
        </w:rPr>
      </w:pPr>
      <w:bookmarkStart w:id="25" w:name="__RefHeading___Toc2134_2713773899"/>
      <w:bookmarkStart w:id="26" w:name="_Toc75446579"/>
      <w:bookmarkStart w:id="27" w:name="_Toc50125127"/>
      <w:bookmarkStart w:id="28" w:name="_Toc5133969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961"/>
        <w:gridCol w:w="3276"/>
        <w:gridCol w:w="3118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bookmarkStart w:id="31" w:name="_Toc46743510"/>
            <w:r>
              <w:rPr>
                <w:b/>
                <w:sz w:val="24"/>
                <w:szCs w:val="24"/>
              </w:rPr>
              <w:t>4</w:t>
            </w:r>
            <w:bookmarkEnd w:id="31"/>
          </w:p>
        </w:tc>
      </w:tr>
      <w:tr>
        <w:trPr>
          <w:trHeight w:val="417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ОКПД2: 29.20.21.110 Поставка контейнера общего назначения (универсального) в Приморский край, г. Партизанск для нужд Партизанского строительного участка Дальневосточного филиала АО «ТК РусГидро»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ind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(даты) оплаты авансового платежа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jc w:val="center"/>
              <w:rPr/>
            </w:pPr>
            <w:r>
              <w:rPr>
                <w:bCs/>
                <w:sz w:val="24"/>
                <w:szCs w:val="24"/>
              </w:rPr>
              <w:t xml:space="preserve">В течение </w:t>
            </w:r>
            <w:r>
              <w:rPr>
                <w:bCs/>
                <w:sz w:val="24"/>
                <w:szCs w:val="24"/>
              </w:rPr>
              <w:t>3</w:t>
            </w:r>
            <w:r>
              <w:rPr>
                <w:bCs/>
                <w:sz w:val="24"/>
                <w:szCs w:val="24"/>
              </w:rPr>
              <w:t xml:space="preserve"> (</w:t>
            </w:r>
            <w:r>
              <w:rPr>
                <w:bCs/>
                <w:sz w:val="24"/>
                <w:szCs w:val="24"/>
              </w:rPr>
              <w:t>трёх</w:t>
            </w:r>
            <w:r>
              <w:rPr>
                <w:bCs/>
                <w:sz w:val="24"/>
                <w:szCs w:val="24"/>
              </w:rPr>
              <w:t>) календарных дней с момента оплаты авансового платежа</w:t>
            </w:r>
          </w:p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tabs>
          <w:tab w:val="clear" w:pos="709"/>
          <w:tab w:val="left" w:pos="851" w:leader="none"/>
        </w:tabs>
        <w:ind w:hanging="6" w:left="567"/>
        <w:rPr>
          <w:sz w:val="24"/>
          <w:szCs w:val="24"/>
        </w:rPr>
      </w:pPr>
      <w:bookmarkStart w:id="32" w:name="__RefHeading___Toc2136_2713773899"/>
      <w:bookmarkStart w:id="33" w:name="_Toc51339698"/>
      <w:bookmarkStart w:id="34" w:name="_Toc75446581"/>
      <w:bookmarkStart w:id="35" w:name="_Toc46743511"/>
      <w:bookmarkStart w:id="36" w:name="_Toc54785622_Копия_1"/>
      <w:bookmarkEnd w:id="32"/>
      <w:bookmarkEnd w:id="36"/>
      <w:r>
        <w:rPr>
          <w:sz w:val="24"/>
          <w:szCs w:val="24"/>
        </w:rPr>
        <w:t xml:space="preserve">Требования к </w:t>
      </w:r>
      <w:bookmarkEnd w:id="35"/>
      <w:r>
        <w:rPr>
          <w:sz w:val="24"/>
          <w:szCs w:val="24"/>
        </w:rPr>
        <w:t>качеству продукции</w:t>
      </w:r>
      <w:bookmarkEnd w:id="34"/>
    </w:p>
    <w:p>
      <w:pPr>
        <w:pStyle w:val="Heading1"/>
        <w:numPr>
          <w:ilvl w:val="0"/>
          <w:numId w:val="0"/>
        </w:numPr>
        <w:tabs>
          <w:tab w:val="clear" w:pos="709"/>
          <w:tab w:val="left" w:pos="851" w:leader="none"/>
        </w:tabs>
        <w:ind w:firstLine="284" w:left="0"/>
        <w:rPr>
          <w:sz w:val="24"/>
          <w:szCs w:val="24"/>
        </w:rPr>
      </w:pPr>
      <w:bookmarkStart w:id="37" w:name="__RefHeading___Toc2138_2713773899"/>
      <w:bookmarkEnd w:id="37"/>
      <w:r>
        <w:rPr>
          <w:sz w:val="24"/>
          <w:szCs w:val="24"/>
        </w:rPr>
        <w:t xml:space="preserve"> </w:t>
      </w:r>
      <w:bookmarkStart w:id="38" w:name="_Toc75446582"/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8"/>
      <w:r>
        <w:rPr>
          <w:sz w:val="24"/>
          <w:szCs w:val="24"/>
        </w:rPr>
        <w:t xml:space="preserve"> </w:t>
      </w:r>
      <w:bookmarkEnd w:id="33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Fonts w:eastAsia="Calibri"/>
          <w:lang w:eastAsia="x-none"/>
        </w:rPr>
        <w:t xml:space="preserve"> </w:t>
      </w:r>
      <w:r>
        <w:rPr>
          <w:rFonts w:eastAsia="Calibri"/>
          <w:lang w:eastAsia="x-none"/>
        </w:rPr>
        <w:t>29.20.21.110 Поставка контейнера общего назначения (универсального) в Нерюнгринский район, Республика Саха (Якутия) для нужд Строительного участка Нерюнгри Дальневосточного филиала АО «ТК РусГидро»</w:t>
      </w:r>
      <w:r>
        <w:rPr>
          <w:rStyle w:val="Style8"/>
          <w:rFonts w:eastAsia="Calibri"/>
          <w:b w:val="false"/>
          <w:bCs/>
          <w:i w:val="false"/>
          <w:iCs w:val="false"/>
          <w:shd w:fill="auto" w:val="clear"/>
          <w:lang w:eastAsia="x-none"/>
        </w:rPr>
        <w:t>.</w:t>
      </w:r>
    </w:p>
    <w:tbl>
      <w:tblPr>
        <w:tblStyle w:val="1c"/>
        <w:tblW w:w="150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063"/>
        <w:gridCol w:w="2049"/>
        <w:gridCol w:w="2411"/>
        <w:gridCol w:w="849"/>
        <w:gridCol w:w="1710"/>
        <w:gridCol w:w="1694"/>
        <w:gridCol w:w="2093"/>
        <w:gridCol w:w="1406"/>
        <w:gridCol w:w="1746"/>
      </w:tblGrid>
      <w:tr>
        <w:trPr>
          <w:trHeight w:val="311" w:hRule="atLeast"/>
        </w:trPr>
        <w:tc>
          <w:tcPr>
            <w:tcW w:w="1063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049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26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404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5245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1063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49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26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i w:val="false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bCs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5245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0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4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Технические характеристики (параметры эквивалентности)</w:t>
            </w:r>
          </w:p>
        </w:tc>
        <w:tc>
          <w:tcPr>
            <w:tcW w:w="849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09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Технические характеристики (параметры эквивалентности)</w:t>
            </w:r>
          </w:p>
        </w:tc>
        <w:tc>
          <w:tcPr>
            <w:tcW w:w="1406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7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049" w:type="dxa"/>
            <w:tcBorders>
              <w:top w:val="nil"/>
              <w:left w:val="nil"/>
            </w:tcBorders>
            <w:shd w:color="000000" w:fill="FFFFFF" w:val="clear"/>
            <w:vAlign w:val="center"/>
          </w:tcPr>
          <w:p>
            <w:pPr>
              <w:pStyle w:val="Style34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 w:ascii="Calibri" w:hAnsi="Calibri"/>
                <w:color w:val="000000"/>
                <w:kern w:val="0"/>
                <w:sz w:val="22"/>
                <w:szCs w:val="22"/>
                <w:lang w:val="ru-RU" w:eastAsia="en-US" w:bidi="ar-SA"/>
              </w:rPr>
              <w:t>Контейнер общего назначения (универсальный)</w:t>
            </w:r>
          </w:p>
        </w:tc>
        <w:tc>
          <w:tcPr>
            <w:tcW w:w="2411" w:type="dxa"/>
            <w:tcBorders>
              <w:top w:val="nil"/>
              <w:lef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Внешние размеры: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Длина в мм. – не менее 6058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Ширина в мм. – не менее 2438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Высота в мм. – не менее 2591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Внутренние размеры: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Длина в мм. –не менее 5898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Ширина в мм. – не менее 2350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Высота в мм. – не менее 2381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Размеры проемов: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Ширина в мм. – не менее 2336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Высота в мм. – не менее 2291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Прочие характеристики: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Максимальная грузоподъемность в кг. – не менее 24000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Масса тары в кг. –  не более 2370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Полезная нагрузка в кг. – не более 21630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shd w:fill="auto" w:val="clear"/>
                <w:lang w:val="ru-RU" w:eastAsia="en-US" w:bidi="ar-SA"/>
              </w:rPr>
              <w:t>Объем в м.куб. –  не менее 33</w:t>
            </w:r>
          </w:p>
        </w:tc>
        <w:tc>
          <w:tcPr>
            <w:tcW w:w="84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Arial"/>
                <w:i w:val="false"/>
                <w:iCs w:val="false"/>
                <w:color w:val="000000"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093" w:type="dxa"/>
            <w:tcBorders/>
            <w:vAlign w:val="center"/>
          </w:tcPr>
          <w:p>
            <w:pPr>
              <w:pStyle w:val="Normal"/>
              <w:widowControl w:val="false"/>
              <w:shd w:val="clear" w:color="auto" w:fill="FFFFFF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cs="Arial"/>
              </w:rPr>
              <w:t xml:space="preserve"> </w:t>
            </w:r>
          </w:p>
        </w:tc>
        <w:tc>
          <w:tcPr>
            <w:tcW w:w="140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4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64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В соответствии с п. 6.6 ГОСТ Р 58760-2024 здания 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мобильные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 (инвентарные). Общие технические условия.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1780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 xml:space="preserve">Доставка и разгрузка силами Поставщика: Приморский край, г. 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Находка, (склад поставщика)</w:t>
            </w: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233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4. 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состоянию товара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Контейнер общего назначения (универсальный)  не должен иметь существенных дефектов и неисправностей, при наличии которых невозможна эксплуатация и транспортировка. Контейнер общего назначения (универсальный)  и все его механизмы должны быть в полностью исправном состоянии.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2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049" w:type="dxa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Поставляемый Товар должен быть пригодным для использования по своему назначению. Поставщик гарантирует, что Товар принадлежит ему на законном основании, в споре, залоге или под арестом не состоит, и не обременен правами третьих лиц.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6. </w:t>
            </w:r>
          </w:p>
        </w:tc>
        <w:tc>
          <w:tcPr>
            <w:tcW w:w="5309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106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049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26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счет-фактуру, копии документов, подтверждающие качество поставляемой продукции.</w:t>
            </w:r>
          </w:p>
        </w:tc>
        <w:tc>
          <w:tcPr>
            <w:tcW w:w="17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169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5245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ListParagraph"/>
        <w:numPr>
          <w:ilvl w:val="0"/>
          <w:numId w:val="6"/>
        </w:numPr>
        <w:jc w:val="center"/>
        <w:rPr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widowControl/>
        <w:numPr>
          <w:ilvl w:val="1"/>
          <w:numId w:val="6"/>
        </w:numPr>
        <w:bidi w:val="0"/>
        <w:spacing w:before="0" w:after="0"/>
        <w:ind w:firstLine="397" w:left="0" w:right="0"/>
        <w:contextualSpacing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>
      <w:pPr>
        <w:pStyle w:val="ListParagraph"/>
        <w:numPr>
          <w:ilvl w:val="1"/>
          <w:numId w:val="6"/>
        </w:numPr>
        <w:ind w:firstLine="426" w:left="0"/>
        <w:jc w:val="both"/>
        <w:rPr>
          <w:sz w:val="24"/>
          <w:szCs w:val="24"/>
        </w:rPr>
      </w:pPr>
      <w:r>
        <w:rPr>
          <w:sz w:val="24"/>
          <w:szCs w:val="24"/>
        </w:rPr>
        <w:t>Дополнительные документы по ценообразованию в состав заявки не включаются.</w:t>
      </w:r>
    </w:p>
    <w:p>
      <w:pPr>
        <w:pStyle w:val="ListParagraph"/>
        <w:tabs>
          <w:tab w:val="clear" w:pos="709"/>
          <w:tab w:val="left" w:pos="851" w:leader="none"/>
        </w:tabs>
        <w:ind w:hanging="0" w:left="410"/>
        <w:jc w:val="both"/>
        <w:rPr>
          <w:iCs/>
          <w:color w:val="000000" w:themeColor="text1"/>
          <w:lang w:eastAsia="x-none"/>
        </w:rPr>
      </w:pPr>
      <w:r>
        <w:rPr>
          <w:iCs/>
          <w:color w:val="000000" w:themeColor="text1"/>
          <w:lang w:eastAsia="x-none"/>
        </w:rPr>
      </w:r>
    </w:p>
    <w:p>
      <w:pPr>
        <w:pStyle w:val="Normal"/>
        <w:tabs>
          <w:tab w:val="clear" w:pos="709"/>
          <w:tab w:val="left" w:pos="851" w:leader="none"/>
        </w:tabs>
        <w:spacing w:before="0" w:after="120"/>
        <w:ind w:hanging="0" w:left="410"/>
        <w:jc w:val="both"/>
        <w:rPr>
          <w:iCs/>
          <w:color w:val="000000" w:themeColor="text1"/>
          <w:sz w:val="24"/>
          <w:szCs w:val="24"/>
          <w:lang w:eastAsia="x-none"/>
        </w:rPr>
      </w:pPr>
      <w:r>
        <w:rPr>
          <w:iCs/>
          <w:color w:val="000000" w:themeColor="text1"/>
          <w:sz w:val="24"/>
          <w:szCs w:val="24"/>
          <w:lang w:eastAsia="x-none"/>
        </w:rPr>
      </w:r>
    </w:p>
    <w:p>
      <w:pPr>
        <w:pStyle w:val="Normal"/>
        <w:ind w:firstLine="851"/>
        <w:rPr>
          <w:color w:val="1F4E79"/>
          <w:sz w:val="24"/>
          <w:szCs w:val="24"/>
        </w:rPr>
      </w:pPr>
      <w:r>
        <w:rPr>
          <w:color w:val="1F4E79"/>
          <w:sz w:val="24"/>
          <w:szCs w:val="24"/>
        </w:rPr>
      </w:r>
    </w:p>
    <w:p>
      <w:pPr>
        <w:pStyle w:val="Normal"/>
        <w:ind w:firstLine="851"/>
        <w:rPr>
          <w:color w:val="1F497D"/>
          <w:sz w:val="24"/>
          <w:szCs w:val="24"/>
          <w:lang w:eastAsia="en-US"/>
        </w:rPr>
      </w:pPr>
      <w:r>
        <w:rPr>
          <w:color w:val="1F497D"/>
          <w:sz w:val="24"/>
          <w:szCs w:val="24"/>
          <w:lang w:eastAsia="en-US"/>
        </w:rPr>
      </w:r>
    </w:p>
    <w:p>
      <w:pPr>
        <w:pStyle w:val="Normal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ab/>
        <w:tab/>
        <w:tab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-16" w:hanging="42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  <w:bCs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numPr>
        <w:ilvl w:val="2"/>
        <w:numId w:val="3"/>
      </w:numPr>
      <w:spacing w:before="120" w:after="0"/>
      <w:ind w:hanging="0" w:left="567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lineRule="auto" w:line="360"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9CE6-E0D3-4B72-A1F3-0D6CF605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Application>AlterOffice/2026.2.0.0$Linux_X86_64 LibreOffice_project/bc4ef1adf80b36c7a6365f8ed6cbf29021361edd</Application>
  <AppVersion>15.0000</AppVersion>
  <Pages>7</Pages>
  <Words>724</Words>
  <Characters>4744</Characters>
  <CharactersWithSpaces>5324</CharactersWithSpaces>
  <Paragraphs>163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2024-03-14T00:42:00Z</dcterms:created>
  <dc:creator>Быстров Олег Геннадьевич</dc:creator>
  <dc:description/>
  <dc:language>ru-RU</dc:language>
  <cp:lastModifiedBy>sultanovmm@corp.gidroogk.com</cp:lastModifiedBy>
  <cp:lastPrinted>2023-04-21T04:33:00Z</cp:lastPrinted>
  <dcterms:modified xsi:type="dcterms:W3CDTF">2026-10-13T14:52:30Z</dcterms:modified>
  <cp:revision>48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