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  <w:t>Приложение  №1 — Опросной лист на щит постоянного тока ПС Возжаевка</w:t>
      </w:r>
    </w:p>
    <w:p>
      <w:pPr>
        <w:pStyle w:val="Normal"/>
        <w:jc w:val="center"/>
        <w:rPr>
          <w:b/>
          <w:b/>
          <w:sz w:val="26"/>
          <w:szCs w:val="26"/>
        </w:rPr>
      </w:pPr>
      <w:r>
        <w:rPr/>
      </w:r>
    </w:p>
    <w:tbl>
      <w:tblPr>
        <w:tblW w:w="10065" w:type="dxa"/>
        <w:jc w:val="left"/>
        <w:tblInd w:w="-470" w:type="dxa"/>
        <w:tblLayout w:type="fixed"/>
        <w:tblCellMar>
          <w:top w:w="0" w:type="dxa"/>
          <w:left w:w="9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4875"/>
        <w:gridCol w:w="1927"/>
        <w:gridCol w:w="1701"/>
        <w:gridCol w:w="1561"/>
      </w:tblGrid>
      <w:tr>
        <w:trPr>
          <w:tblHeader w:val="true"/>
          <w:trHeight w:val="5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Style21"/>
              <w:widowControl w:val="false"/>
              <w:spacing w:before="60" w:after="60"/>
              <w:rPr>
                <w:szCs w:val="22"/>
              </w:rPr>
            </w:pPr>
            <w:r>
              <w:rPr>
                <w:szCs w:val="22"/>
              </w:rPr>
              <w:t xml:space="preserve">Технические характеристики </w:t>
            </w:r>
          </w:p>
          <w:p>
            <w:pPr>
              <w:pStyle w:val="Style21"/>
              <w:widowControl w:val="false"/>
              <w:spacing w:before="60" w:after="60"/>
              <w:rPr>
                <w:szCs w:val="22"/>
              </w:rPr>
            </w:pPr>
            <w:r>
              <w:rPr>
                <w:szCs w:val="22"/>
              </w:rPr>
              <w:t>(наименование параметра)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Style21"/>
              <w:widowControl w:val="false"/>
              <w:spacing w:before="60" w:after="60"/>
              <w:rPr>
                <w:szCs w:val="22"/>
              </w:rPr>
            </w:pPr>
            <w:r>
              <w:rPr>
                <w:szCs w:val="22"/>
              </w:rPr>
              <w:t>Требование заказчика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Style21"/>
              <w:widowControl w:val="false"/>
              <w:spacing w:before="60" w:after="60"/>
              <w:rPr>
                <w:szCs w:val="22"/>
              </w:rPr>
            </w:pPr>
            <w:r>
              <w:rPr>
                <w:szCs w:val="22"/>
              </w:rPr>
              <w:t>Предложение участника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Style21"/>
              <w:widowControl w:val="false"/>
              <w:spacing w:before="60" w:after="60"/>
              <w:rPr>
                <w:szCs w:val="22"/>
              </w:rPr>
            </w:pPr>
            <w:r>
              <w:rPr>
                <w:szCs w:val="22"/>
              </w:rPr>
              <w:t>Примечание</w:t>
            </w:r>
          </w:p>
        </w:tc>
      </w:tr>
      <w:tr>
        <w:trPr>
          <w:trHeight w:val="263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0"/>
                <w:numId w:val="2"/>
              </w:numPr>
              <w:spacing w:before="12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Характеристики нагрузки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Номинальное напряжение, В 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Допустимый диапазон напряжения на шинах управления и сигнализации (ШУ/ШС), В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Style19"/>
              <w:widowControl w:val="false"/>
              <w:tabs>
                <w:tab w:val="clear" w:pos="708"/>
                <w:tab w:val="left" w:pos="175" w:leader="none"/>
                <w:tab w:val="left" w:pos="2052" w:leader="none"/>
              </w:tabs>
              <w:spacing w:before="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от </w:t>
            </w:r>
            <w:r>
              <w:rPr>
                <w:rFonts w:ascii="Times New Roman" w:hAnsi="Times New Roman"/>
                <w:sz w:val="22"/>
                <w:szCs w:val="22"/>
                <w:u w:val="single"/>
              </w:rPr>
              <w:t>187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до </w:t>
            </w:r>
            <w:r>
              <w:rPr>
                <w:rFonts w:ascii="Times New Roman" w:hAnsi="Times New Roman"/>
                <w:sz w:val="22"/>
                <w:szCs w:val="22"/>
                <w:u w:val="single"/>
              </w:rPr>
              <w:t>242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tabs>
                <w:tab w:val="clear" w:pos="708"/>
                <w:tab w:val="left" w:pos="175" w:leader="none"/>
                <w:tab w:val="left" w:pos="2052" w:leader="none"/>
              </w:tabs>
              <w:spacing w:before="0" w:after="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tabs>
                <w:tab w:val="clear" w:pos="708"/>
                <w:tab w:val="left" w:pos="175" w:leader="none"/>
                <w:tab w:val="left" w:pos="2052" w:leader="none"/>
              </w:tabs>
              <w:spacing w:before="0" w:after="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Допустимый диапазон напряжения на шинах питания (ШП), В 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Style19"/>
              <w:widowControl w:val="false"/>
              <w:tabs>
                <w:tab w:val="clear" w:pos="708"/>
                <w:tab w:val="left" w:pos="252" w:leader="none"/>
                <w:tab w:val="left" w:pos="2052" w:leader="none"/>
              </w:tabs>
              <w:spacing w:before="0" w:after="60"/>
              <w:jc w:val="center"/>
              <w:rPr/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от </w:t>
            </w:r>
            <w:r>
              <w:rPr>
                <w:rFonts w:ascii="Times New Roman" w:hAnsi="Times New Roman"/>
                <w:sz w:val="22"/>
                <w:szCs w:val="22"/>
                <w:u w:val="single"/>
              </w:rPr>
              <w:t>187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до </w:t>
            </w:r>
            <w:r>
              <w:rPr>
                <w:rFonts w:ascii="Times New Roman" w:hAnsi="Times New Roman"/>
                <w:sz w:val="22"/>
                <w:szCs w:val="22"/>
                <w:u w:val="single"/>
              </w:rPr>
              <w:t>275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tabs>
                <w:tab w:val="clear" w:pos="708"/>
                <w:tab w:val="left" w:pos="252" w:leader="none"/>
                <w:tab w:val="left" w:pos="2052" w:leader="none"/>
              </w:tabs>
              <w:spacing w:before="0" w:after="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tabs>
                <w:tab w:val="clear" w:pos="708"/>
                <w:tab w:val="left" w:pos="252" w:leader="none"/>
                <w:tab w:val="left" w:pos="2052" w:leader="none"/>
              </w:tabs>
              <w:spacing w:before="0" w:after="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Установившийся ток, потребляемый постоянной нагрузкой в штатном режиме на шинах управления и сигнализации (ШУ/ШС), А 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9,2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Установившийся ток, потребляемый постоянной нагрузкой в аварийном режиме на шинах управления и сигнализации (ШУ/ШС), А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Максимальный ток кратковременной толчковой нагрузки в шинах питания (ШП), А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262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Максимальная продолжительность толчковой нагрузки в шинах питания (ШП), сек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0"/>
                <w:numId w:val="2"/>
              </w:numPr>
              <w:spacing w:before="120" w:after="0"/>
              <w:ind w:left="432" w:hanging="398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Опции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Контроль напряжения и пульсаций на шинах ШУ 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Контроль напряжения и пульсаций на шинах ШП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Контроль симметрии АБ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Тип системы контроля изоляции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смешанный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Пофидерный контроль изоляции на шинах управления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Пофидерный контроль изоляции на шинах питания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Тип системы пофидерного  контроля изоляции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/>
            </w:pPr>
            <w:r>
              <w:rPr>
                <w:sz w:val="22"/>
                <w:szCs w:val="22"/>
              </w:rPr>
              <w:t xml:space="preserve">Ридус СКИ </w:t>
            </w:r>
          </w:p>
          <w:p>
            <w:pPr>
              <w:pStyle w:val="Normal"/>
              <w:widowControl w:val="false"/>
              <w:spacing w:before="0" w:after="60"/>
              <w:jc w:val="center"/>
              <w:rPr/>
            </w:pPr>
            <w:r>
              <w:rPr>
                <w:sz w:val="22"/>
                <w:szCs w:val="22"/>
              </w:rPr>
              <w:t>(или аналог)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Посекционный контроль изоляции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Тип системы посекционного контроля изоляции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/>
            </w:pPr>
            <w:r>
              <w:rPr>
                <w:sz w:val="22"/>
                <w:szCs w:val="22"/>
              </w:rPr>
              <w:t xml:space="preserve">Ридус СКИ </w:t>
            </w:r>
          </w:p>
          <w:p>
            <w:pPr>
              <w:pStyle w:val="Normal"/>
              <w:widowControl w:val="false"/>
              <w:spacing w:before="0" w:after="60"/>
              <w:jc w:val="center"/>
              <w:rPr/>
            </w:pPr>
            <w:r>
              <w:rPr>
                <w:sz w:val="22"/>
                <w:szCs w:val="22"/>
              </w:rPr>
              <w:t>(или аналог)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Основные функции автоматического стационарного устройства контроля изоляции:</w:t>
            </w:r>
          </w:p>
          <w:p>
            <w:pPr>
              <w:pStyle w:val="Style19"/>
              <w:widowControl w:val="false"/>
              <w:spacing w:before="0" w:after="60"/>
              <w:ind w:left="1026" w:hanging="0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 диапазон сопротивлений при обнаружении фидера с повреждением изоляции в сети постоянного тока: 0-200 кОм;</w:t>
            </w:r>
          </w:p>
          <w:p>
            <w:pPr>
              <w:pStyle w:val="Style19"/>
              <w:widowControl w:val="false"/>
              <w:spacing w:before="0" w:after="60"/>
              <w:ind w:left="1026" w:hanging="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 обнаружение фидера при равном сопротивлении на каждом полюсе отходящей линии (симметричная</w:t>
            </w:r>
            <w:r>
              <w:rPr>
                <w:rFonts w:ascii="Times New Roman" w:hAnsi="Times New Roman"/>
                <w:color w:val="FF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земля);</w:t>
            </w:r>
          </w:p>
          <w:p>
            <w:pPr>
              <w:pStyle w:val="Style19"/>
              <w:widowControl w:val="false"/>
              <w:spacing w:before="0" w:after="60"/>
              <w:ind w:left="1026" w:hanging="0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 цикл опроса всех фидеров сети постоянного тока, не более 60 сек;</w:t>
            </w:r>
          </w:p>
          <w:p>
            <w:pPr>
              <w:pStyle w:val="Style19"/>
              <w:widowControl w:val="false"/>
              <w:spacing w:before="0" w:after="60"/>
              <w:ind w:left="1026" w:hanging="0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 устойчивая работа в сети постоянного тока при емкости сети 250 мкФ;</w:t>
            </w:r>
          </w:p>
          <w:p>
            <w:pPr>
              <w:pStyle w:val="Style19"/>
              <w:widowControl w:val="false"/>
              <w:spacing w:before="0" w:after="60"/>
              <w:ind w:left="1026" w:hanging="0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 обнаружение фидеров при многоточечных утечках тока на «землю»;</w:t>
            </w:r>
          </w:p>
          <w:p>
            <w:pPr>
              <w:pStyle w:val="Style19"/>
              <w:widowControl w:val="false"/>
              <w:spacing w:before="0" w:after="60"/>
              <w:ind w:left="1026" w:hanging="0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 определение полюса сети постоянного тока со сниженным сопротивлением изоляции относительно земли</w:t>
            </w:r>
          </w:p>
          <w:p>
            <w:pPr>
              <w:pStyle w:val="Style19"/>
              <w:widowControl w:val="false"/>
              <w:spacing w:before="0" w:after="60"/>
              <w:ind w:left="1026" w:hanging="0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 работа от сети постоянного тока напряжением 220В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before="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before="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Наличие переносного устройства определения места утечки на «землю»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Наличие устройства мигающего света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Блок аварийного освещения, мощность, количество отходящих линий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 _</w:t>
            </w:r>
            <w:r>
              <w:rPr>
                <w:sz w:val="22"/>
                <w:szCs w:val="22"/>
                <w:u w:val="single"/>
              </w:rPr>
              <w:t>3</w:t>
            </w:r>
            <w:r>
              <w:rPr>
                <w:sz w:val="22"/>
                <w:szCs w:val="22"/>
              </w:rPr>
              <w:t>_      Линий_</w:t>
            </w:r>
            <w:r>
              <w:rPr>
                <w:sz w:val="22"/>
                <w:szCs w:val="22"/>
                <w:u w:val="single"/>
              </w:rPr>
              <w:t>4</w:t>
            </w:r>
            <w:r>
              <w:rPr>
                <w:sz w:val="22"/>
                <w:szCs w:val="22"/>
              </w:rPr>
              <w:t>__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Уровень автоматизации 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1 - сухие контакты</w:t>
            </w:r>
          </w:p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2 - </w:t>
            </w:r>
            <w:r>
              <w:rPr>
                <w:sz w:val="22"/>
                <w:szCs w:val="22"/>
                <w:lang w:val="en-US"/>
              </w:rPr>
              <w:t>RS</w:t>
            </w:r>
            <w:r>
              <w:rPr>
                <w:sz w:val="22"/>
                <w:szCs w:val="22"/>
              </w:rPr>
              <w:t>485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Тип системы мониторинга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МКА Ридус </w:t>
            </w:r>
          </w:p>
          <w:p>
            <w:pPr>
              <w:pStyle w:val="Normal"/>
              <w:widowControl w:val="false"/>
              <w:spacing w:before="0" w:after="6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(или агалог)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rPr>
                <w:rFonts w:ascii="Times New Roman" w:hAnsi="Times New Roman"/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rPr>
                <w:rFonts w:ascii="Times New Roman" w:hAnsi="Times New Roman"/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Требования к контроллеру для системы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мониторинга:</w:t>
              <w:br/>
              <w:t>- Наличие в ЩПТ микроконтроллерного комплекса автоматизации и мониторинга (МКА) модульного типа;</w:t>
            </w:r>
          </w:p>
          <w:p>
            <w:pPr>
              <w:pStyle w:val="Style19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1026" w:leader="none"/>
              </w:tabs>
              <w:spacing w:before="0" w:after="60"/>
              <w:ind w:left="576" w:hanging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 Все модули МКА должны быть из одной линейки одного производителя;</w:t>
              <w:br/>
              <w:t>- МКА должен иметь графический дисплей для отображения информации;</w:t>
            </w:r>
          </w:p>
          <w:p>
            <w:pPr>
              <w:pStyle w:val="Style19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1026" w:leader="none"/>
              </w:tabs>
              <w:spacing w:before="0" w:after="60"/>
              <w:ind w:left="576" w:hanging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 Модули МКА должны иметь гальваническую развязку всех входов для измерения аналоговых величин;</w:t>
              <w:br/>
              <w:t>- МКА должен иметь возможность регистрации аналоговых и дискретных сигналов нормального режима в системе СОПТ;</w:t>
            </w:r>
          </w:p>
          <w:p>
            <w:pPr>
              <w:pStyle w:val="Style19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1026" w:leader="none"/>
              </w:tabs>
              <w:spacing w:before="0" w:after="60"/>
              <w:ind w:left="576" w:hanging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 МКА должен иметь возможность регистрации аналоговых и дискретных сигналов аварийных событий, произошедших в системе СОПТ.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before="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before="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before="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before="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before="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before="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before="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before="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rPr>
                <w:rFonts w:ascii="Times New Roman" w:hAnsi="Times New Roman"/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rPr>
                <w:rFonts w:ascii="Times New Roman" w:hAnsi="Times New Roman"/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21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885" w:leader="none"/>
              </w:tabs>
              <w:spacing w:before="120" w:after="0"/>
              <w:ind w:left="1026" w:hanging="992"/>
              <w:jc w:val="left"/>
              <w:rPr>
                <w:szCs w:val="22"/>
              </w:rPr>
            </w:pPr>
            <w:r>
              <w:rPr>
                <w:szCs w:val="22"/>
              </w:rPr>
              <w:t>Визуальный контроль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885" w:hanging="85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Тип приборов на лицевых панелях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Style19"/>
              <w:widowControl w:val="false"/>
              <w:spacing w:before="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цифровые с выходом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RS</w:t>
            </w:r>
            <w:r>
              <w:rPr>
                <w:rFonts w:ascii="Times New Roman" w:hAnsi="Times New Roman"/>
                <w:sz w:val="22"/>
                <w:szCs w:val="22"/>
              </w:rPr>
              <w:t>485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spacing w:before="0" w:after="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spacing w:before="0" w:after="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102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Сигнал индикации состояния защитно-коммутационных устройств 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2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«Включено»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spacing w:before="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красный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spacing w:before="0" w:after="60"/>
              <w:rPr>
                <w:rFonts w:ascii="Times New Roman" w:hAnsi="Times New Roman"/>
                <w:sz w:val="22"/>
                <w:szCs w:val="22"/>
                <w:highlight w:val="black"/>
              </w:rPr>
            </w:pPr>
            <w:r>
              <w:rPr>
                <w:rFonts w:ascii="Times New Roman" w:hAnsi="Times New Roman"/>
                <w:sz w:val="22"/>
                <w:szCs w:val="22"/>
                <w:highlight w:val="black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spacing w:before="0" w:after="60"/>
              <w:rPr>
                <w:rFonts w:ascii="Times New Roman" w:hAnsi="Times New Roman"/>
                <w:sz w:val="22"/>
                <w:szCs w:val="22"/>
                <w:highlight w:val="black"/>
              </w:rPr>
            </w:pPr>
            <w:r>
              <w:rPr>
                <w:rFonts w:ascii="Times New Roman" w:hAnsi="Times New Roman"/>
                <w:sz w:val="22"/>
                <w:szCs w:val="22"/>
                <w:highlight w:val="black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2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«Выключено»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spacing w:before="0" w:after="60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зеленый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spacing w:before="0" w:after="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spacing w:before="0" w:after="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2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«Аварийное выключение»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spacing w:before="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зеленый мигающий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spacing w:before="0" w:after="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spacing w:before="0" w:after="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cantSplit w:val="true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2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«Общая авария»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spacing w:before="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белый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spacing w:before="0" w:after="60"/>
              <w:rPr>
                <w:rFonts w:ascii="Times New Roman" w:hAnsi="Times New Roman"/>
                <w:sz w:val="22"/>
                <w:szCs w:val="22"/>
                <w:highlight w:val="black"/>
              </w:rPr>
            </w:pPr>
            <w:r>
              <w:rPr>
                <w:rFonts w:ascii="Times New Roman" w:hAnsi="Times New Roman"/>
                <w:sz w:val="22"/>
                <w:szCs w:val="22"/>
                <w:highlight w:val="black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spacing w:before="0" w:after="60"/>
              <w:rPr>
                <w:rFonts w:ascii="Times New Roman" w:hAnsi="Times New Roman"/>
                <w:sz w:val="22"/>
                <w:szCs w:val="22"/>
                <w:highlight w:val="black"/>
              </w:rPr>
            </w:pPr>
            <w:r>
              <w:rPr>
                <w:rFonts w:ascii="Times New Roman" w:hAnsi="Times New Roman"/>
                <w:sz w:val="22"/>
                <w:szCs w:val="22"/>
                <w:highlight w:val="black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885" w:leader="none"/>
              </w:tabs>
              <w:spacing w:before="120" w:after="0"/>
              <w:ind w:left="1026" w:hanging="992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Конструкция шкафов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Тип шкафов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/>
            </w:pPr>
            <w:r>
              <w:rPr>
                <w:sz w:val="22"/>
                <w:szCs w:val="22"/>
                <w:lang w:val="en-US"/>
              </w:rPr>
              <w:t>ТЛ (</w:t>
            </w:r>
            <w:r>
              <w:rPr>
                <w:sz w:val="22"/>
                <w:szCs w:val="22"/>
              </w:rPr>
              <w:t>либо аналог)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b/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b/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20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 w:cs="Times New Roman"/>
                <w:b w:val="false"/>
                <w:b w:val="false"/>
                <w:i w:val="false"/>
                <w:i w:val="false"/>
              </w:rPr>
            </w:pPr>
            <w:r>
              <w:rPr>
                <w:rFonts w:cs="Times New Roman" w:ascii="Times New Roman" w:hAnsi="Times New Roman"/>
                <w:b w:val="false"/>
                <w:i w:val="false"/>
              </w:rPr>
              <w:t>Цвет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RAL</w:t>
            </w:r>
            <w:r>
              <w:rPr>
                <w:sz w:val="22"/>
                <w:szCs w:val="22"/>
              </w:rPr>
              <w:t xml:space="preserve"> 7035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/>
            </w:pPr>
            <w:r>
              <w:rPr>
                <w:rFonts w:ascii="Times New Roman" w:hAnsi="Times New Roman"/>
                <w:sz w:val="22"/>
                <w:szCs w:val="22"/>
              </w:rPr>
              <w:t>Габаритные размеры ЩПТ (ВхШхГ),не более мм</w:t>
              <w:tab/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/>
            </w:pPr>
            <w:r>
              <w:rPr>
                <w:sz w:val="22"/>
                <w:szCs w:val="22"/>
              </w:rPr>
              <w:t>2000х2400х600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bidi w:val="0"/>
              <w:spacing w:lineRule="auto" w:line="240" w:before="0" w:after="60"/>
              <w:ind w:left="1191" w:right="0" w:hanging="1077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Необходимость наличия цоколя (высота), мм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Да, 100 мм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Расположение ввода АБ (ЗВУ, ШВАБ)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Снизу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Расположение вводов отходящих линий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Снизу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Обслуживание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Двустороннее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Класс защиты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/>
            </w:pPr>
            <w:r>
              <w:rPr>
                <w:sz w:val="22"/>
                <w:szCs w:val="22"/>
                <w:lang w:val="en-US"/>
              </w:rPr>
              <w:t>IP31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Исполнение фасада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21"/>
              <w:widowControl w:val="false"/>
              <w:spacing w:before="0" w:after="60"/>
              <w:rPr>
                <w:b w:val="false"/>
                <w:b w:val="false"/>
                <w:i/>
                <w:i/>
                <w:szCs w:val="22"/>
              </w:rPr>
            </w:pPr>
            <w:r>
              <w:rPr>
                <w:b w:val="false"/>
                <w:szCs w:val="22"/>
              </w:rPr>
              <w:t>сплошная дверь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21"/>
              <w:widowControl w:val="false"/>
              <w:spacing w:before="0" w:after="60"/>
              <w:jc w:val="left"/>
              <w:rPr>
                <w:szCs w:val="22"/>
                <w:highlight w:val="black"/>
              </w:rPr>
            </w:pPr>
            <w:r>
              <w:rPr>
                <w:szCs w:val="22"/>
                <w:highlight w:val="black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21"/>
              <w:widowControl w:val="false"/>
              <w:spacing w:before="0" w:after="60"/>
              <w:jc w:val="left"/>
              <w:rPr>
                <w:szCs w:val="22"/>
                <w:highlight w:val="black"/>
              </w:rPr>
            </w:pPr>
            <w:r>
              <w:rPr>
                <w:szCs w:val="22"/>
                <w:highlight w:val="black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1026" w:leader="none"/>
              </w:tabs>
              <w:spacing w:before="0" w:after="60"/>
              <w:ind w:left="61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4.10           Номинальный значения токов коммутационных аппаратов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21"/>
              <w:widowControl w:val="false"/>
              <w:spacing w:before="0" w:after="6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см. Приложение 4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21"/>
              <w:widowControl w:val="false"/>
              <w:spacing w:before="0" w:after="60"/>
              <w:jc w:val="left"/>
              <w:rPr>
                <w:szCs w:val="22"/>
                <w:highlight w:val="black"/>
              </w:rPr>
            </w:pPr>
            <w:r>
              <w:rPr>
                <w:szCs w:val="22"/>
                <w:highlight w:val="black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21"/>
              <w:widowControl w:val="false"/>
              <w:spacing w:before="0" w:after="60"/>
              <w:jc w:val="left"/>
              <w:rPr>
                <w:szCs w:val="22"/>
                <w:highlight w:val="black"/>
              </w:rPr>
            </w:pPr>
            <w:r>
              <w:rPr>
                <w:szCs w:val="22"/>
                <w:highlight w:val="black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885" w:leader="none"/>
              </w:tabs>
              <w:spacing w:before="120" w:after="0"/>
              <w:ind w:left="1026" w:hanging="992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Технические требования к ЩПТ 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Климатическое исполнение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УХЛ4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Требования к сейсмостойкости</w:t>
              <w:tab/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0….+35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Требования к технической документации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экземпляра на</w:t>
            </w:r>
          </w:p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русском языке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Объем поставки ЗИП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полный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111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0"/>
                <w:numId w:val="2"/>
              </w:numPr>
              <w:spacing w:before="0" w:after="6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Дополнительные требования заказчика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180" w:leader="none"/>
              </w:tabs>
              <w:spacing w:before="0" w:after="60"/>
              <w:ind w:left="0" w:hanging="0"/>
              <w:contextualSpacing/>
              <w:jc w:val="both"/>
              <w:rPr/>
            </w:pPr>
            <w:r>
              <w:rPr>
                <w:sz w:val="22"/>
                <w:szCs w:val="22"/>
              </w:rPr>
              <w:t>Электрическая схема ЩПТ приведена в приложении 4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ListParagraph"/>
              <w:widowControl w:val="false"/>
              <w:tabs>
                <w:tab w:val="clear" w:pos="708"/>
                <w:tab w:val="left" w:pos="180" w:leader="none"/>
              </w:tabs>
              <w:spacing w:before="0" w:after="60"/>
              <w:ind w:left="-104" w:hanging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ListParagraph"/>
              <w:widowControl w:val="false"/>
              <w:tabs>
                <w:tab w:val="clear" w:pos="708"/>
                <w:tab w:val="left" w:pos="180" w:leader="none"/>
              </w:tabs>
              <w:spacing w:before="0" w:after="60"/>
              <w:ind w:left="-104" w:hanging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701" w:right="850" w:header="0" w:top="709" w:footer="0" w:bottom="1134" w:gutter="0"/>
      <w:pgNumType w:fmt="decimal"/>
      <w:formProt w:val="false"/>
      <w:textDirection w:val="lrTb"/>
      <w:docGrid w:type="default" w:linePitch="360" w:charSpace="184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4"/>
      <w:numFmt w:val="decimal"/>
      <w:lvlText w:val="%1."/>
      <w:lvlJc w:val="left"/>
      <w:pPr>
        <w:tabs>
          <w:tab w:val="num" w:pos="0"/>
        </w:tabs>
        <w:ind w:left="284" w:hanging="284"/>
      </w:pPr>
      <w:rPr>
        <w:sz w:val="22"/>
        <w:i w:val="false"/>
        <w:b/>
        <w:szCs w:val="22"/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"/>
      <w:lvlJc w:val="left"/>
      <w:pPr>
        <w:tabs>
          <w:tab w:val="num" w:pos="0"/>
        </w:tabs>
        <w:ind w:left="432" w:hanging="432"/>
      </w:pPr>
      <w:rPr>
        <w:sz w:val="22"/>
        <w:b/>
        <w:rFonts w:ascii="Times New Roman" w:hAnsi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2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47116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0"/>
      <w:szCs w:val="20"/>
      <w:lang w:val="ru-RU" w:eastAsia="ru-RU" w:bidi="ar-SA"/>
    </w:rPr>
  </w:style>
  <w:style w:type="paragraph" w:styleId="4">
    <w:name w:val="Heading 4"/>
    <w:basedOn w:val="Normal"/>
    <w:link w:val="40"/>
    <w:unhideWhenUsed/>
    <w:qFormat/>
    <w:rsid w:val="00347116"/>
    <w:pPr>
      <w:keepNext w:val="true"/>
      <w:numPr>
        <w:ilvl w:val="0"/>
        <w:numId w:val="1"/>
      </w:numPr>
      <w:tabs>
        <w:tab w:val="clear" w:pos="708"/>
        <w:tab w:val="left" w:pos="5103" w:leader="none"/>
      </w:tabs>
      <w:spacing w:before="120" w:after="120"/>
      <w:outlineLvl w:val="0"/>
    </w:pPr>
    <w:rPr>
      <w:rFonts w:ascii="Arial" w:hAnsi="Arial"/>
      <w:b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41" w:customStyle="1">
    <w:name w:val="Заголовок 4 Знак"/>
    <w:basedOn w:val="DefaultParagraphFont"/>
    <w:link w:val="4"/>
    <w:qFormat/>
    <w:rsid w:val="00347116"/>
    <w:rPr>
      <w:rFonts w:ascii="Arial" w:hAnsi="Arial" w:eastAsia="Times New Roman" w:cs="Times New Roman"/>
      <w:b/>
      <w:sz w:val="20"/>
      <w:szCs w:val="20"/>
      <w:lang w:eastAsia="ru-RU"/>
    </w:rPr>
  </w:style>
  <w:style w:type="character" w:styleId="Style13" w:customStyle="1">
    <w:name w:val="ПодРаздел Знак"/>
    <w:link w:val="a5"/>
    <w:qFormat/>
    <w:locked/>
    <w:rsid w:val="00347116"/>
    <w:rPr>
      <w:b/>
      <w:bCs/>
      <w:i/>
      <w:iCs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Lohit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Style19" w:customStyle="1">
    <w:name w:val="Таблица"/>
    <w:basedOn w:val="Normal"/>
    <w:qFormat/>
    <w:rsid w:val="00347116"/>
    <w:pPr>
      <w:spacing w:before="0" w:after="120"/>
    </w:pPr>
    <w:rPr>
      <w:rFonts w:ascii="Arial" w:hAnsi="Arial"/>
      <w:sz w:val="24"/>
    </w:rPr>
  </w:style>
  <w:style w:type="paragraph" w:styleId="00" w:customStyle="1">
    <w:name w:val="Стиль Первая строка:  0 см После:  0 пт"/>
    <w:basedOn w:val="Normal"/>
    <w:qFormat/>
    <w:rsid w:val="00347116"/>
    <w:pPr>
      <w:widowControl w:val="false"/>
      <w:spacing w:before="0" w:after="60"/>
      <w:jc w:val="both"/>
    </w:pPr>
    <w:rPr>
      <w:sz w:val="22"/>
    </w:rPr>
  </w:style>
  <w:style w:type="paragraph" w:styleId="Style20" w:customStyle="1">
    <w:name w:val="ПодРаздел"/>
    <w:basedOn w:val="Normal"/>
    <w:link w:val="a4"/>
    <w:qFormat/>
    <w:rsid w:val="00347116"/>
    <w:pPr>
      <w:keepNext w:val="true"/>
      <w:widowControl w:val="false"/>
      <w:spacing w:before="240" w:after="120"/>
      <w:ind w:firstLine="720"/>
      <w:jc w:val="both"/>
    </w:pPr>
    <w:rPr>
      <w:rFonts w:ascii="Calibri" w:hAnsi="Calibri" w:eastAsia="Calibri" w:cs="" w:asciiTheme="minorHAnsi" w:cstheme="minorBidi" w:eastAsiaTheme="minorHAnsi" w:hAnsiTheme="minorHAnsi"/>
      <w:b/>
      <w:bCs/>
      <w:i/>
      <w:iCs/>
      <w:sz w:val="22"/>
      <w:szCs w:val="22"/>
      <w:lang w:eastAsia="en-US"/>
    </w:rPr>
  </w:style>
  <w:style w:type="paragraph" w:styleId="Style21" w:customStyle="1">
    <w:name w:val="ЗаголовокТаблицы"/>
    <w:basedOn w:val="Normal"/>
    <w:qFormat/>
    <w:rsid w:val="00347116"/>
    <w:pPr>
      <w:keepNext w:val="true"/>
      <w:widowControl w:val="false"/>
      <w:spacing w:before="0" w:after="120"/>
      <w:jc w:val="center"/>
    </w:pPr>
    <w:rPr>
      <w:b/>
      <w:bCs/>
      <w:sz w:val="22"/>
      <w:szCs w:val="24"/>
    </w:rPr>
  </w:style>
  <w:style w:type="paragraph" w:styleId="ListParagraph">
    <w:name w:val="List Paragraph"/>
    <w:basedOn w:val="Normal"/>
    <w:uiPriority w:val="34"/>
    <w:qFormat/>
    <w:rsid w:val="00cb3f7f"/>
    <w:pPr>
      <w:spacing w:before="0" w:after="0"/>
      <w:ind w:left="720" w:hanging="0"/>
      <w:contextualSpacing/>
    </w:pPr>
    <w:rPr/>
  </w:style>
  <w:style w:type="paragraph" w:styleId="Style22">
    <w:name w:val="Другое"/>
    <w:basedOn w:val="Normal"/>
    <w:qFormat/>
    <w:pPr>
      <w:widowControl w:val="false"/>
      <w:shd w:val="clear" w:color="auto" w:fill="FFFFFF"/>
    </w:pPr>
    <w:rPr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16FCA4-9926-4D9D-A5A1-A131FFBA9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Application>LibreOffice/7.1.8.1$Linux_X86_64 LibreOffice_project/10$Build-1</Application>
  <AppVersion>15.0000</AppVersion>
  <DocSecurity>0</DocSecurity>
  <Pages>3</Pages>
  <Words>546</Words>
  <Characters>3366</Characters>
  <CharactersWithSpaces>3780</CharactersWithSpaces>
  <Paragraphs>115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2023-07-31T05:36:00Z</dcterms:created>
  <dc:creator>ets2</dc:creator>
  <dc:description/>
  <dc:language>ru-RU</dc:language>
  <cp:lastModifiedBy/>
  <dcterms:modified xsi:type="dcterms:W3CDTF">2026-09-23T08:58:07Z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