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6"/>
          <w:szCs w:val="26"/>
        </w:rPr>
      </w:pPr>
      <w:bookmarkStart w:id="0" w:name="_GoBack"/>
      <w:bookmarkEnd w:id="0"/>
      <w:r>
        <w:rPr>
          <w:b/>
          <w:sz w:val="26"/>
          <w:szCs w:val="26"/>
        </w:rPr>
        <w:t xml:space="preserve">Приложение №2 – Опросной лист на зарядно – выпрямительное устройство </w:t>
      </w:r>
    </w:p>
    <w:p>
      <w:pPr>
        <w:pStyle w:val="Normal"/>
        <w:jc w:val="center"/>
        <w:rPr>
          <w:b/>
          <w:b/>
          <w:sz w:val="26"/>
          <w:szCs w:val="26"/>
        </w:rPr>
      </w:pPr>
      <w:r>
        <w:rPr>
          <w:b/>
          <w:sz w:val="26"/>
          <w:szCs w:val="26"/>
        </w:rPr>
        <w:t>ПС Возжаевка</w:t>
      </w:r>
    </w:p>
    <w:p>
      <w:pPr>
        <w:pStyle w:val="Normal"/>
        <w:rPr>
          <w:b/>
          <w:b/>
          <w:sz w:val="26"/>
          <w:szCs w:val="26"/>
          <w:highlight w:val="yellow"/>
        </w:rPr>
      </w:pPr>
      <w:r>
        <w:rPr/>
      </w:r>
    </w:p>
    <w:tbl>
      <w:tblPr>
        <w:tblStyle w:val="a7"/>
        <w:tblW w:w="9638" w:type="dxa"/>
        <w:jc w:val="left"/>
        <w:tblInd w:w="-15" w:type="dxa"/>
        <w:tblLayout w:type="fixed"/>
        <w:tblCellMar>
          <w:top w:w="0" w:type="dxa"/>
          <w:left w:w="93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628"/>
        <w:gridCol w:w="3563"/>
        <w:gridCol w:w="2139"/>
        <w:gridCol w:w="1741"/>
        <w:gridCol w:w="1567"/>
      </w:tblGrid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 xml:space="preserve">№ </w:t>
            </w:r>
            <w:r>
              <w:rPr>
                <w:b/>
                <w:i/>
                <w:kern w:val="0"/>
                <w:sz w:val="22"/>
                <w:szCs w:val="22"/>
              </w:rPr>
              <w:t>п/п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Наименование параметра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Требование заказчика</w:t>
            </w:r>
          </w:p>
        </w:tc>
        <w:tc>
          <w:tcPr>
            <w:tcW w:w="1741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Предложение участника</w:t>
            </w:r>
          </w:p>
        </w:tc>
        <w:tc>
          <w:tcPr>
            <w:tcW w:w="1567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i/>
                <w:i/>
                <w:sz w:val="22"/>
                <w:szCs w:val="22"/>
              </w:rPr>
            </w:pPr>
            <w:r>
              <w:rPr>
                <w:b/>
                <w:i/>
                <w:kern w:val="0"/>
                <w:sz w:val="22"/>
                <w:szCs w:val="22"/>
              </w:rPr>
              <w:t>Примечание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Тип зарядно-выпрямительного устройства</w:t>
            </w:r>
          </w:p>
        </w:tc>
        <w:tc>
          <w:tcPr>
            <w:tcW w:w="213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ВТЗП </w:t>
            </w:r>
            <w:r>
              <w:rPr>
                <w:kern w:val="0"/>
                <w:sz w:val="22"/>
                <w:szCs w:val="22"/>
                <w:lang w:val="en-US"/>
              </w:rPr>
              <w:t>6</w:t>
            </w:r>
            <w:r>
              <w:rPr>
                <w:kern w:val="0"/>
                <w:sz w:val="22"/>
                <w:szCs w:val="22"/>
              </w:rPr>
              <w:t>0/220-40/42 УХЛ4 (либо аналог)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Тип выпрямителя</w:t>
            </w:r>
          </w:p>
        </w:tc>
        <w:tc>
          <w:tcPr>
            <w:tcW w:w="213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Полностью управляемый 6 тиристорный мост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Количество зарядно- выпрямительных устройств, шт.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</w:t>
            </w:r>
          </w:p>
        </w:tc>
        <w:tc>
          <w:tcPr>
            <w:tcW w:w="9010" w:type="dxa"/>
            <w:gridSpan w:val="4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b/>
                <w:b/>
                <w:bCs/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Электрические параметры: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Номинальный ток ЗВУ основной части, А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/>
              </w:rPr>
              <w:t>6</w:t>
            </w:r>
            <w:r>
              <w:rPr>
                <w:kern w:val="0"/>
                <w:sz w:val="22"/>
                <w:szCs w:val="22"/>
              </w:rPr>
              <w:t>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Номинальный ток ЗВУ дополнительной части, А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4.3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Частота переменного напряжения питания ЗВУ, Гц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50</w:t>
            </w:r>
            <w:r>
              <w:rPr>
                <w:rFonts w:eastAsia="Times New Roman" w:cs="Times New Roman"/>
                <w:kern w:val="0"/>
                <w:sz w:val="22"/>
                <w:szCs w:val="22"/>
              </w:rPr>
              <w:t>±5%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4.4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Напряжения питания ЗВУ, В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</w:rPr>
              <w:t>38</w:t>
            </w:r>
            <w:r>
              <w:rPr>
                <w:kern w:val="0"/>
                <w:sz w:val="22"/>
                <w:szCs w:val="22"/>
                <w:lang w:val="en-US"/>
              </w:rPr>
              <w:t>0</w:t>
            </w:r>
            <w:r>
              <w:rPr>
                <w:rFonts w:eastAsia="Symbol" w:cs="Symbol" w:ascii="Symbol" w:hAnsi="Symbol"/>
                <w:kern w:val="0"/>
                <w:sz w:val="22"/>
                <w:szCs w:val="22"/>
                <w:lang w:val="en-US"/>
              </w:rPr>
              <w:t></w:t>
            </w:r>
            <w:r>
              <w:rPr>
                <w:kern w:val="0"/>
                <w:sz w:val="22"/>
                <w:szCs w:val="22"/>
                <w:lang w:val="en-US"/>
              </w:rPr>
              <w:t>15</w:t>
            </w:r>
            <w:r>
              <w:rPr>
                <w:kern w:val="0"/>
                <w:sz w:val="22"/>
                <w:szCs w:val="22"/>
                <w:lang w:val="ru-MD"/>
              </w:rPr>
              <w:t>%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4.5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Число фаз напряжения питания ЗВУ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3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4.6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Номинальное выходное напряжение ЗВУ основного канала, В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220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4.7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Номинальное выходное напряжение ЗВУ дополнительного канала, В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42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4.8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>Ограничение выходного тока , %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105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4.9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highlight w:val="white"/>
              </w:rPr>
              <w:t>Диапазон регулирования выходного напряжения основного канала, В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highlight w:val="white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150-280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4.10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Диапазон регулирования выходного напряжения дополнительного канала, В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12-72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Стабильность выходного напряжения при ± 10 % колебаниях сетевого напряжения и 10‐100 % изменениях нагрузки, %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≤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0,5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eastAsia="Calibri" w:cs="Times New Roman" w:ascii="Times New Roman" w:hAnsi="Times New Roman" w:eastAsiaTheme="minorHAnsi"/>
                <w:kern w:val="0"/>
                <w:sz w:val="22"/>
                <w:szCs w:val="22"/>
                <w:highlight w:val="white"/>
                <w:lang w:eastAsia="en-US"/>
              </w:rPr>
              <w:t>Пульсации выходного напряжения при работе на активную нагрузку с отключенной аккумуляторной батареей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, %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highlight w:val="white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≤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>1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yellow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628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4.13</w:t>
            </w:r>
          </w:p>
        </w:tc>
        <w:tc>
          <w:tcPr>
            <w:tcW w:w="3563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ascii="Times New Roman" w:hAnsi="Times New Roman"/>
                <w:kern w:val="0"/>
                <w:sz w:val="22"/>
                <w:szCs w:val="22"/>
                <w:highlight w:val="white"/>
              </w:rPr>
              <w:t xml:space="preserve">Стабильность выходного напряжения при </w:t>
            </w:r>
            <w:r>
              <w:rPr>
                <w:rFonts w:eastAsia="Times New Roman" w:cs="ISOCPEUR" w:ascii="Times New Roman" w:hAnsi="Times New Roman"/>
                <w:kern w:val="0"/>
                <w:sz w:val="22"/>
                <w:szCs w:val="22"/>
                <w:highlight w:val="white"/>
              </w:rPr>
              <w:t>±</w:t>
            </w:r>
            <w:r>
              <w:rPr>
                <w:rFonts w:ascii="Times New Roman" w:hAnsi="Times New Roman"/>
                <w:kern w:val="0"/>
                <w:sz w:val="22"/>
                <w:szCs w:val="22"/>
                <w:highlight w:val="white"/>
              </w:rPr>
              <w:t>10% колебаниях сетевого напряжения и 10-100% изменениях нагрузки,%</w:t>
            </w:r>
          </w:p>
        </w:tc>
        <w:tc>
          <w:tcPr>
            <w:tcW w:w="2139" w:type="dxa"/>
            <w:tcBorders>
              <w:top w:val="nil"/>
            </w:tcBorders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  <w:highlight w:val="white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 xml:space="preserve">≤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>1</w:t>
            </w:r>
          </w:p>
        </w:tc>
        <w:tc>
          <w:tcPr>
            <w:tcW w:w="1741" w:type="dxa"/>
            <w:tcBorders>
              <w:top w:val="nil"/>
            </w:tcBorders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yellow"/>
              </w:rPr>
            </w:r>
          </w:p>
        </w:tc>
        <w:tc>
          <w:tcPr>
            <w:tcW w:w="1567" w:type="dxa"/>
            <w:tcBorders>
              <w:top w:val="nil"/>
            </w:tcBorders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highlight w:val="yellow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highlight w:val="white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4.14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  <w:highlight w:val="white"/>
              </w:rPr>
              <w:t>Длительный ток нагрузки основного канала, А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  <w:lang w:val="en-US"/>
              </w:rPr>
              <w:t>6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highlight w:val="white"/>
              </w:rPr>
              <w:t>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  <w:lang w:val="en-US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4.15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  <w:t xml:space="preserve">Коэффициент полезного действия, %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≥ </w:t>
            </w: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>85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4.16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Режим работы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непрерывный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4.17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Диапазон рабочих температур,</w:t>
            </w:r>
            <w:r>
              <w:rPr>
                <w:kern w:val="0"/>
                <w:sz w:val="22"/>
                <w:szCs w:val="22"/>
                <w:vertAlign w:val="superscript"/>
              </w:rPr>
              <w:t xml:space="preserve"> о</w:t>
            </w:r>
            <w:r>
              <w:rPr>
                <w:kern w:val="0"/>
                <w:sz w:val="22"/>
                <w:szCs w:val="22"/>
              </w:rPr>
              <w:t>С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/>
              </w:rPr>
              <w:t>0</w:t>
            </w:r>
            <w:r>
              <w:rPr>
                <w:kern w:val="0"/>
                <w:sz w:val="22"/>
                <w:szCs w:val="22"/>
              </w:rPr>
              <w:t>…+</w:t>
            </w:r>
            <w:r>
              <w:rPr>
                <w:kern w:val="0"/>
                <w:sz w:val="22"/>
                <w:szCs w:val="22"/>
                <w:lang w:val="ru-MD"/>
              </w:rPr>
              <w:t>45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4.18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Кратковременная  перегрузочная способность ЗВУ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10 </w:t>
            </w:r>
            <w:r>
              <w:rPr>
                <w:kern w:val="0"/>
                <w:sz w:val="22"/>
                <w:szCs w:val="22"/>
                <w:lang w:val="en-US"/>
              </w:rPr>
              <w:t>I</w:t>
            </w:r>
            <w:r>
              <w:rPr>
                <w:kern w:val="0"/>
                <w:sz w:val="22"/>
                <w:szCs w:val="22"/>
              </w:rPr>
              <w:t>ном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kern w:val="0"/>
              </w:rPr>
            </w:pPr>
            <w:r>
              <w:rPr>
                <w:kern w:val="0"/>
                <w:sz w:val="22"/>
                <w:szCs w:val="22"/>
              </w:rPr>
              <w:t>4.19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color w:val="FF000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Длительная перегрузочная способность ЗВУ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color w:val="FF0000"/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1,05 Iном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</w:t>
            </w:r>
          </w:p>
        </w:tc>
        <w:tc>
          <w:tcPr>
            <w:tcW w:w="9010" w:type="dxa"/>
            <w:gridSpan w:val="4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kern w:val="0"/>
                <w:sz w:val="22"/>
                <w:szCs w:val="22"/>
                <w:lang w:val="ru-RU"/>
              </w:rPr>
              <w:t>Функциональные и конструктивные особенности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Интерфейс пользователя ЗВУ должен включать графический дисплей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Модули системы мониторинга должны быть одного производителя с ЗУ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5.3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Контроль состояния и положения коммутационных аппаратов на входе/выходе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5.4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ЗВУ должно быть отделено от питающей сети разделительными трансформаторами (основная и дополнительная часть)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highlight w:val="white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kern w:val="0"/>
                <w:sz w:val="22"/>
                <w:szCs w:val="22"/>
                <w:highlight w:val="yellow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kern w:val="0"/>
                <w:sz w:val="22"/>
                <w:szCs w:val="22"/>
                <w:highlight w:val="yellow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5.5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Число фаз основного/дополнительного ЗВУ заряда АБ (3/3)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5.6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Ток заряда дополнительной части не менее 40А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5.7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Питающий кабель для ЗВУ общий (основная и дополнительная части)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5.8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Термокомпенсация напряжения подзаряда АБ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5.9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Длина кабеля термодатчика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  <w:lang w:val="en-US"/>
              </w:rPr>
              <w:t>30</w:t>
            </w:r>
            <w:r>
              <w:rPr>
                <w:kern w:val="0"/>
                <w:sz w:val="22"/>
                <w:szCs w:val="22"/>
              </w:rPr>
              <w:t>м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n-US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  <w:lang w:val="en-US"/>
              </w:rPr>
            </w:pPr>
            <w:r>
              <w:rPr>
                <w:kern w:val="0"/>
                <w:sz w:val="22"/>
                <w:szCs w:val="22"/>
                <w:lang w:val="en-US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5.9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Параллельная работа ЗВУ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5.10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Графический дисплей с отображением информации о состоянии, параметрах и работе ЗВУ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Индикация режимов работы ЗПУ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Контрольно-измерительные приборы на лицевой стороне шкафа ЗПУ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5.13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Параметры, отображаемые на дисплее:</w:t>
            </w:r>
          </w:p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Напряжение входной сети;</w:t>
            </w:r>
          </w:p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Ток каждой фазы входной сети;</w:t>
            </w:r>
          </w:p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Выходное напряжение ЗВУ;</w:t>
            </w:r>
          </w:p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Напряжение АБ;</w:t>
            </w:r>
          </w:p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- Выходной ток ЗВУ</w:t>
            </w:r>
          </w:p>
        </w:tc>
        <w:tc>
          <w:tcPr>
            <w:tcW w:w="2139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5.14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Дистанционная сигнализация «Общая неисправность»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5.15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Дистанционная сигнализация «Авария сети»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5.16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Дистанционная сигнализация «Низкое напряжение АБ»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5.17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Интеграция в АСУ ТП (</w:t>
            </w:r>
            <w:r>
              <w:rPr>
                <w:kern w:val="0"/>
                <w:sz w:val="22"/>
                <w:szCs w:val="22"/>
                <w:lang w:val="en-US"/>
              </w:rPr>
              <w:t>RS</w:t>
            </w:r>
            <w:r>
              <w:rPr>
                <w:kern w:val="0"/>
                <w:sz w:val="22"/>
                <w:szCs w:val="22"/>
              </w:rPr>
              <w:t xml:space="preserve">485/ </w:t>
            </w:r>
            <w:r>
              <w:rPr>
                <w:kern w:val="0"/>
                <w:sz w:val="22"/>
                <w:szCs w:val="22"/>
                <w:lang w:val="en-US"/>
              </w:rPr>
              <w:t>Modbus</w:t>
            </w:r>
            <w:r>
              <w:rPr>
                <w:kern w:val="0"/>
                <w:sz w:val="22"/>
                <w:szCs w:val="22"/>
              </w:rPr>
              <w:t xml:space="preserve"> </w:t>
            </w:r>
            <w:r>
              <w:rPr>
                <w:kern w:val="0"/>
                <w:sz w:val="22"/>
                <w:szCs w:val="22"/>
                <w:lang w:val="en-US"/>
              </w:rPr>
              <w:t>RTU</w:t>
            </w:r>
            <w:r>
              <w:rPr>
                <w:kern w:val="0"/>
                <w:sz w:val="22"/>
                <w:szCs w:val="22"/>
              </w:rPr>
              <w:t>)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5.18</w:t>
            </w:r>
          </w:p>
        </w:tc>
        <w:tc>
          <w:tcPr>
            <w:tcW w:w="3563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Устройство контроля изоляции на шинах </w:t>
            </w:r>
          </w:p>
        </w:tc>
        <w:tc>
          <w:tcPr>
            <w:tcW w:w="2139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5.19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Контроль состояния и положения коммутационных аппаратов на входе/выходе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5.20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Климатическое исполнение по ГОСТ 15150-69 – УХЛ4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kern w:val="0"/>
                <w:sz w:val="22"/>
                <w:szCs w:val="22"/>
              </w:rPr>
              <w:t xml:space="preserve">Вид конструкции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>Шкаф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Цвет корпуса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RAL 7035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5.23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Способ обслуживания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Односторонний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5.24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Степень защиты, по ГОСТ 14254-80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  <w:t xml:space="preserve">IP20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Default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color w:val="00000A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color w:val="00000A"/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5.25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Габаритные размеры ВхШхГ,</w:t>
            </w:r>
            <w:r>
              <w:rPr>
                <w:kern w:val="0"/>
                <w:sz w:val="22"/>
                <w:szCs w:val="22"/>
                <w:lang w:val="ru-RU"/>
              </w:rPr>
              <w:t xml:space="preserve"> не белее</w:t>
            </w:r>
            <w:r>
              <w:rPr>
                <w:kern w:val="0"/>
                <w:sz w:val="22"/>
                <w:szCs w:val="22"/>
              </w:rPr>
              <w:t xml:space="preserve"> мм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2000х800х800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5.26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Необходимость наличия цоколя (высота), мм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Да, 100 мм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5.27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Срок службы, лет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Не менее 30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5.28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Style23"/>
              <w:widowControl w:val="false"/>
              <w:tabs>
                <w:tab w:val="clear" w:pos="708"/>
                <w:tab w:val="left" w:pos="1440" w:leader="none"/>
              </w:tabs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Ввод кабеля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снизу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5.29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Style23"/>
              <w:widowControl w:val="false"/>
              <w:tabs>
                <w:tab w:val="clear" w:pos="708"/>
                <w:tab w:val="left" w:pos="1440" w:leader="none"/>
              </w:tabs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 xml:space="preserve">Подключение кабелей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снизу, через клеммы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</w:t>
            </w:r>
          </w:p>
        </w:tc>
        <w:tc>
          <w:tcPr>
            <w:tcW w:w="9010" w:type="dxa"/>
            <w:gridSpan w:val="4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kern w:val="0"/>
                <w:sz w:val="22"/>
                <w:szCs w:val="22"/>
              </w:rPr>
              <w:t>Комплект поставки:</w:t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6.1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Эксплуатационная документация на русском языке 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6.2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Сертификат</w:t>
            </w:r>
            <w:r>
              <w:rPr>
                <w:bCs/>
                <w:kern w:val="0"/>
                <w:sz w:val="22"/>
                <w:szCs w:val="22"/>
              </w:rPr>
              <w:t xml:space="preserve"> соответствия Техническому регламенту Таможенного союза ТР ТС 004/2011 «О безопасности низковольтного оборудования».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6.3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ind w:left="23" w:hanging="0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Техническое описание, инструкции по эксплуатации, электрические схемы главных и вспомогательных цепей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Да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BodyText3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  <w:tr>
        <w:trPr/>
        <w:tc>
          <w:tcPr>
            <w:tcW w:w="628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>6.4</w:t>
            </w:r>
          </w:p>
        </w:tc>
        <w:tc>
          <w:tcPr>
            <w:tcW w:w="3563" w:type="dxa"/>
            <w:tcBorders/>
            <w:shd w:fill="auto" w:val="clear"/>
            <w:vAlign w:val="center"/>
          </w:tcPr>
          <w:p>
            <w:pPr>
              <w:pStyle w:val="Style23"/>
              <w:widowControl w:val="false"/>
              <w:tabs>
                <w:tab w:val="clear" w:pos="708"/>
                <w:tab w:val="left" w:pos="1440" w:leader="none"/>
              </w:tabs>
              <w:spacing w:lineRule="auto" w:line="240" w:before="0" w:after="0"/>
              <w:jc w:val="left"/>
              <w:rPr>
                <w:sz w:val="22"/>
                <w:szCs w:val="22"/>
              </w:rPr>
            </w:pPr>
            <w:r>
              <w:rPr>
                <w:rFonts w:eastAsia="Calibri" w:cs="" w:ascii="Calibri" w:hAnsi="Calibri"/>
                <w:kern w:val="0"/>
                <w:sz w:val="22"/>
                <w:szCs w:val="22"/>
                <w:lang w:val="ru-RU" w:eastAsia="en-US" w:bidi="ar-SA"/>
              </w:rPr>
              <w:t>Объем поставки ЗИП</w:t>
            </w:r>
          </w:p>
        </w:tc>
        <w:tc>
          <w:tcPr>
            <w:tcW w:w="2139" w:type="dxa"/>
            <w:tcBorders/>
            <w:shd w:fill="auto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  <w:t xml:space="preserve">Предохранители всех используемых номиналов в количестве 2 шт. </w:t>
            </w:r>
          </w:p>
        </w:tc>
        <w:tc>
          <w:tcPr>
            <w:tcW w:w="1741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  <w:tc>
          <w:tcPr>
            <w:tcW w:w="1567" w:type="dxa"/>
            <w:tcBorders/>
            <w:shd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22"/>
                <w:szCs w:val="22"/>
              </w:rPr>
            </w:pPr>
            <w:r>
              <w:rPr>
                <w:kern w:val="0"/>
                <w:sz w:val="22"/>
                <w:szCs w:val="22"/>
              </w:rPr>
            </w:r>
          </w:p>
        </w:tc>
      </w:tr>
    </w:tbl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/>
      </w:pPr>
      <w:r>
        <w:rPr/>
      </w:r>
    </w:p>
    <w:sectPr>
      <w:type w:val="nextPage"/>
      <w:pgSz w:w="11906" w:h="16838"/>
      <w:pgMar w:left="1134" w:right="851" w:header="0" w:top="851" w:footer="0" w:bottom="567" w:gutter="0"/>
      <w:pgNumType w:fmt="decimal"/>
      <w:formProt w:val="false"/>
      <w:textDirection w:val="lrTb"/>
      <w:docGrid w:type="default" w:linePitch="360" w:charSpace="184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ISOCPEUR">
    <w:charset w:val="01"/>
    <w:family w:val="roman"/>
    <w:pitch w:val="variable"/>
  </w:font>
  <w:font w:name="Symbo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2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uiPriority="0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3f0860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00000A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3" w:customStyle="1">
    <w:name w:val="Основной текст 3 Знак"/>
    <w:basedOn w:val="DefaultParagraphFont"/>
    <w:link w:val="3"/>
    <w:qFormat/>
    <w:rsid w:val="003f0860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FontStyle20" w:customStyle="1">
    <w:name w:val="Font Style20"/>
    <w:qFormat/>
    <w:rsid w:val="003f0860"/>
    <w:rPr>
      <w:rFonts w:ascii="Arial" w:hAnsi="Arial" w:cs="Arial"/>
      <w:sz w:val="20"/>
      <w:szCs w:val="20"/>
    </w:rPr>
  </w:style>
  <w:style w:type="character" w:styleId="Style14" w:customStyle="1">
    <w:name w:val="Таблица шапка Знак"/>
    <w:link w:val="a5"/>
    <w:qFormat/>
    <w:locked/>
    <w:rsid w:val="003f0860"/>
    <w:rPr>
      <w:rFonts w:ascii="Times New Roman" w:hAnsi="Times New Roman" w:eastAsia="Times New Roman" w:cs="Times New Roman"/>
      <w:szCs w:val="20"/>
      <w:lang w:eastAsia="ru-RU"/>
    </w:rPr>
  </w:style>
  <w:style w:type="character" w:styleId="Style15" w:customStyle="1">
    <w:name w:val="Таблица текст Знак"/>
    <w:link w:val="a3"/>
    <w:qFormat/>
    <w:locked/>
    <w:rsid w:val="003f0860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WenQuanYi Zen Hei Sharp" w:cs="Lohit Devanagari"/>
      <w:sz w:val="28"/>
      <w:szCs w:val="28"/>
    </w:rPr>
  </w:style>
  <w:style w:type="paragraph" w:styleId="Style17">
    <w:name w:val="Body Text"/>
    <w:basedOn w:val="Normal"/>
    <w:pPr>
      <w:spacing w:lineRule="auto" w:line="288" w:before="0" w:after="140"/>
    </w:pPr>
    <w:rPr/>
  </w:style>
  <w:style w:type="paragraph" w:styleId="Style18">
    <w:name w:val="List"/>
    <w:basedOn w:val="Style17"/>
    <w:pPr/>
    <w:rPr>
      <w:rFonts w:cs="Lohit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ohit Devanagari"/>
    </w:rPr>
  </w:style>
  <w:style w:type="paragraph" w:styleId="BodyText3">
    <w:name w:val="Body Text 3"/>
    <w:basedOn w:val="Normal"/>
    <w:link w:val="30"/>
    <w:qFormat/>
    <w:rsid w:val="003f0860"/>
    <w:pPr>
      <w:spacing w:before="0" w:after="120"/>
    </w:pPr>
    <w:rPr>
      <w:sz w:val="16"/>
      <w:szCs w:val="16"/>
      <w:lang w:val="x-none" w:eastAsia="x-none"/>
    </w:rPr>
  </w:style>
  <w:style w:type="paragraph" w:styleId="Default" w:customStyle="1">
    <w:name w:val="Default"/>
    <w:qFormat/>
    <w:rsid w:val="003f0860"/>
    <w:pPr>
      <w:widowControl/>
      <w:bidi w:val="0"/>
      <w:spacing w:lineRule="auto" w:line="240" w:before="0" w:after="0"/>
      <w:jc w:val="left"/>
    </w:pPr>
    <w:rPr>
      <w:rFonts w:ascii="ISOCPEUR" w:hAnsi="ISOCPEUR" w:eastAsia="Times New Roman" w:cs="ISOCPEUR"/>
      <w:color w:val="000000"/>
      <w:kern w:val="0"/>
      <w:sz w:val="24"/>
      <w:szCs w:val="24"/>
      <w:lang w:val="ru-RU" w:eastAsia="ru-RU" w:bidi="ar-SA"/>
    </w:rPr>
  </w:style>
  <w:style w:type="paragraph" w:styleId="Style21" w:customStyle="1">
    <w:name w:val="Таблица текст"/>
    <w:basedOn w:val="Normal"/>
    <w:link w:val="a4"/>
    <w:qFormat/>
    <w:rsid w:val="003f0860"/>
    <w:pPr>
      <w:widowControl/>
      <w:spacing w:before="40" w:after="40"/>
      <w:ind w:left="57" w:right="57" w:hanging="0"/>
    </w:pPr>
    <w:rPr>
      <w:sz w:val="24"/>
      <w:szCs w:val="24"/>
    </w:rPr>
  </w:style>
  <w:style w:type="paragraph" w:styleId="Style22" w:customStyle="1">
    <w:name w:val="Таблица шапка"/>
    <w:basedOn w:val="Normal"/>
    <w:link w:val="a6"/>
    <w:qFormat/>
    <w:rsid w:val="003f0860"/>
    <w:pPr>
      <w:keepNext w:val="true"/>
      <w:widowControl/>
      <w:spacing w:before="40" w:after="40"/>
      <w:ind w:left="57" w:right="57" w:hanging="0"/>
    </w:pPr>
    <w:rPr>
      <w:sz w:val="22"/>
    </w:rPr>
  </w:style>
  <w:style w:type="paragraph" w:styleId="Style23" w:customStyle="1">
    <w:name w:val="Таблица"/>
    <w:basedOn w:val="Normal"/>
    <w:qFormat/>
    <w:rsid w:val="00e74be7"/>
    <w:pPr>
      <w:widowControl/>
      <w:spacing w:before="60" w:after="60"/>
      <w:jc w:val="center"/>
    </w:pPr>
    <w:rPr>
      <w:sz w:val="24"/>
      <w:szCs w:val="24"/>
    </w:rPr>
  </w:style>
  <w:style w:type="paragraph" w:styleId="ListParagraph">
    <w:name w:val="List Paragraph"/>
    <w:basedOn w:val="Normal"/>
    <w:qFormat/>
    <w:rsid w:val="00e74be7"/>
    <w:pPr>
      <w:widowControl/>
      <w:spacing w:before="0" w:after="0"/>
      <w:ind w:left="720" w:hanging="0"/>
      <w:contextualSpacing/>
    </w:pPr>
    <w:rPr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3f0860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Application>LibreOffice/7.1.8.1$Linux_X86_64 LibreOffice_project/10$Build-1</Application>
  <AppVersion>15.0000</AppVersion>
  <DocSecurity>0</DocSecurity>
  <Pages>3</Pages>
  <Words>528</Words>
  <Characters>3253</Characters>
  <CharactersWithSpaces>3613</CharactersWithSpaces>
  <Paragraphs>190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2023-07-31T05:36:00Z</dcterms:created>
  <dc:creator>Минжулин Андрей Сергеевич</dc:creator>
  <dc:description/>
  <dc:language>ru-RU</dc:language>
  <cp:lastModifiedBy/>
  <dcterms:modified xsi:type="dcterms:W3CDTF">2026-09-23T08:56:45Z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  <property fmtid="{D5CDD505-2E9C-101B-9397-08002B2CF9AE}" pid="6" name="_AdHocReviewCycleID">
    <vt:i4>-1392844245</vt:i4>
  </property>
  <property fmtid="{D5CDD505-2E9C-101B-9397-08002B2CF9AE}" pid="7" name="_AuthorEmail">
    <vt:lpwstr>Sharov-AN@amur.drsk.ru</vt:lpwstr>
  </property>
  <property fmtid="{D5CDD505-2E9C-101B-9397-08002B2CF9AE}" pid="8" name="_AuthorEmailDisplayName">
    <vt:lpwstr>Шаров Алексей Николаевич</vt:lpwstr>
  </property>
  <property fmtid="{D5CDD505-2E9C-101B-9397-08002B2CF9AE}" pid="9" name="_EmailSubject">
    <vt:lpwstr>ОЛ на ПС Ивановка</vt:lpwstr>
  </property>
  <property fmtid="{D5CDD505-2E9C-101B-9397-08002B2CF9AE}" pid="10" name="_NewReviewCycle">
    <vt:lpwstr/>
  </property>
  <property fmtid="{D5CDD505-2E9C-101B-9397-08002B2CF9AE}" pid="11" name="_ReviewingToolsShownOnce">
    <vt:lpwstr/>
  </property>
</Properties>
</file>